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r>
        <w:t xml:space="preserve"/>
      </w:r>
    </w:p>
    <w:p>
      <w:pPr>
        <w:spacing w:after="120"/>
        <w:jc w:val="center"/>
      </w:pPr>
      <w:r>
        <w:rPr>
          <w:b/>
          <w:bCs/>
          <w:color w:val="1F3A5F"/>
          <w:sz w:val="56"/>
          <w:szCs w:val="56"/>
        </w:rPr>
        <w:t xml:space="preserve">Fraud Detection Service</w:t>
      </w:r>
    </w:p>
    <w:p>
      <w:pPr>
        <w:spacing w:after="480"/>
        <w:jc w:val="center"/>
      </w:pPr>
      <w:r>
        <w:rPr>
          <w:b/>
          <w:bCs/>
          <w:color w:val="C9A227"/>
          <w:sz w:val="36"/>
          <w:szCs w:val="36"/>
        </w:rPr>
        <w:t xml:space="preserve">Use Case Specification</w:t>
      </w:r>
    </w:p>
    <w:p>
      <w:pPr>
        <w:pBdr>
          <w:bottom w:val="single" w:color="C9A227" w:sz="12" w:space="4"/>
        </w:pBdr>
        <w:spacing w:after="120"/>
        <w:jc w:val="center"/>
      </w:pPr>
      <w:r>
        <w:rPr>
          <w:i/>
          <w:iCs/>
          <w:color w:val="555555"/>
          <w:sz w:val="26"/>
          <w:szCs w:val="26"/>
        </w:rPr>
        <w:t xml:space="preserve">Cockburn-Style Specification</w:t>
      </w:r>
    </w:p>
    <w:p>
      <w:pPr>
        <w:spacing w:before="2400"/>
      </w:pPr>
      <w:r>
        <w:t xml:space="preserve"/>
      </w:r>
    </w:p>
    <w:p>
      <w:pPr>
        <w:spacing w:after="80"/>
        <w:jc w:val="center"/>
      </w:pPr>
      <w:r>
        <w:rPr>
          <w:sz w:val="22"/>
          <w:szCs w:val="22"/>
        </w:rPr>
        <w:t xml:space="preserve">Document Version: 2.0</w:t>
      </w:r>
    </w:p>
    <w:p>
      <w:pPr>
        <w:spacing w:after="80"/>
        <w:jc w:val="center"/>
      </w:pPr>
      <w:r>
        <w:rPr>
          <w:sz w:val="22"/>
          <w:szCs w:val="22"/>
        </w:rPr>
        <w:t xml:space="preserve">Status: Current Implementation Baseline</w:t>
      </w:r>
    </w:p>
    <w:p>
      <w:pPr>
        <w:spacing w:after="80"/>
        <w:jc w:val="center"/>
      </w:pPr>
      <w:r>
        <w:rPr>
          <w:sz w:val="22"/>
          <w:szCs w:val="22"/>
        </w:rPr>
        <w:t xml:space="preserve">Author: Ignatius Itumeleng Manota</w:t>
      </w:r>
    </w:p>
    <w:p>
      <w:pPr>
        <w:spacing w:after="80"/>
        <w:jc w:val="center"/>
      </w:pPr>
      <w:r>
        <w:rPr>
          <w:sz w:val="22"/>
          <w:szCs w:val="22"/>
        </w:rPr>
        <w:t xml:space="preserve">Organisation: Twenty9ine (Pty) Ltd</w:t>
      </w:r>
    </w:p>
    <w:p>
      <w:pPr>
        <w:spacing w:after="80"/>
        <w:jc w:val="center"/>
      </w:pPr>
      <w:r>
        <w:rPr>
          <w:color w:val="555555"/>
          <w:sz w:val="22"/>
          <w:szCs w:val="22"/>
        </w:rPr>
        <w:t xml:space="preserve">Date: 23 April 2026</w:t>
      </w:r>
    </w:p>
    <w:p>
      <w:r>
        <w:br w:type="page"/>
      </w:r>
    </w:p>
    <w:p>
      <w:pPr>
        <w:pStyle w:val="Heading1"/>
        <w:spacing w:after="180" w:before="36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Introduction</w:t>
      </w:r>
    </w:p>
    <w:p>
      <w:pPr>
        <w:pStyle w:val="Heading2"/>
        <w:spacing w:after="140" w:before="300"/>
      </w:pPr>
      <w:r>
        <w:t xml:space="preserve">1.1 Purpose</w:t>
      </w:r>
    </w:p>
    <w:p>
      <w:pPr>
        <w:spacing w:after="120"/>
        <w:jc w:val="both"/>
      </w:pPr>
      <w:r>
        <w:rPr>
          <w:b w:val="false"/>
          <w:bCs w:val="false"/>
          <w:i w:val="false"/>
          <w:iCs w:val="false"/>
          <w:color w:val="000000"/>
          <w:sz w:val="22"/>
          <w:szCs w:val="22"/>
        </w:rPr>
        <w:t xml:space="preserve">This document specifies the use cases currently implemented by the Fraud Detection Service, plus one planned-but-not-yet-implemented use case. The Fraud Detection Service is a real-time transaction scoring component that consumes transaction events from Kafka, orchestrates a composite risk-scoring pipeline (machine learning, rules engine, velocity, and geographic validation), persists the resulting risk assessments, and exposes query endpoints over REST.</w:t>
      </w:r>
    </w:p>
    <w:p>
      <w:pPr>
        <w:pStyle w:val="Heading2"/>
        <w:spacing w:after="140" w:before="300"/>
      </w:pPr>
      <w:r>
        <w:t xml:space="preserve">1.2 Scope</w:t>
      </w:r>
    </w:p>
    <w:p>
      <w:pPr>
        <w:spacing w:after="120"/>
        <w:jc w:val="both"/>
      </w:pPr>
      <w:r>
        <w:rPr>
          <w:b w:val="false"/>
          <w:bCs w:val="false"/>
          <w:i w:val="false"/>
          <w:iCs w:val="false"/>
          <w:color w:val="000000"/>
          <w:sz w:val="22"/>
          <w:szCs w:val="22"/>
        </w:rPr>
        <w:t xml:space="preserve">The scope of this specification is limited to the fraud-detection bounded context as implemented in the Java 25 / Spring Boot 4 codebase at ~/git/fraud-detection-service. Adjacent concerns such as case management, ML model training, compliance reporting, and audit tooling are out of scope; they are candidates for separate bounded contexts. Only one planned use case — Configure Fraud Rules — is included, because it is a natural next extension of the current codebase.</w:t>
      </w:r>
    </w:p>
    <w:p>
      <w:pPr>
        <w:pStyle w:val="Heading2"/>
        <w:spacing w:after="140" w:before="300"/>
      </w:pPr>
      <w:r>
        <w:t xml:space="preserve">1.3 Audience</w:t>
      </w:r>
    </w:p>
    <w:p>
      <w:pPr>
        <w:spacing w:after="120"/>
        <w:jc w:val="both"/>
      </w:pPr>
      <w:r>
        <w:rPr>
          <w:b w:val="false"/>
          <w:bCs w:val="false"/>
          <w:i w:val="false"/>
          <w:iCs w:val="false"/>
          <w:color w:val="000000"/>
          <w:sz w:val="22"/>
          <w:szCs w:val="22"/>
        </w:rPr>
        <w:t xml:space="preserve">This specification is intended for software engineers and architects working on or integrating with the Fraud Detection Service, business analysts responsible for fraud-rule authoring, product owners scoping subsequent iterations, and QA engineers designing functional and end-to-end tests.</w:t>
      </w:r>
    </w:p>
    <w:p>
      <w:pPr>
        <w:pStyle w:val="Heading2"/>
        <w:spacing w:after="140" w:before="300"/>
      </w:pPr>
      <w:r>
        <w:t xml:space="preserve">1.4 Document Overview</w:t>
      </w:r>
    </w:p>
    <w:p>
      <w:pPr>
        <w:spacing w:after="120"/>
        <w:jc w:val="both"/>
      </w:pPr>
      <w:r>
        <w:rPr>
          <w:b w:val="false"/>
          <w:bCs w:val="false"/>
          <w:i w:val="false"/>
          <w:iCs w:val="false"/>
          <w:color w:val="000000"/>
          <w:sz w:val="22"/>
          <w:szCs w:val="22"/>
        </w:rPr>
        <w:t xml:space="preserve">Use cases are written in Alistair Cockburn's fully-dressed template: scope, level, primary actor, stakeholders and interests, preconditions, postconditions (success guarantees), minimal guarantees, trigger, main success scenario, extensions (alternative flows), special requirements, frequency, and business rules. Each specification ends with an Implementation Status row citing the concrete classes that realise the use case, or the work still to be done.</w:t>
      </w:r>
    </w:p>
    <w:p>
      <w:r>
        <w:br w:type="page"/>
      </w:r>
    </w:p>
    <w:p>
      <w:pPr>
        <w:pStyle w:val="Heading1"/>
        <w:spacing w:after="180" w:before="360"/>
      </w:pPr>
      <w:r>
        <w:t xml:space="preserve">2. Glossary of Terms</w:t>
      </w:r>
    </w:p>
    <w:p>
      <w:pPr>
        <w:spacing w:after="120"/>
        <w:jc w:val="both"/>
      </w:pPr>
      <w:r>
        <w:rPr>
          <w:b w:val="false"/>
          <w:bCs w:val="false"/>
          <w:i w:val="false"/>
          <w:iCs w:val="false"/>
          <w:color w:val="000000"/>
          <w:sz w:val="22"/>
          <w:szCs w:val="22"/>
        </w:rPr>
        <w:t xml:space="preserve">Terms used throughout this specification are defined below. Domain terms follow the vocabulary established in the codebase and the accompanying README.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8B8B8" w:sz="4"/>
              <w:left w:val="single" w:color="B8B8B8" w:sz="4"/>
              <w:bottom w:val="single" w:color="B8B8B8" w:sz="4"/>
              <w:right w:val="single" w:color="B8B8B8" w:sz="4"/>
            </w:tcBorders>
            <w:shd w:fill="1F3A5F" w:val="clear"/>
            <w:tcMar>
              <w:top w:type="dxa" w:w="100"/>
              <w:left w:type="dxa" w:w="140"/>
              <w:bottom w:type="dxa" w:w="100"/>
              <w:right w:type="dxa" w:w="140"/>
            </w:tcMar>
          </w:tcPr>
          <w:p>
            <w:r>
              <w:rPr>
                <w:b/>
                <w:bCs/>
                <w:color w:val="FFFFFF"/>
                <w:sz w:val="21"/>
                <w:szCs w:val="21"/>
              </w:rPr>
              <w:t xml:space="preserve">Term</w:t>
            </w:r>
          </w:p>
        </w:tc>
        <w:tc>
          <w:tcPr>
            <w:tcW w:type="dxa" w:w="6826"/>
            <w:tcBorders>
              <w:top w:val="single" w:color="B8B8B8" w:sz="4"/>
              <w:left w:val="single" w:color="B8B8B8" w:sz="4"/>
              <w:bottom w:val="single" w:color="B8B8B8" w:sz="4"/>
              <w:right w:val="single" w:color="B8B8B8" w:sz="4"/>
            </w:tcBorders>
            <w:shd w:fill="1F3A5F" w:val="clear"/>
            <w:tcMar>
              <w:top w:type="dxa" w:w="100"/>
              <w:left w:type="dxa" w:w="140"/>
              <w:bottom w:type="dxa" w:w="100"/>
              <w:right w:type="dxa" w:w="140"/>
            </w:tcMar>
          </w:tcPr>
          <w:p>
            <w:r>
              <w:rPr>
                <w:b/>
                <w:bCs/>
                <w:color w:val="FFFFFF"/>
                <w:sz w:val="21"/>
                <w:szCs w:val="21"/>
              </w:rPr>
              <w:t xml:space="preserve">Definition</w:t>
            </w:r>
          </w:p>
        </w:tc>
      </w:tr>
      <w:tr>
        <w:tc>
          <w:tcPr>
            <w:tcW w:type="dxa" w:w="22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sz w:val="21"/>
                <w:szCs w:val="21"/>
              </w:rPr>
              <w:t xml:space="preserve">Aggregate Root</w:t>
            </w:r>
          </w:p>
        </w:tc>
        <w:tc>
          <w:tcPr>
            <w:tcW w:type="dxa" w:w="68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A DDD entity that guards an invariant-protected cluster of domain objects. In this service, RiskAssessment is the aggregate root of the assessment cluster.</w:t>
            </w:r>
          </w:p>
        </w:tc>
      </w:tr>
      <w:tr>
        <w:tc>
          <w:tcPr>
            <w:tcW w:type="dxa" w:w="22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sz w:val="21"/>
                <w:szCs w:val="21"/>
              </w:rPr>
              <w:t xml:space="preserve">Avro</w:t>
            </w:r>
          </w:p>
        </w:tc>
        <w:tc>
          <w:tcPr>
            <w:tcW w:type="dxa" w:w="68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Apache Avro — the serialisation format used for Kafka transaction events, with schemas managed by Apicurio Registry.</w:t>
            </w:r>
          </w:p>
        </w:tc>
      </w:tr>
      <w:tr>
        <w:tc>
          <w:tcPr>
            <w:tcW w:type="dxa" w:w="22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sz w:val="21"/>
                <w:szCs w:val="21"/>
              </w:rPr>
              <w:t xml:space="preserve">Composite Risk Score</w:t>
            </w:r>
          </w:p>
        </w:tc>
        <w:tc>
          <w:tcPr>
            <w:tcW w:type="dxa" w:w="68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Weighted combination of the ML fraud probability score and the rule-engine aggregate score, clamped to the integer range [0, 100].</w:t>
            </w:r>
          </w:p>
        </w:tc>
      </w:tr>
      <w:tr>
        <w:tc>
          <w:tcPr>
            <w:tcW w:type="dxa" w:w="22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sz w:val="21"/>
                <w:szCs w:val="21"/>
              </w:rPr>
              <w:t xml:space="preserve">CQRS</w:t>
            </w:r>
          </w:p>
        </w:tc>
        <w:tc>
          <w:tcPr>
            <w:tcW w:type="dxa" w:w="68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Command Query Responsibility Segregation. Commands mutate state (assess, process); queries read state (get, find).</w:t>
            </w:r>
          </w:p>
        </w:tc>
      </w:tr>
      <w:tr>
        <w:tc>
          <w:tcPr>
            <w:tcW w:type="dxa" w:w="22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sz w:val="21"/>
                <w:szCs w:val="21"/>
              </w:rPr>
              <w:t xml:space="preserve">Decision</w:t>
            </w:r>
          </w:p>
        </w:tc>
        <w:tc>
          <w:tcPr>
            <w:tcW w:type="dxa" w:w="68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Final verdict attached to a RiskAssessment. One of ALLOW, CHALLENGE, REVIEW, BLOCK.</w:t>
            </w:r>
          </w:p>
        </w:tc>
      </w:tr>
      <w:tr>
        <w:tc>
          <w:tcPr>
            <w:tcW w:type="dxa" w:w="22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sz w:val="21"/>
                <w:szCs w:val="21"/>
              </w:rPr>
              <w:t xml:space="preserve">Drools</w:t>
            </w:r>
          </w:p>
        </w:tc>
        <w:tc>
          <w:tcPr>
            <w:tcW w:type="dxa" w:w="68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The rules engine (KIE) embedded in the service; evaluates velocity, geographic and amount rules against transaction facts.</w:t>
            </w:r>
          </w:p>
        </w:tc>
      </w:tr>
      <w:tr>
        <w:tc>
          <w:tcPr>
            <w:tcW w:type="dxa" w:w="22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sz w:val="21"/>
                <w:szCs w:val="21"/>
              </w:rPr>
              <w:t xml:space="preserve">Hexagonal Architecture</w:t>
            </w:r>
          </w:p>
        </w:tc>
        <w:tc>
          <w:tcPr>
            <w:tcW w:type="dxa" w:w="68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Ports-and-adapters style separating application core from REST, Kafka, persistence, cache and ML adapters.</w:t>
            </w:r>
          </w:p>
        </w:tc>
      </w:tr>
      <w:tr>
        <w:tc>
          <w:tcPr>
            <w:tcW w:type="dxa" w:w="22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sz w:val="21"/>
                <w:szCs w:val="21"/>
              </w:rPr>
              <w:t xml:space="preserve">Idempotency</w:t>
            </w:r>
          </w:p>
        </w:tc>
        <w:tc>
          <w:tcPr>
            <w:tcW w:type="dxa" w:w="68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The property that processing the same transaction event twice yields the same outcome. Enforced via SeenMessageCache keyed on transactionId.</w:t>
            </w:r>
          </w:p>
        </w:tc>
      </w:tr>
      <w:tr>
        <w:tc>
          <w:tcPr>
            <w:tcW w:type="dxa" w:w="22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sz w:val="21"/>
                <w:szCs w:val="21"/>
              </w:rPr>
              <w:t xml:space="preserve">Impossible Travel</w:t>
            </w:r>
          </w:p>
        </w:tc>
        <w:tc>
          <w:tcPr>
            <w:tcW w:type="dxa" w:w="68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Geographic anomaly where the required speed between two consecutive transactions for the same account exceeds 965 km/h (commercial jet cruising speed).</w:t>
            </w:r>
          </w:p>
        </w:tc>
      </w:tr>
      <w:tr>
        <w:tc>
          <w:tcPr>
            <w:tcW w:type="dxa" w:w="22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sz w:val="21"/>
                <w:szCs w:val="21"/>
              </w:rPr>
              <w:t xml:space="preserve">Keycloak</w:t>
            </w:r>
          </w:p>
        </w:tc>
        <w:tc>
          <w:tcPr>
            <w:tcW w:type="dxa" w:w="68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The OAuth2/OIDC identity provider securing the REST API; issues JWTs validated by Spring Security.</w:t>
            </w:r>
          </w:p>
        </w:tc>
      </w:tr>
      <w:tr>
        <w:tc>
          <w:tcPr>
            <w:tcW w:type="dxa" w:w="22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sz w:val="21"/>
                <w:szCs w:val="21"/>
              </w:rPr>
              <w:t xml:space="preserve">KIE</w:t>
            </w:r>
          </w:p>
        </w:tc>
        <w:tc>
          <w:tcPr>
            <w:tcW w:type="dxa" w:w="68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Knowledge Is Everything — the container/session model Drools uses to evaluate rules.</w:t>
            </w:r>
          </w:p>
        </w:tc>
      </w:tr>
      <w:tr>
        <w:tc>
          <w:tcPr>
            <w:tcW w:type="dxa" w:w="22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sz w:val="21"/>
                <w:szCs w:val="21"/>
              </w:rPr>
              <w:t xml:space="preserve">ML Prediction</w:t>
            </w:r>
          </w:p>
        </w:tc>
        <w:tc>
          <w:tcPr>
            <w:tcW w:type="dxa" w:w="68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Fraud-probability score (0.0 – 1.0) returned by the SageMaker model adapter, or an 'unavailable' sentinel when the model service is down.</w:t>
            </w:r>
          </w:p>
        </w:tc>
      </w:tr>
      <w:tr>
        <w:tc>
          <w:tcPr>
            <w:tcW w:type="dxa" w:w="22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sz w:val="21"/>
                <w:szCs w:val="21"/>
              </w:rPr>
              <w:t xml:space="preserve">NKJV</w:t>
            </w:r>
          </w:p>
        </w:tc>
        <w:tc>
          <w:tcPr>
            <w:tcW w:type="dxa" w:w="68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Not applicable to this document (listed only for corporate style-guide parity).</w:t>
            </w:r>
          </w:p>
        </w:tc>
      </w:tr>
      <w:tr>
        <w:tc>
          <w:tcPr>
            <w:tcW w:type="dxa" w:w="22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sz w:val="21"/>
                <w:szCs w:val="21"/>
              </w:rPr>
              <w:t xml:space="preserve">POPIA</w:t>
            </w:r>
          </w:p>
        </w:tc>
        <w:tc>
          <w:tcPr>
            <w:tcW w:type="dxa" w:w="68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Protection of Personal Information Act — South African data-protection regulation; informs logging and PII handling in the service.</w:t>
            </w:r>
          </w:p>
        </w:tc>
      </w:tr>
      <w:tr>
        <w:tc>
          <w:tcPr>
            <w:tcW w:type="dxa" w:w="22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sz w:val="21"/>
                <w:szCs w:val="21"/>
              </w:rPr>
              <w:t xml:space="preserve">Risk Level</w:t>
            </w:r>
          </w:p>
        </w:tc>
        <w:tc>
          <w:tcPr>
            <w:tcW w:type="dxa" w:w="68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Categorical band derived from the composite risk score: LOW (0–40), MEDIUM (41–70), HIGH (71–90), CRITICAL (91–100).</w:t>
            </w:r>
          </w:p>
        </w:tc>
      </w:tr>
      <w:tr>
        <w:tc>
          <w:tcPr>
            <w:tcW w:type="dxa" w:w="22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sz w:val="21"/>
                <w:szCs w:val="21"/>
              </w:rPr>
              <w:t xml:space="preserve">SageMaker</w:t>
            </w:r>
          </w:p>
        </w:tc>
        <w:tc>
          <w:tcPr>
            <w:tcW w:type="dxa" w:w="68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AWS SageMaker — the managed ML platform hosting the fraud-prediction model accessed via the SageMakerMLAdapter.</w:t>
            </w:r>
          </w:p>
        </w:tc>
      </w:tr>
      <w:tr>
        <w:tc>
          <w:tcPr>
            <w:tcW w:type="dxa" w:w="22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sz w:val="21"/>
                <w:szCs w:val="21"/>
              </w:rPr>
              <w:t xml:space="preserve">Transaction</w:t>
            </w:r>
          </w:p>
        </w:tc>
        <w:tc>
          <w:tcPr>
            <w:tcW w:type="dxa" w:w="68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Financial event (PURCHASE, WITHDRAWAL, TRANSFER, REFUND, etc.) that is the subject of a risk assessment.</w:t>
            </w:r>
          </w:p>
        </w:tc>
      </w:tr>
      <w:tr>
        <w:tc>
          <w:tcPr>
            <w:tcW w:type="dxa" w:w="22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sz w:val="21"/>
                <w:szCs w:val="21"/>
              </w:rPr>
              <w:t xml:space="preserve">Velocity Metrics</w:t>
            </w:r>
          </w:p>
        </w:tc>
        <w:tc>
          <w:tcPr>
            <w:tcW w:type="dxa" w:w="68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Transaction counts and amount totals over rolling windows (5 minutes, 1 hour, 24 hours) maintained in Redis.</w:t>
            </w:r>
          </w:p>
        </w:tc>
      </w:tr>
    </w:tbl>
    <w:p>
      <w:r>
        <w:br w:type="page"/>
      </w:r>
    </w:p>
    <w:p>
      <w:pPr>
        <w:pStyle w:val="Heading1"/>
        <w:spacing w:after="180" w:before="360"/>
      </w:pPr>
      <w:r>
        <w:t xml:space="preserve">3. System Overview</w:t>
      </w:r>
    </w:p>
    <w:p>
      <w:pPr>
        <w:pStyle w:val="Heading2"/>
        <w:spacing w:after="140" w:before="300"/>
      </w:pPr>
      <w:r>
        <w:t xml:space="preserve">3.1 System Context</w:t>
      </w:r>
    </w:p>
    <w:p>
      <w:pPr>
        <w:spacing w:after="120"/>
        <w:jc w:val="both"/>
      </w:pPr>
      <w:r>
        <w:rPr>
          <w:b w:val="false"/>
          <w:bCs w:val="false"/>
          <w:i w:val="false"/>
          <w:iCs w:val="false"/>
          <w:color w:val="000000"/>
          <w:sz w:val="22"/>
          <w:szCs w:val="22"/>
        </w:rPr>
        <w:t xml:space="preserve">The Fraud Detection Service sits between the upstream Payment System (which publishes every transaction to Kafka) and downstream consumers that react to fraud signals. For each incoming transaction the service produces a RiskAssessment — a durable record of the composite risk score, the fired rules, the ML prediction, the derived risk level, and the final decision. Completed assessments are persisted to PostgreSQL, indexed for query use cases, and emitted as domain events (RiskAssessmentCompleted, HighRiskDetected) to downstream Kafka topics.</w:t>
      </w:r>
    </w:p>
    <w:p>
      <w:pPr>
        <w:pStyle w:val="Heading2"/>
        <w:spacing w:after="140" w:before="300"/>
      </w:pPr>
      <w:r>
        <w:t xml:space="preserve">3.2 Actors</w:t>
      </w:r>
    </w:p>
    <w:p>
      <w:pPr>
        <w:spacing w:after="120"/>
        <w:jc w:val="both"/>
      </w:pPr>
      <w:r>
        <w:rPr>
          <w:b w:val="false"/>
          <w:bCs w:val="false"/>
          <w:i w:val="false"/>
          <w:iCs w:val="false"/>
          <w:color w:val="000000"/>
          <w:sz w:val="22"/>
          <w:szCs w:val="22"/>
        </w:rPr>
        <w:t xml:space="preserve">The following actors interact with the service, directly or indirectly: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8B8B8" w:sz="4"/>
              <w:left w:val="single" w:color="B8B8B8" w:sz="4"/>
              <w:bottom w:val="single" w:color="B8B8B8" w:sz="4"/>
              <w:right w:val="single" w:color="B8B8B8" w:sz="4"/>
            </w:tcBorders>
            <w:shd w:fill="1F3A5F" w:val="clear"/>
            <w:tcMar>
              <w:top w:type="dxa" w:w="100"/>
              <w:left w:type="dxa" w:w="140"/>
              <w:bottom w:type="dxa" w:w="100"/>
              <w:right w:type="dxa" w:w="140"/>
            </w:tcMar>
          </w:tcPr>
          <w:p>
            <w:r>
              <w:rPr>
                <w:b/>
                <w:bCs/>
                <w:color w:val="FFFFFF"/>
                <w:sz w:val="21"/>
                <w:szCs w:val="21"/>
              </w:rPr>
              <w:t xml:space="preserve">Actor</w:t>
            </w:r>
          </w:p>
        </w:tc>
        <w:tc>
          <w:tcPr>
            <w:tcW w:type="dxa" w:w="6426"/>
            <w:tcBorders>
              <w:top w:val="single" w:color="B8B8B8" w:sz="4"/>
              <w:left w:val="single" w:color="B8B8B8" w:sz="4"/>
              <w:bottom w:val="single" w:color="B8B8B8" w:sz="4"/>
              <w:right w:val="single" w:color="B8B8B8" w:sz="4"/>
            </w:tcBorders>
            <w:shd w:fill="1F3A5F" w:val="clear"/>
            <w:tcMar>
              <w:top w:type="dxa" w:w="100"/>
              <w:left w:type="dxa" w:w="140"/>
              <w:bottom w:type="dxa" w:w="100"/>
              <w:right w:type="dxa" w:w="140"/>
            </w:tcMar>
          </w:tcPr>
          <w:p>
            <w:r>
              <w:rPr>
                <w:b/>
                <w:bCs/>
                <w:color w:val="FFFFFF"/>
                <w:sz w:val="21"/>
                <w:szCs w:val="21"/>
              </w:rPr>
              <w:t xml:space="preserve">Role / Responsibility</w:t>
            </w:r>
          </w:p>
        </w:tc>
      </w:tr>
      <w:tr>
        <w:tc>
          <w:tcPr>
            <w:tcW w:type="dxa" w:w="26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sz w:val="21"/>
                <w:szCs w:val="21"/>
              </w:rPr>
              <w:t xml:space="preserve">Payment System</w:t>
            </w:r>
          </w:p>
        </w:tc>
        <w:tc>
          <w:tcPr>
            <w:tcW w:type="dxa" w:w="64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External upstream system publishing transaction events to the configured Kafka topic. Primary actor for UC-01 (Process Transaction).</w:t>
            </w:r>
          </w:p>
        </w:tc>
      </w:tr>
      <w:tr>
        <w:tc>
          <w:tcPr>
            <w:tcW w:type="dxa" w:w="26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sz w:val="21"/>
                <w:szCs w:val="21"/>
              </w:rPr>
              <w:t xml:space="preserve">API Client</w:t>
            </w:r>
          </w:p>
        </w:tc>
        <w:tc>
          <w:tcPr>
            <w:tcW w:type="dxa" w:w="64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Any authenticated service or workload that calls the REST API to request a synchronous risk assessment. Primary actor for UC-02.</w:t>
            </w:r>
          </w:p>
        </w:tc>
      </w:tr>
      <w:tr>
        <w:tc>
          <w:tcPr>
            <w:tcW w:type="dxa" w:w="26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sz w:val="21"/>
                <w:szCs w:val="21"/>
              </w:rPr>
              <w:t xml:space="preserve">Fraud Analyst</w:t>
            </w:r>
          </w:p>
        </w:tc>
        <w:tc>
          <w:tcPr>
            <w:tcW w:type="dxa" w:w="64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Human user who inspects completed risk assessments and investigates suspicious activity. Primary actor for UC-03 and UC-04.</w:t>
            </w:r>
          </w:p>
        </w:tc>
      </w:tr>
      <w:tr>
        <w:tc>
          <w:tcPr>
            <w:tcW w:type="dxa" w:w="26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sz w:val="21"/>
                <w:szCs w:val="21"/>
              </w:rPr>
              <w:t xml:space="preserve">Case Manager</w:t>
            </w:r>
          </w:p>
        </w:tc>
        <w:tc>
          <w:tcPr>
            <w:tcW w:type="dxa" w:w="64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Supervisor for the fraud-analyst team; consumes the same query use cases as analysts, at an aggregated level.</w:t>
            </w:r>
          </w:p>
        </w:tc>
      </w:tr>
      <w:tr>
        <w:tc>
          <w:tcPr>
            <w:tcW w:type="dxa" w:w="26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sz w:val="21"/>
                <w:szCs w:val="21"/>
              </w:rPr>
              <w:t xml:space="preserve">Compliance Officer</w:t>
            </w:r>
          </w:p>
        </w:tc>
        <w:tc>
          <w:tcPr>
            <w:tcW w:type="dxa" w:w="64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Reviews risk-assessment history for monitoring and regulatory purposes. Secondary actor for UC-04.</w:t>
            </w:r>
          </w:p>
        </w:tc>
      </w:tr>
      <w:tr>
        <w:tc>
          <w:tcPr>
            <w:tcW w:type="dxa" w:w="26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sz w:val="21"/>
                <w:szCs w:val="21"/>
              </w:rPr>
              <w:t xml:space="preserve">System Administrator</w:t>
            </w:r>
          </w:p>
        </w:tc>
        <w:tc>
          <w:tcPr>
            <w:tcW w:type="dxa" w:w="64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Authors and publishes Drools rule artifacts. Primary actor for UC-05 (planned).</w:t>
            </w:r>
          </w:p>
        </w:tc>
      </w:tr>
      <w:tr>
        <w:tc>
          <w:tcPr>
            <w:tcW w:type="dxa" w:w="26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sz w:val="21"/>
                <w:szCs w:val="21"/>
              </w:rPr>
              <w:t xml:space="preserve">ML Platform</w:t>
            </w:r>
          </w:p>
        </w:tc>
        <w:tc>
          <w:tcPr>
            <w:tcW w:type="dxa" w:w="64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AWS SageMaker endpoint providing fraud-probability predictions via the SageMakerMLAdapter. Supporting actor.</w:t>
            </w:r>
          </w:p>
        </w:tc>
      </w:tr>
      <w:tr>
        <w:tc>
          <w:tcPr>
            <w:tcW w:type="dxa" w:w="26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sz w:val="21"/>
                <w:szCs w:val="21"/>
              </w:rPr>
              <w:t xml:space="preserve">Identity Provider</w:t>
            </w:r>
          </w:p>
        </w:tc>
        <w:tc>
          <w:tcPr>
            <w:tcW w:type="dxa" w:w="64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Keycloak — issues JWT access tokens and governs scope-based authorisation for the REST API.</w:t>
            </w:r>
          </w:p>
        </w:tc>
      </w:tr>
    </w:tbl>
    <w:p>
      <w:pPr>
        <w:pStyle w:val="Heading2"/>
        <w:spacing w:after="140" w:before="300"/>
      </w:pPr>
      <w:r>
        <w:t xml:space="preserve">3.3 Use Case Index</w:t>
      </w:r>
    </w:p>
    <w:p>
      <w:pPr>
        <w:spacing w:after="120"/>
        <w:jc w:val="both"/>
      </w:pPr>
      <w:r>
        <w:rPr>
          <w:b w:val="false"/>
          <w:bCs w:val="false"/>
          <w:i w:val="false"/>
          <w:iCs w:val="false"/>
          <w:color w:val="000000"/>
          <w:sz w:val="22"/>
          <w:szCs w:val="22"/>
        </w:rPr>
        <w:t xml:space="preserve">The five use cases covered by this specification are summarised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800"/>
        <w:gridCol w:w="1600"/>
        <w:gridCol w:w="1526"/>
      </w:tblGrid>
      <w:tr>
        <w:trPr>
          <w:tblHeader/>
        </w:trPr>
        <w:tc>
          <w:tcPr>
            <w:tcW w:type="dxa" w:w="900"/>
            <w:tcBorders>
              <w:top w:val="single" w:color="B8B8B8" w:sz="4"/>
              <w:left w:val="single" w:color="B8B8B8" w:sz="4"/>
              <w:bottom w:val="single" w:color="B8B8B8" w:sz="4"/>
              <w:right w:val="single" w:color="B8B8B8" w:sz="4"/>
            </w:tcBorders>
            <w:shd w:fill="1F3A5F" w:val="clear"/>
            <w:tcMar>
              <w:top w:type="dxa" w:w="100"/>
              <w:left w:type="dxa" w:w="140"/>
              <w:bottom w:type="dxa" w:w="100"/>
              <w:right w:type="dxa" w:w="140"/>
            </w:tcMar>
          </w:tcPr>
          <w:p>
            <w:r>
              <w:rPr>
                <w:b/>
                <w:bCs/>
                <w:color w:val="FFFFFF"/>
                <w:sz w:val="21"/>
                <w:szCs w:val="21"/>
              </w:rPr>
              <w:t xml:space="preserve">ID</w:t>
            </w:r>
          </w:p>
        </w:tc>
        <w:tc>
          <w:tcPr>
            <w:tcW w:type="dxa" w:w="3200"/>
            <w:tcBorders>
              <w:top w:val="single" w:color="B8B8B8" w:sz="4"/>
              <w:left w:val="single" w:color="B8B8B8" w:sz="4"/>
              <w:bottom w:val="single" w:color="B8B8B8" w:sz="4"/>
              <w:right w:val="single" w:color="B8B8B8" w:sz="4"/>
            </w:tcBorders>
            <w:shd w:fill="1F3A5F" w:val="clear"/>
            <w:tcMar>
              <w:top w:type="dxa" w:w="100"/>
              <w:left w:type="dxa" w:w="140"/>
              <w:bottom w:type="dxa" w:w="100"/>
              <w:right w:type="dxa" w:w="140"/>
            </w:tcMar>
          </w:tcPr>
          <w:p>
            <w:r>
              <w:rPr>
                <w:b/>
                <w:bCs/>
                <w:color w:val="FFFFFF"/>
                <w:sz w:val="21"/>
                <w:szCs w:val="21"/>
              </w:rPr>
              <w:t xml:space="preserve">Use Case</w:t>
            </w:r>
          </w:p>
        </w:tc>
        <w:tc>
          <w:tcPr>
            <w:tcW w:type="dxa" w:w="1800"/>
            <w:tcBorders>
              <w:top w:val="single" w:color="B8B8B8" w:sz="4"/>
              <w:left w:val="single" w:color="B8B8B8" w:sz="4"/>
              <w:bottom w:val="single" w:color="B8B8B8" w:sz="4"/>
              <w:right w:val="single" w:color="B8B8B8" w:sz="4"/>
            </w:tcBorders>
            <w:shd w:fill="1F3A5F" w:val="clear"/>
            <w:tcMar>
              <w:top w:type="dxa" w:w="100"/>
              <w:left w:type="dxa" w:w="140"/>
              <w:bottom w:type="dxa" w:w="100"/>
              <w:right w:type="dxa" w:w="140"/>
            </w:tcMar>
          </w:tcPr>
          <w:p>
            <w:r>
              <w:rPr>
                <w:b/>
                <w:bCs/>
                <w:color w:val="FFFFFF"/>
                <w:sz w:val="21"/>
                <w:szCs w:val="21"/>
              </w:rPr>
              <w:t xml:space="preserve">Primary Actor</w:t>
            </w:r>
          </w:p>
        </w:tc>
        <w:tc>
          <w:tcPr>
            <w:tcW w:type="dxa" w:w="1600"/>
            <w:tcBorders>
              <w:top w:val="single" w:color="B8B8B8" w:sz="4"/>
              <w:left w:val="single" w:color="B8B8B8" w:sz="4"/>
              <w:bottom w:val="single" w:color="B8B8B8" w:sz="4"/>
              <w:right w:val="single" w:color="B8B8B8" w:sz="4"/>
            </w:tcBorders>
            <w:shd w:fill="1F3A5F" w:val="clear"/>
            <w:tcMar>
              <w:top w:type="dxa" w:w="100"/>
              <w:left w:type="dxa" w:w="140"/>
              <w:bottom w:type="dxa" w:w="100"/>
              <w:right w:type="dxa" w:w="140"/>
            </w:tcMar>
          </w:tcPr>
          <w:p>
            <w:r>
              <w:rPr>
                <w:b/>
                <w:bCs/>
                <w:color w:val="FFFFFF"/>
                <w:sz w:val="21"/>
                <w:szCs w:val="21"/>
              </w:rPr>
              <w:t xml:space="preserve">Channel</w:t>
            </w:r>
          </w:p>
        </w:tc>
        <w:tc>
          <w:tcPr>
            <w:tcW w:type="dxa" w:w="1526"/>
            <w:tcBorders>
              <w:top w:val="single" w:color="B8B8B8" w:sz="4"/>
              <w:left w:val="single" w:color="B8B8B8" w:sz="4"/>
              <w:bottom w:val="single" w:color="B8B8B8" w:sz="4"/>
              <w:right w:val="single" w:color="B8B8B8" w:sz="4"/>
            </w:tcBorders>
            <w:shd w:fill="1F3A5F" w:val="clear"/>
            <w:tcMar>
              <w:top w:type="dxa" w:w="100"/>
              <w:left w:type="dxa" w:w="140"/>
              <w:bottom w:type="dxa" w:w="100"/>
              <w:right w:type="dxa" w:w="140"/>
            </w:tcMar>
          </w:tcPr>
          <w:p>
            <w:r>
              <w:rPr>
                <w:b/>
                <w:bCs/>
                <w:color w:val="FFFFFF"/>
                <w:sz w:val="21"/>
                <w:szCs w:val="21"/>
              </w:rPr>
              <w:t xml:space="preserve">Status</w:t>
            </w:r>
          </w:p>
        </w:tc>
      </w:tr>
      <w:tr>
        <w:tc>
          <w:tcPr>
            <w:tcW w:type="dxa" w:w="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bCs/>
                <w:sz w:val="21"/>
                <w:szCs w:val="21"/>
              </w:rPr>
              <w:t xml:space="preserve">UC-01</w:t>
            </w:r>
          </w:p>
        </w:tc>
        <w:tc>
          <w:tcPr>
            <w:tcW w:type="dxa" w:w="3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sz w:val="21"/>
                <w:szCs w:val="21"/>
              </w:rPr>
              <w:t xml:space="preserve">Process Transaction</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sz w:val="21"/>
                <w:szCs w:val="21"/>
              </w:rPr>
              <w:t xml:space="preserve">Payment System</w:t>
            </w:r>
          </w:p>
        </w:tc>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sz w:val="21"/>
                <w:szCs w:val="21"/>
              </w:rPr>
              <w:t xml:space="preserve">Kafka</w:t>
            </w:r>
          </w:p>
        </w:tc>
        <w:tc>
          <w:tcPr>
            <w:tcW w:type="dxa" w:w="1526"/>
            <w:tcBorders>
              <w:top w:val="single" w:color="B8B8B8" w:sz="4"/>
              <w:left w:val="single" w:color="B8B8B8" w:sz="4"/>
              <w:bottom w:val="single" w:color="B8B8B8" w:sz="4"/>
              <w:right w:val="single" w:color="B8B8B8" w:sz="4"/>
            </w:tcBorders>
            <w:shd w:fill="D4EDDA" w:val="clear"/>
            <w:tcMar>
              <w:top w:type="dxa" w:w="100"/>
              <w:left w:type="dxa" w:w="140"/>
              <w:bottom w:type="dxa" w:w="100"/>
              <w:right w:type="dxa" w:w="140"/>
            </w:tcMar>
          </w:tcPr>
          <w:p>
            <w:r>
              <w:rPr>
                <w:b/>
                <w:bCs/>
                <w:sz w:val="21"/>
                <w:szCs w:val="21"/>
              </w:rPr>
              <w:t xml:space="preserve">Implemented</w:t>
            </w:r>
          </w:p>
        </w:tc>
      </w:tr>
      <w:tr>
        <w:tc>
          <w:tcPr>
            <w:tcW w:type="dxa" w:w="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bCs/>
                <w:sz w:val="21"/>
                <w:szCs w:val="21"/>
              </w:rPr>
              <w:t xml:space="preserve">UC-02</w:t>
            </w:r>
          </w:p>
        </w:tc>
        <w:tc>
          <w:tcPr>
            <w:tcW w:type="dxa" w:w="3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sz w:val="21"/>
                <w:szCs w:val="21"/>
              </w:rPr>
              <w:t xml:space="preserve">Assess Transaction Risk</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sz w:val="21"/>
                <w:szCs w:val="21"/>
              </w:rPr>
              <w:t xml:space="preserve">API Client</w:t>
            </w:r>
          </w:p>
        </w:tc>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sz w:val="21"/>
                <w:szCs w:val="21"/>
              </w:rPr>
              <w:t xml:space="preserve">REST / internal</w:t>
            </w:r>
          </w:p>
        </w:tc>
        <w:tc>
          <w:tcPr>
            <w:tcW w:type="dxa" w:w="1526"/>
            <w:tcBorders>
              <w:top w:val="single" w:color="B8B8B8" w:sz="4"/>
              <w:left w:val="single" w:color="B8B8B8" w:sz="4"/>
              <w:bottom w:val="single" w:color="B8B8B8" w:sz="4"/>
              <w:right w:val="single" w:color="B8B8B8" w:sz="4"/>
            </w:tcBorders>
            <w:shd w:fill="D4EDDA" w:val="clear"/>
            <w:tcMar>
              <w:top w:type="dxa" w:w="100"/>
              <w:left w:type="dxa" w:w="140"/>
              <w:bottom w:type="dxa" w:w="100"/>
              <w:right w:type="dxa" w:w="140"/>
            </w:tcMar>
          </w:tcPr>
          <w:p>
            <w:r>
              <w:rPr>
                <w:b/>
                <w:bCs/>
                <w:sz w:val="21"/>
                <w:szCs w:val="21"/>
              </w:rPr>
              <w:t xml:space="preserve">Implemented</w:t>
            </w:r>
          </w:p>
        </w:tc>
      </w:tr>
      <w:tr>
        <w:tc>
          <w:tcPr>
            <w:tcW w:type="dxa" w:w="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bCs/>
                <w:sz w:val="21"/>
                <w:szCs w:val="21"/>
              </w:rPr>
              <w:t xml:space="preserve">UC-03</w:t>
            </w:r>
          </w:p>
        </w:tc>
        <w:tc>
          <w:tcPr>
            <w:tcW w:type="dxa" w:w="3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sz w:val="21"/>
                <w:szCs w:val="21"/>
              </w:rPr>
              <w:t xml:space="preserve">Get Risk Assessment</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sz w:val="21"/>
                <w:szCs w:val="21"/>
              </w:rPr>
              <w:t xml:space="preserve">Fraud Analyst</w:t>
            </w:r>
          </w:p>
        </w:tc>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sz w:val="21"/>
                <w:szCs w:val="21"/>
              </w:rPr>
              <w:t xml:space="preserve">REST</w:t>
            </w:r>
          </w:p>
        </w:tc>
        <w:tc>
          <w:tcPr>
            <w:tcW w:type="dxa" w:w="1526"/>
            <w:tcBorders>
              <w:top w:val="single" w:color="B8B8B8" w:sz="4"/>
              <w:left w:val="single" w:color="B8B8B8" w:sz="4"/>
              <w:bottom w:val="single" w:color="B8B8B8" w:sz="4"/>
              <w:right w:val="single" w:color="B8B8B8" w:sz="4"/>
            </w:tcBorders>
            <w:shd w:fill="D4EDDA" w:val="clear"/>
            <w:tcMar>
              <w:top w:type="dxa" w:w="100"/>
              <w:left w:type="dxa" w:w="140"/>
              <w:bottom w:type="dxa" w:w="100"/>
              <w:right w:type="dxa" w:w="140"/>
            </w:tcMar>
          </w:tcPr>
          <w:p>
            <w:r>
              <w:rPr>
                <w:b/>
                <w:bCs/>
                <w:sz w:val="21"/>
                <w:szCs w:val="21"/>
              </w:rPr>
              <w:t xml:space="preserve">Implemented</w:t>
            </w:r>
          </w:p>
        </w:tc>
      </w:tr>
      <w:tr>
        <w:tc>
          <w:tcPr>
            <w:tcW w:type="dxa" w:w="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bCs/>
                <w:sz w:val="21"/>
                <w:szCs w:val="21"/>
              </w:rPr>
              <w:t xml:space="preserve">UC-04</w:t>
            </w:r>
          </w:p>
        </w:tc>
        <w:tc>
          <w:tcPr>
            <w:tcW w:type="dxa" w:w="3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sz w:val="21"/>
                <w:szCs w:val="21"/>
              </w:rPr>
              <w:t xml:space="preserve">Find Risk-Leveled Assessments</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sz w:val="21"/>
                <w:szCs w:val="21"/>
              </w:rPr>
              <w:t xml:space="preserve">Fraud Analyst</w:t>
            </w:r>
          </w:p>
        </w:tc>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sz w:val="21"/>
                <w:szCs w:val="21"/>
              </w:rPr>
              <w:t xml:space="preserve">REST</w:t>
            </w:r>
          </w:p>
        </w:tc>
        <w:tc>
          <w:tcPr>
            <w:tcW w:type="dxa" w:w="1526"/>
            <w:tcBorders>
              <w:top w:val="single" w:color="B8B8B8" w:sz="4"/>
              <w:left w:val="single" w:color="B8B8B8" w:sz="4"/>
              <w:bottom w:val="single" w:color="B8B8B8" w:sz="4"/>
              <w:right w:val="single" w:color="B8B8B8" w:sz="4"/>
            </w:tcBorders>
            <w:shd w:fill="D4EDDA" w:val="clear"/>
            <w:tcMar>
              <w:top w:type="dxa" w:w="100"/>
              <w:left w:type="dxa" w:w="140"/>
              <w:bottom w:type="dxa" w:w="100"/>
              <w:right w:type="dxa" w:w="140"/>
            </w:tcMar>
          </w:tcPr>
          <w:p>
            <w:r>
              <w:rPr>
                <w:b/>
                <w:bCs/>
                <w:sz w:val="21"/>
                <w:szCs w:val="21"/>
              </w:rPr>
              <w:t xml:space="preserve">Implemented</w:t>
            </w:r>
          </w:p>
        </w:tc>
      </w:tr>
      <w:tr>
        <w:tc>
          <w:tcPr>
            <w:tcW w:type="dxa" w:w="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bCs/>
                <w:sz w:val="21"/>
                <w:szCs w:val="21"/>
              </w:rPr>
              <w:t xml:space="preserve">UC-05</w:t>
            </w:r>
          </w:p>
        </w:tc>
        <w:tc>
          <w:tcPr>
            <w:tcW w:type="dxa" w:w="3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sz w:val="21"/>
                <w:szCs w:val="21"/>
              </w:rPr>
              <w:t xml:space="preserve">Configure Fraud Rules</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sz w:val="21"/>
                <w:szCs w:val="21"/>
              </w:rPr>
              <w:t xml:space="preserve">System Administrator</w:t>
            </w:r>
          </w:p>
        </w:tc>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sz w:val="21"/>
                <w:szCs w:val="21"/>
              </w:rPr>
              <w:t xml:space="preserve">REST</w:t>
            </w:r>
          </w:p>
        </w:tc>
        <w:tc>
          <w:tcPr>
            <w:tcW w:type="dxa" w:w="1526"/>
            <w:tcBorders>
              <w:top w:val="single" w:color="B8B8B8" w:sz="4"/>
              <w:left w:val="single" w:color="B8B8B8" w:sz="4"/>
              <w:bottom w:val="single" w:color="B8B8B8" w:sz="4"/>
              <w:right w:val="single" w:color="B8B8B8" w:sz="4"/>
            </w:tcBorders>
            <w:shd w:fill="FFF3CD" w:val="clear"/>
            <w:tcMar>
              <w:top w:type="dxa" w:w="100"/>
              <w:left w:type="dxa" w:w="140"/>
              <w:bottom w:type="dxa" w:w="100"/>
              <w:right w:type="dxa" w:w="140"/>
            </w:tcMar>
          </w:tcPr>
          <w:p>
            <w:r>
              <w:rPr>
                <w:b/>
                <w:bCs/>
                <w:sz w:val="21"/>
                <w:szCs w:val="21"/>
              </w:rPr>
              <w:t xml:space="preserve">Planned</w:t>
            </w:r>
          </w:p>
        </w:tc>
      </w:tr>
    </w:tbl>
    <w:p>
      <w:r>
        <w:br w:type="page"/>
      </w:r>
    </w:p>
    <w:p>
      <w:pPr>
        <w:pStyle w:val="Heading1"/>
        <w:spacing w:after="180" w:before="360"/>
      </w:pPr>
      <w:r>
        <w:t xml:space="preserve">4. UML Use Case Diagram</w:t>
      </w:r>
    </w:p>
    <w:p>
      <w:pPr>
        <w:spacing w:after="120"/>
        <w:jc w:val="both"/>
      </w:pPr>
      <w:r>
        <w:rPr>
          <w:b w:val="false"/>
          <w:bCs w:val="false"/>
          <w:i w:val="false"/>
          <w:iCs w:val="false"/>
          <w:color w:val="000000"/>
          <w:sz w:val="22"/>
          <w:szCs w:val="22"/>
        </w:rPr>
        <w:t xml:space="preserve">The diagram is provided as PlantUML source. Render it with any PlantUML-compatible tool to produce the corresponding graphical use-case view.</w:t>
      </w:r>
    </w:p>
    <w:p>
      <w:pPr>
        <w:shd w:fill="F4F4F4" w:val="clear"/>
        <w:spacing w:after="120" w:before="120"/>
      </w:pPr>
      <w:r>
        <w:rPr>
          <w:rFonts w:ascii="Courier New" w:cs="Courier New" w:eastAsia="Courier New" w:hAnsi="Courier New"/>
          <w:sz w:val="20"/>
          <w:szCs w:val="20"/>
        </w:rPr>
        <w:t xml:space="preserve">@startuml</w:t>
      </w:r>
    </w:p>
    <w:p>
      <w:pPr>
        <w:shd w:fill="F4F4F4" w:val="clear"/>
        <w:spacing w:after="20"/>
      </w:pPr>
      <w:r>
        <w:rPr>
          <w:rFonts w:ascii="Courier New" w:cs="Courier New" w:eastAsia="Courier New" w:hAnsi="Courier New"/>
          <w:sz w:val="20"/>
          <w:szCs w:val="20"/>
        </w:rPr>
        <w:t xml:space="preserve">left to right direction</w:t>
      </w:r>
    </w:p>
    <w:p>
      <w:pPr>
        <w:shd w:fill="F4F4F4" w:val="clear"/>
        <w:spacing w:after="20"/>
      </w:pPr>
      <w:r>
        <w:rPr>
          <w:rFonts w:ascii="Courier New" w:cs="Courier New" w:eastAsia="Courier New" w:hAnsi="Courier New"/>
          <w:sz w:val="20"/>
          <w:szCs w:val="20"/>
        </w:rPr>
        <w:t xml:space="preserve">skinparam packageStyle rectangle</w:t>
      </w:r>
    </w:p>
    <w:p>
      <w:pPr>
        <w:shd w:fill="F4F4F4" w:val="clear"/>
        <w:spacing w:after="20"/>
      </w:pPr>
      <w:r>
        <w:rPr>
          <w:rFonts w:ascii="Courier New" w:cs="Courier New" w:eastAsia="Courier New" w:hAnsi="Courier New"/>
          <w:sz w:val="20"/>
          <w:szCs w:val="20"/>
        </w:rPr>
        <w:t xml:space="preserve">skinparam shadowing false</w:t>
      </w:r>
    </w:p>
    <w:p>
      <w:pPr>
        <w:shd w:fill="F4F4F4" w:val="clear"/>
        <w:spacing w:after="20"/>
      </w:pPr>
      <w:r>
        <w:rPr>
          <w:rFonts w:ascii="Courier New" w:cs="Courier New" w:eastAsia="Courier New" w:hAnsi="Courier New"/>
          <w:sz w:val="20"/>
          <w:szCs w:val="20"/>
        </w:rPr>
        <w:t xml:space="preserve"> </w:t>
      </w:r>
    </w:p>
    <w:p>
      <w:pPr>
        <w:shd w:fill="F4F4F4" w:val="clear"/>
        <w:spacing w:after="20"/>
      </w:pPr>
      <w:r>
        <w:rPr>
          <w:rFonts w:ascii="Courier New" w:cs="Courier New" w:eastAsia="Courier New" w:hAnsi="Courier New"/>
          <w:sz w:val="20"/>
          <w:szCs w:val="20"/>
        </w:rPr>
        <w:t xml:space="preserve">actor "Payment System"      as PS</w:t>
      </w:r>
    </w:p>
    <w:p>
      <w:pPr>
        <w:shd w:fill="F4F4F4" w:val="clear"/>
        <w:spacing w:after="20"/>
      </w:pPr>
      <w:r>
        <w:rPr>
          <w:rFonts w:ascii="Courier New" w:cs="Courier New" w:eastAsia="Courier New" w:hAnsi="Courier New"/>
          <w:sz w:val="20"/>
          <w:szCs w:val="20"/>
        </w:rPr>
        <w:t xml:space="preserve">actor "API Client"          as API</w:t>
      </w:r>
    </w:p>
    <w:p>
      <w:pPr>
        <w:shd w:fill="F4F4F4" w:val="clear"/>
        <w:spacing w:after="20"/>
      </w:pPr>
      <w:r>
        <w:rPr>
          <w:rFonts w:ascii="Courier New" w:cs="Courier New" w:eastAsia="Courier New" w:hAnsi="Courier New"/>
          <w:sz w:val="20"/>
          <w:szCs w:val="20"/>
        </w:rPr>
        <w:t xml:space="preserve">actor "Fraud Analyst"       as FA</w:t>
      </w:r>
    </w:p>
    <w:p>
      <w:pPr>
        <w:shd w:fill="F4F4F4" w:val="clear"/>
        <w:spacing w:after="20"/>
      </w:pPr>
      <w:r>
        <w:rPr>
          <w:rFonts w:ascii="Courier New" w:cs="Courier New" w:eastAsia="Courier New" w:hAnsi="Courier New"/>
          <w:sz w:val="20"/>
          <w:szCs w:val="20"/>
        </w:rPr>
        <w:t xml:space="preserve">actor "Case Manager"        as CM</w:t>
      </w:r>
    </w:p>
    <w:p>
      <w:pPr>
        <w:shd w:fill="F4F4F4" w:val="clear"/>
        <w:spacing w:after="20"/>
      </w:pPr>
      <w:r>
        <w:rPr>
          <w:rFonts w:ascii="Courier New" w:cs="Courier New" w:eastAsia="Courier New" w:hAnsi="Courier New"/>
          <w:sz w:val="20"/>
          <w:szCs w:val="20"/>
        </w:rPr>
        <w:t xml:space="preserve">actor "Compliance Officer"  as CO</w:t>
      </w:r>
    </w:p>
    <w:p>
      <w:pPr>
        <w:shd w:fill="F4F4F4" w:val="clear"/>
        <w:spacing w:after="20"/>
      </w:pPr>
      <w:r>
        <w:rPr>
          <w:rFonts w:ascii="Courier New" w:cs="Courier New" w:eastAsia="Courier New" w:hAnsi="Courier New"/>
          <w:sz w:val="20"/>
          <w:szCs w:val="20"/>
        </w:rPr>
        <w:t xml:space="preserve">actor "System Administrator" as SA</w:t>
      </w:r>
    </w:p>
    <w:p>
      <w:pPr>
        <w:shd w:fill="F4F4F4" w:val="clear"/>
        <w:spacing w:after="20"/>
      </w:pPr>
      <w:r>
        <w:rPr>
          <w:rFonts w:ascii="Courier New" w:cs="Courier New" w:eastAsia="Courier New" w:hAnsi="Courier New"/>
          <w:sz w:val="20"/>
          <w:szCs w:val="20"/>
        </w:rPr>
        <w:t xml:space="preserve">actor "ML Platform"         as ML</w:t>
      </w:r>
    </w:p>
    <w:p>
      <w:pPr>
        <w:shd w:fill="F4F4F4" w:val="clear"/>
        <w:spacing w:after="20"/>
      </w:pPr>
      <w:r>
        <w:rPr>
          <w:rFonts w:ascii="Courier New" w:cs="Courier New" w:eastAsia="Courier New" w:hAnsi="Courier New"/>
          <w:sz w:val="20"/>
          <w:szCs w:val="20"/>
        </w:rPr>
        <w:t xml:space="preserve"> </w:t>
      </w:r>
    </w:p>
    <w:p>
      <w:pPr>
        <w:shd w:fill="F4F4F4" w:val="clear"/>
        <w:spacing w:after="20"/>
      </w:pPr>
      <w:r>
        <w:rPr>
          <w:rFonts w:ascii="Courier New" w:cs="Courier New" w:eastAsia="Courier New" w:hAnsi="Courier New"/>
          <w:sz w:val="20"/>
          <w:szCs w:val="20"/>
        </w:rPr>
        <w:t xml:space="preserve">rectangle "Fraud Detection Service" {</w:t>
      </w:r>
    </w:p>
    <w:p>
      <w:pPr>
        <w:shd w:fill="F4F4F4" w:val="clear"/>
        <w:spacing w:after="20"/>
      </w:pPr>
      <w:r>
        <w:rPr>
          <w:rFonts w:ascii="Courier New" w:cs="Courier New" w:eastAsia="Courier New" w:hAnsi="Courier New"/>
          <w:sz w:val="20"/>
          <w:szCs w:val="20"/>
        </w:rPr>
        <w:t xml:space="preserve">  usecase "UC-01 Process Transaction"           as UC1</w:t>
      </w:r>
    </w:p>
    <w:p>
      <w:pPr>
        <w:shd w:fill="F4F4F4" w:val="clear"/>
        <w:spacing w:after="20"/>
      </w:pPr>
      <w:r>
        <w:rPr>
          <w:rFonts w:ascii="Courier New" w:cs="Courier New" w:eastAsia="Courier New" w:hAnsi="Courier New"/>
          <w:sz w:val="20"/>
          <w:szCs w:val="20"/>
        </w:rPr>
        <w:t xml:space="preserve">  usecase "UC-02 Assess Transaction Risk"       as UC2</w:t>
      </w:r>
    </w:p>
    <w:p>
      <w:pPr>
        <w:shd w:fill="F4F4F4" w:val="clear"/>
        <w:spacing w:after="20"/>
      </w:pPr>
      <w:r>
        <w:rPr>
          <w:rFonts w:ascii="Courier New" w:cs="Courier New" w:eastAsia="Courier New" w:hAnsi="Courier New"/>
          <w:sz w:val="20"/>
          <w:szCs w:val="20"/>
        </w:rPr>
        <w:t xml:space="preserve">  usecase "UC-03 Get Risk Assessment"           as UC3</w:t>
      </w:r>
    </w:p>
    <w:p>
      <w:pPr>
        <w:shd w:fill="F4F4F4" w:val="clear"/>
        <w:spacing w:after="20"/>
      </w:pPr>
      <w:r>
        <w:rPr>
          <w:rFonts w:ascii="Courier New" w:cs="Courier New" w:eastAsia="Courier New" w:hAnsi="Courier New"/>
          <w:sz w:val="20"/>
          <w:szCs w:val="20"/>
        </w:rPr>
        <w:t xml:space="preserve">  usecase "UC-04 Find Risk-Leveled Assessments" as UC4</w:t>
      </w:r>
    </w:p>
    <w:p>
      <w:pPr>
        <w:shd w:fill="F4F4F4" w:val="clear"/>
        <w:spacing w:after="20"/>
      </w:pPr>
      <w:r>
        <w:rPr>
          <w:rFonts w:ascii="Courier New" w:cs="Courier New" w:eastAsia="Courier New" w:hAnsi="Courier New"/>
          <w:sz w:val="20"/>
          <w:szCs w:val="20"/>
        </w:rPr>
        <w:t xml:space="preserve">  usecase "UC-05 Configure Fraud Rules"         as UC5 &lt;&lt;planned&gt;&gt;</w:t>
      </w:r>
    </w:p>
    <w:p>
      <w:pPr>
        <w:shd w:fill="F4F4F4" w:val="clear"/>
        <w:spacing w:after="20"/>
      </w:pPr>
      <w:r>
        <w:rPr>
          <w:rFonts w:ascii="Courier New" w:cs="Courier New" w:eastAsia="Courier New" w:hAnsi="Courier New"/>
          <w:sz w:val="20"/>
          <w:szCs w:val="20"/>
        </w:rPr>
        <w:t xml:space="preserve">}</w:t>
      </w:r>
    </w:p>
    <w:p>
      <w:pPr>
        <w:shd w:fill="F4F4F4" w:val="clear"/>
        <w:spacing w:after="20"/>
      </w:pPr>
      <w:r>
        <w:rPr>
          <w:rFonts w:ascii="Courier New" w:cs="Courier New" w:eastAsia="Courier New" w:hAnsi="Courier New"/>
          <w:sz w:val="20"/>
          <w:szCs w:val="20"/>
        </w:rPr>
        <w:t xml:space="preserve"> </w:t>
      </w:r>
    </w:p>
    <w:p>
      <w:pPr>
        <w:shd w:fill="F4F4F4" w:val="clear"/>
        <w:spacing w:after="20"/>
      </w:pPr>
      <w:r>
        <w:rPr>
          <w:rFonts w:ascii="Courier New" w:cs="Courier New" w:eastAsia="Courier New" w:hAnsi="Courier New"/>
          <w:sz w:val="20"/>
          <w:szCs w:val="20"/>
        </w:rPr>
        <w:t xml:space="preserve">PS  --&gt; UC1</w:t>
      </w:r>
    </w:p>
    <w:p>
      <w:pPr>
        <w:shd w:fill="F4F4F4" w:val="clear"/>
        <w:spacing w:after="20"/>
      </w:pPr>
      <w:r>
        <w:rPr>
          <w:rFonts w:ascii="Courier New" w:cs="Courier New" w:eastAsia="Courier New" w:hAnsi="Courier New"/>
          <w:sz w:val="20"/>
          <w:szCs w:val="20"/>
        </w:rPr>
        <w:t xml:space="preserve">UC1 ..&gt; UC2 : &lt;&lt;include&gt;&gt;</w:t>
      </w:r>
    </w:p>
    <w:p>
      <w:pPr>
        <w:shd w:fill="F4F4F4" w:val="clear"/>
        <w:spacing w:after="20"/>
      </w:pPr>
      <w:r>
        <w:rPr>
          <w:rFonts w:ascii="Courier New" w:cs="Courier New" w:eastAsia="Courier New" w:hAnsi="Courier New"/>
          <w:sz w:val="20"/>
          <w:szCs w:val="20"/>
        </w:rPr>
        <w:t xml:space="preserve">API --&gt; UC2</w:t>
      </w:r>
    </w:p>
    <w:p>
      <w:pPr>
        <w:shd w:fill="F4F4F4" w:val="clear"/>
        <w:spacing w:after="20"/>
      </w:pPr>
      <w:r>
        <w:rPr>
          <w:rFonts w:ascii="Courier New" w:cs="Courier New" w:eastAsia="Courier New" w:hAnsi="Courier New"/>
          <w:sz w:val="20"/>
          <w:szCs w:val="20"/>
        </w:rPr>
        <w:t xml:space="preserve">UC2 ..&gt; ML  : &lt;&lt;uses&gt;&gt;</w:t>
      </w:r>
    </w:p>
    <w:p>
      <w:pPr>
        <w:shd w:fill="F4F4F4" w:val="clear"/>
        <w:spacing w:after="20"/>
      </w:pPr>
      <w:r>
        <w:rPr>
          <w:rFonts w:ascii="Courier New" w:cs="Courier New" w:eastAsia="Courier New" w:hAnsi="Courier New"/>
          <w:sz w:val="20"/>
          <w:szCs w:val="20"/>
        </w:rPr>
        <w:t xml:space="preserve">FA  --&gt; UC3</w:t>
      </w:r>
    </w:p>
    <w:p>
      <w:pPr>
        <w:shd w:fill="F4F4F4" w:val="clear"/>
        <w:spacing w:after="20"/>
      </w:pPr>
      <w:r>
        <w:rPr>
          <w:rFonts w:ascii="Courier New" w:cs="Courier New" w:eastAsia="Courier New" w:hAnsi="Courier New"/>
          <w:sz w:val="20"/>
          <w:szCs w:val="20"/>
        </w:rPr>
        <w:t xml:space="preserve">FA  --&gt; UC4</w:t>
      </w:r>
    </w:p>
    <w:p>
      <w:pPr>
        <w:shd w:fill="F4F4F4" w:val="clear"/>
        <w:spacing w:after="20"/>
      </w:pPr>
      <w:r>
        <w:rPr>
          <w:rFonts w:ascii="Courier New" w:cs="Courier New" w:eastAsia="Courier New" w:hAnsi="Courier New"/>
          <w:sz w:val="20"/>
          <w:szCs w:val="20"/>
        </w:rPr>
        <w:t xml:space="preserve">CM  --&gt; UC4</w:t>
      </w:r>
    </w:p>
    <w:p>
      <w:pPr>
        <w:shd w:fill="F4F4F4" w:val="clear"/>
        <w:spacing w:after="20"/>
      </w:pPr>
      <w:r>
        <w:rPr>
          <w:rFonts w:ascii="Courier New" w:cs="Courier New" w:eastAsia="Courier New" w:hAnsi="Courier New"/>
          <w:sz w:val="20"/>
          <w:szCs w:val="20"/>
        </w:rPr>
        <w:t xml:space="preserve">CO  --&gt; UC4</w:t>
      </w:r>
    </w:p>
    <w:p>
      <w:pPr>
        <w:shd w:fill="F4F4F4" w:val="clear"/>
        <w:spacing w:after="20"/>
      </w:pPr>
      <w:r>
        <w:rPr>
          <w:rFonts w:ascii="Courier New" w:cs="Courier New" w:eastAsia="Courier New" w:hAnsi="Courier New"/>
          <w:sz w:val="20"/>
          <w:szCs w:val="20"/>
        </w:rPr>
        <w:t xml:space="preserve">SA  --&gt; UC5</w:t>
      </w:r>
    </w:p>
    <w:p>
      <w:pPr>
        <w:shd w:fill="F4F4F4" w:val="clear"/>
        <w:spacing w:after="20"/>
      </w:pPr>
      <w:r>
        <w:rPr>
          <w:rFonts w:ascii="Courier New" w:cs="Courier New" w:eastAsia="Courier New" w:hAnsi="Courier New"/>
          <w:sz w:val="20"/>
          <w:szCs w:val="20"/>
        </w:rPr>
        <w:t xml:space="preserve">@enduml</w:t>
      </w:r>
    </w:p>
    <w:p>
      <w:r>
        <w:br w:type="page"/>
      </w:r>
    </w:p>
    <w:p>
      <w:pPr>
        <w:pStyle w:val="Heading1"/>
        <w:spacing w:after="180" w:before="360"/>
      </w:pPr>
      <w:r>
        <w:t xml:space="preserve">5. Use Case Specifications</w:t>
      </w:r>
    </w:p>
    <w:p>
      <w:pPr>
        <w:spacing w:after="120"/>
        <w:jc w:val="both"/>
      </w:pPr>
      <w:r>
        <w:rPr>
          <w:b w:val="false"/>
          <w:bCs w:val="false"/>
          <w:i w:val="false"/>
          <w:iCs w:val="false"/>
          <w:color w:val="000000"/>
          <w:sz w:val="22"/>
          <w:szCs w:val="22"/>
        </w:rPr>
        <w:t xml:space="preserve">Each use case below follows Alistair Cockburn's fully-dressed template. Labels such as Scope, Level, Stakeholders and Interests, Success Guarantee and Minimal Guarantees follow Writing Effective Use Cases (Cockburn, 2000).</w:t>
      </w:r>
    </w:p>
    <w:p>
      <w:pPr>
        <w:pStyle w:val="Heading2"/>
        <w:spacing w:after="120" w:before="240"/>
      </w:pPr>
      <w:r>
        <w:t xml:space="preserve">5.1 UC-01: Process Transaction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B8B8" w:sz="4"/>
              <w:left w:val="single" w:color="B8B8B8" w:sz="4"/>
              <w:bottom w:val="single" w:color="B8B8B8" w:sz="4"/>
              <w:right w:val="single" w:color="B8B8B8" w:sz="4"/>
            </w:tcBorders>
            <w:shd w:fill="D4EDDA" w:val="clear"/>
            <w:tcMar>
              <w:top w:type="dxa" w:w="80"/>
              <w:left w:type="dxa" w:w="180"/>
              <w:bottom w:type="dxa" w:w="80"/>
              <w:right w:type="dxa" w:w="180"/>
            </w:tcMar>
          </w:tcPr>
          <w:p>
            <w:r>
              <w:rPr>
                <w:b/>
                <w:bCs/>
                <w:color w:val="1F3A5F"/>
                <w:sz w:val="21"/>
                <w:szCs w:val="21"/>
              </w:rPr>
              <w:t xml:space="preserve">Implementation status: Implemented</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Use Case ID</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UC-01</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Use Case Name</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Process Transaction</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Scope</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Fraud Detection Service (bounded context)</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Level</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User Goal (asynchronous, event-driven)</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Primary Actor</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Payment System</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Stakeholders and Interests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pPr>
            <w:r>
              <w:rPr>
                <w:sz w:val="21"/>
                <w:szCs w:val="21"/>
              </w:rPr>
              <w:t xml:space="preserve">Payment System — wants every published transaction consumed exactly once and risk-assessed.</w:t>
            </w:r>
          </w:p>
          <w:p>
            <w:pPr>
              <w:spacing w:after="60"/>
            </w:pPr>
            <w:r>
              <w:rPr>
                <w:sz w:val="21"/>
                <w:szCs w:val="21"/>
              </w:rPr>
              <w:t xml:space="preserve">Fraud Operations — wants durable, queryable assessments for every transaction.</w:t>
            </w:r>
          </w:p>
          <w:p>
            <w:pPr>
              <w:spacing w:after="60"/>
            </w:pPr>
            <w:r>
              <w:rPr>
                <w:sz w:val="21"/>
                <w:szCs w:val="21"/>
              </w:rPr>
              <w:t xml:space="preserve">Downstream Consumers — want RiskAssessmentCompleted / HighRiskDetected events emitted reliably.</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Preconditions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ind w:left="280" w:hanging="280"/>
            </w:pPr>
            <w:r>
              <w:rPr>
                <w:sz w:val="21"/>
                <w:szCs w:val="21"/>
              </w:rPr>
              <w:t xml:space="preserve">1. The transactions Kafka topic is reachable and the consumer group is healthy.</w:t>
            </w:r>
          </w:p>
          <w:p>
            <w:pPr>
              <w:spacing w:after="60"/>
              <w:ind w:left="280" w:hanging="280"/>
            </w:pPr>
            <w:r>
              <w:rPr>
                <w:sz w:val="21"/>
                <w:szCs w:val="21"/>
              </w:rPr>
              <w:t xml:space="preserve">2. Apicurio Schema Registry serves the TransactionAvro schema for deserialisation.</w:t>
            </w:r>
          </w:p>
          <w:p>
            <w:pPr>
              <w:spacing w:after="60"/>
              <w:ind w:left="280" w:hanging="280"/>
            </w:pPr>
            <w:r>
              <w:rPr>
                <w:sz w:val="21"/>
                <w:szCs w:val="21"/>
              </w:rPr>
              <w:t xml:space="preserve">3. PostgreSQL, Redis and the SageMaker ML endpoint are reachable (or the configured fallbacks are active).</w:t>
            </w:r>
          </w:p>
          <w:p>
            <w:pPr>
              <w:spacing w:after="60"/>
              <w:ind w:left="280" w:hanging="280"/>
            </w:pPr>
            <w:r>
              <w:rPr>
                <w:sz w:val="21"/>
                <w:szCs w:val="21"/>
              </w:rPr>
              <w:t xml:space="preserve">4. The message has not been processed before, as tracked by SeenMessageCache.</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Success Guarantee (Postconditions)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ind w:left="280" w:hanging="280"/>
            </w:pPr>
            <w:r>
              <w:rPr>
                <w:sz w:val="21"/>
                <w:szCs w:val="21"/>
              </w:rPr>
              <w:t xml:space="preserve">1. The Transaction has been persisted via TransactionRepository.</w:t>
            </w:r>
          </w:p>
          <w:p>
            <w:pPr>
              <w:spacing w:after="60"/>
              <w:ind w:left="280" w:hanging="280"/>
            </w:pPr>
            <w:r>
              <w:rPr>
                <w:sz w:val="21"/>
                <w:szCs w:val="21"/>
              </w:rPr>
              <w:t xml:space="preserve">2. A RiskAssessment has been persisted via RiskAssessmentRepository with a Decision attached.</w:t>
            </w:r>
          </w:p>
          <w:p>
            <w:pPr>
              <w:spacing w:after="60"/>
              <w:ind w:left="280" w:hanging="280"/>
            </w:pPr>
            <w:r>
              <w:rPr>
                <w:sz w:val="21"/>
                <w:szCs w:val="21"/>
              </w:rPr>
              <w:t xml:space="preserve">3. Velocity counters for the transaction's account have been incremented in Redis.</w:t>
            </w:r>
          </w:p>
          <w:p>
            <w:pPr>
              <w:spacing w:after="60"/>
              <w:ind w:left="280" w:hanging="280"/>
            </w:pPr>
            <w:r>
              <w:rPr>
                <w:sz w:val="21"/>
                <w:szCs w:val="21"/>
              </w:rPr>
              <w:t xml:space="preserve">4. RiskAssessmentCompleted (and HighRiskDetected, if applicable) have been published.</w:t>
            </w:r>
          </w:p>
          <w:p>
            <w:pPr>
              <w:spacing w:after="60"/>
              <w:ind w:left="280" w:hanging="280"/>
            </w:pPr>
            <w:r>
              <w:rPr>
                <w:sz w:val="21"/>
                <w:szCs w:val="21"/>
              </w:rPr>
              <w:t xml:space="preserve">5. The Kafka offset has been acknowledged so the message will not be redelivered under normal operation.</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Minimal Guarantees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pPr>
            <w:r>
              <w:rPr>
                <w:sz w:val="21"/>
                <w:szCs w:val="21"/>
              </w:rPr>
              <w:t xml:space="preserve">If processing fails, the offset is NOT acknowledged; Kafka will redeliver the message according to the configured retry / DLT policy.</w:t>
            </w:r>
          </w:p>
          <w:p>
            <w:pPr>
              <w:spacing w:after="60"/>
            </w:pPr>
            <w:r>
              <w:rPr>
                <w:sz w:val="21"/>
                <w:szCs w:val="21"/>
              </w:rPr>
              <w:t xml:space="preserve">Poison pills (DeserializationException) are logged and acknowledged to prevent infinite retry loops.</w:t>
            </w:r>
          </w:p>
          <w:p>
            <w:pPr>
              <w:spacing w:after="60"/>
            </w:pPr>
            <w:r>
              <w:rPr>
                <w:sz w:val="21"/>
                <w:szCs w:val="21"/>
              </w:rPr>
              <w:t xml:space="preserve">Duplicate deliveries for the same transactionId are detected and short-circuited (idempotency).</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Trigger</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A TransactionAvro message is delivered on the configured transactions Kafka topic.</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Main Success Scenario</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ind w:left="280" w:hanging="280"/>
            </w:pPr>
            <w:r>
              <w:rPr>
                <w:sz w:val="21"/>
                <w:szCs w:val="21"/>
              </w:rPr>
              <w:t xml:space="preserve">1. TransactionEventConsumer receives the Avro-serialised transaction event.</w:t>
            </w:r>
          </w:p>
          <w:p>
            <w:pPr>
              <w:spacing w:after="60"/>
              <w:ind w:left="280" w:hanging="280"/>
            </w:pPr>
            <w:r>
              <w:rPr>
                <w:sz w:val="21"/>
                <w:szCs w:val="21"/>
              </w:rPr>
              <w:t xml:space="preserve">2. Consumer maps the event to a ProcessTransactionCommand via TransactionEventMapper.</w:t>
            </w:r>
          </w:p>
          <w:p>
            <w:pPr>
              <w:spacing w:after="60"/>
              <w:ind w:left="280" w:hanging="280"/>
            </w:pPr>
            <w:r>
              <w:rPr>
                <w:sz w:val="21"/>
                <w:szCs w:val="21"/>
              </w:rPr>
              <w:t xml:space="preserve">3. Consumer checks SeenMessageCache for the transactionId; if already processed, it acknowledges and stops.</w:t>
            </w:r>
          </w:p>
          <w:p>
            <w:pPr>
              <w:spacing w:after="60"/>
              <w:ind w:left="280" w:hanging="280"/>
            </w:pPr>
            <w:r>
              <w:rPr>
                <w:sz w:val="21"/>
                <w:szCs w:val="21"/>
              </w:rPr>
              <w:t xml:space="preserve">4. ProcessTransactionApplicationService converts the command to a Transaction domain object.</w:t>
            </w:r>
          </w:p>
          <w:p>
            <w:pPr>
              <w:spacing w:after="60"/>
              <w:ind w:left="280" w:hanging="280"/>
            </w:pPr>
            <w:r>
              <w:rPr>
                <w:sz w:val="21"/>
                <w:szCs w:val="21"/>
              </w:rPr>
              <w:t xml:space="preserve">5. Service persists the Transaction via TransactionRepository.</w:t>
            </w:r>
          </w:p>
          <w:p>
            <w:pPr>
              <w:spacing w:after="60"/>
              <w:ind w:left="280" w:hanging="280"/>
            </w:pPr>
            <w:r>
              <w:rPr>
                <w:sz w:val="21"/>
                <w:szCs w:val="21"/>
              </w:rPr>
              <w:t xml:space="preserve">6. Service invokes AssessTransactionRiskUseCase (UC-02) with a derived AssessTransactionRiskCommand.</w:t>
            </w:r>
          </w:p>
          <w:p>
            <w:pPr>
              <w:spacing w:after="60"/>
              <w:ind w:left="280" w:hanging="280"/>
            </w:pPr>
            <w:r>
              <w:rPr>
                <w:sz w:val="21"/>
                <w:szCs w:val="21"/>
              </w:rPr>
              <w:t xml:space="preserve">7. On successful assessment, the consumer marks the transactionId as processed in SeenMessageCache.</w:t>
            </w:r>
          </w:p>
          <w:p>
            <w:pPr>
              <w:spacing w:after="60"/>
              <w:ind w:left="280" w:hanging="280"/>
            </w:pPr>
            <w:r>
              <w:rPr>
                <w:sz w:val="21"/>
                <w:szCs w:val="21"/>
              </w:rPr>
              <w:t xml:space="preserve">8. The consumer acknowledges the Kafka offset.</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Extensions (Alternative Flows)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40" w:before="60"/>
            </w:pPr>
            <w:r>
              <w:rPr>
                <w:b/>
                <w:bCs/>
                <w:color w:val="1F3A5F"/>
                <w:sz w:val="21"/>
                <w:szCs w:val="21"/>
              </w:rPr>
              <w:t xml:space="preserve">1a. Malformed payload (DeserializationException):</w:t>
            </w:r>
          </w:p>
          <w:p>
            <w:pPr>
              <w:spacing w:after="40"/>
              <w:ind w:left="280"/>
            </w:pPr>
            <w:r>
              <w:rPr>
                <w:sz w:val="21"/>
                <w:szCs w:val="21"/>
              </w:rPr>
              <w:t xml:space="preserve">1a1. The consumer logs the poison pill.</w:t>
            </w:r>
          </w:p>
          <w:p>
            <w:pPr>
              <w:spacing w:after="40"/>
              <w:ind w:left="280"/>
            </w:pPr>
            <w:r>
              <w:rPr>
                <w:sz w:val="21"/>
                <w:szCs w:val="21"/>
              </w:rPr>
              <w:t xml:space="preserve">1a2. The consumer acknowledges the offset to prevent infinite retry.</w:t>
            </w:r>
          </w:p>
          <w:p>
            <w:pPr>
              <w:spacing w:after="40"/>
              <w:ind w:left="280"/>
            </w:pPr>
            <w:r>
              <w:rPr>
                <w:sz w:val="21"/>
                <w:szCs w:val="21"/>
              </w:rPr>
              <w:t xml:space="preserve">1a3. The message is effectively skipped; alerting is left to infrastructure.</w:t>
            </w:r>
          </w:p>
          <w:p>
            <w:pPr>
              <w:spacing w:after="40" w:before="60"/>
            </w:pPr>
            <w:r>
              <w:rPr>
                <w:b/>
                <w:bCs/>
                <w:color w:val="1F3A5F"/>
                <w:sz w:val="21"/>
                <w:szCs w:val="21"/>
              </w:rPr>
              <w:t xml:space="preserve">3a. Duplicate transactionId observed:</w:t>
            </w:r>
          </w:p>
          <w:p>
            <w:pPr>
              <w:spacing w:after="40"/>
              <w:ind w:left="280"/>
            </w:pPr>
            <w:r>
              <w:rPr>
                <w:sz w:val="21"/>
                <w:szCs w:val="21"/>
              </w:rPr>
              <w:t xml:space="preserve">3a1. SeenMessageCache.hasProcessed(id) returns true.</w:t>
            </w:r>
          </w:p>
          <w:p>
            <w:pPr>
              <w:spacing w:after="40"/>
              <w:ind w:left="280"/>
            </w:pPr>
            <w:r>
              <w:rPr>
                <w:sz w:val="21"/>
                <w:szCs w:val="21"/>
              </w:rPr>
              <w:t xml:space="preserve">3a2. The consumer logs the duplicate at DEBUG level and acknowledges the offset without reprocessing.</w:t>
            </w:r>
          </w:p>
          <w:p>
            <w:pPr>
              <w:spacing w:after="40" w:before="60"/>
            </w:pPr>
            <w:r>
              <w:rPr>
                <w:b/>
                <w:bCs/>
                <w:color w:val="1F3A5F"/>
                <w:sz w:val="21"/>
                <w:szCs w:val="21"/>
              </w:rPr>
              <w:t xml:space="preserve">6a. Risk-assessment pipeline throws a recoverable exception:</w:t>
            </w:r>
          </w:p>
          <w:p>
            <w:pPr>
              <w:spacing w:after="40"/>
              <w:ind w:left="280"/>
            </w:pPr>
            <w:r>
              <w:rPr>
                <w:sz w:val="21"/>
                <w:szCs w:val="21"/>
              </w:rPr>
              <w:t xml:space="preserve">6a1. The exception propagates out of the consumer.</w:t>
            </w:r>
          </w:p>
          <w:p>
            <w:pPr>
              <w:spacing w:after="40"/>
              <w:ind w:left="280"/>
            </w:pPr>
            <w:r>
              <w:rPr>
                <w:sz w:val="21"/>
                <w:szCs w:val="21"/>
              </w:rPr>
              <w:t xml:space="preserve">6a2. The Kafka offset is NOT acknowledged.</w:t>
            </w:r>
          </w:p>
          <w:p>
            <w:pPr>
              <w:spacing w:after="40"/>
              <w:ind w:left="280"/>
            </w:pPr>
            <w:r>
              <w:rPr>
                <w:sz w:val="21"/>
                <w:szCs w:val="21"/>
              </w:rPr>
              <w:t xml:space="preserve">6a3. Kafka redelivers the message per the configured backoff / retry policy; repeated failures route to the DLT.</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Special Requirements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pPr>
            <w:r>
              <w:rPr>
                <w:sz w:val="21"/>
                <w:szCs w:val="21"/>
              </w:rPr>
              <w:t xml:space="preserve">Exactly-once semantics at the business level, achieved by SeenMessageCache + offset acknowledgement ordering.</w:t>
            </w:r>
          </w:p>
          <w:p>
            <w:pPr>
              <w:spacing w:after="60"/>
            </w:pPr>
            <w:r>
              <w:rPr>
                <w:sz w:val="21"/>
                <w:szCs w:val="21"/>
              </w:rPr>
              <w:t xml:space="preserve">The consume method runs inside a Spring @Transactional boundary.</w:t>
            </w:r>
          </w:p>
          <w:p>
            <w:pPr>
              <w:spacing w:after="60"/>
            </w:pPr>
            <w:r>
              <w:rPr>
                <w:sz w:val="21"/>
                <w:szCs w:val="21"/>
              </w:rPr>
              <w:t xml:space="preserve">Observability: logs carry transactionId; domain events feed downstream topics.</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Frequency</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Continuous; rate equals the upstream transaction rate.</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Business Rules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ind w:left="280" w:hanging="280"/>
            </w:pPr>
            <w:r>
              <w:rPr>
                <w:sz w:val="21"/>
                <w:szCs w:val="21"/>
              </w:rPr>
              <w:t xml:space="preserve">1. A transaction is processed at most once (idempotency by transactionId).</w:t>
            </w:r>
          </w:p>
          <w:p>
            <w:pPr>
              <w:spacing w:after="60"/>
              <w:ind w:left="280" w:hanging="280"/>
            </w:pPr>
            <w:r>
              <w:rPr>
                <w:sz w:val="21"/>
                <w:szCs w:val="21"/>
              </w:rPr>
              <w:t xml:space="preserve">2. Every successfully consumed transaction must result in exactly one persisted RiskAssessment.</w:t>
            </w:r>
          </w:p>
          <w:p>
            <w:pPr>
              <w:spacing w:after="60"/>
              <w:ind w:left="280" w:hanging="280"/>
            </w:pPr>
            <w:r>
              <w:rPr>
                <w:sz w:val="21"/>
                <w:szCs w:val="21"/>
              </w:rPr>
              <w:t xml:space="preserve">3. An offset is acknowledged only after the business operation has succeeded (or after a non-recoverable deserialisation failure).</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Open Issues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pPr>
            <w:r>
              <w:rPr>
                <w:sz w:val="21"/>
                <w:szCs w:val="21"/>
              </w:rPr>
              <w:t xml:space="preserve">SeenMessageCache is an in-memory cache; across service replicas, duplicates from the same topic partition may still be processed twice. A distributed cache (Redis) is a natural next step.</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Implementation Status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pPr>
            <w:r>
              <w:rPr>
                <w:sz w:val="21"/>
                <w:szCs w:val="21"/>
              </w:rPr>
              <w:t xml:space="preserve">Implemented in com.twenty9ine.frauddetection.infrastructure.adapter.kafka.TransactionEventConsumer.</w:t>
            </w:r>
          </w:p>
          <w:p>
            <w:pPr>
              <w:spacing w:after="60"/>
            </w:pPr>
            <w:r>
              <w:rPr>
                <w:sz w:val="21"/>
                <w:szCs w:val="21"/>
              </w:rPr>
              <w:t xml:space="preserve">Orchestrated by com.twenty9ine.frauddetection.application.service.ProcessTransactionApplicationService.</w:t>
            </w:r>
          </w:p>
          <w:p>
            <w:pPr>
              <w:spacing w:after="60"/>
            </w:pPr>
            <w:r>
              <w:rPr>
                <w:sz w:val="21"/>
                <w:szCs w:val="21"/>
              </w:rPr>
              <w:t xml:space="preserve">Inbound port: ProcessTransactionUseCase; command: ProcessTransactionCommand.</w:t>
            </w:r>
          </w:p>
        </w:tc>
      </w:tr>
    </w:tbl>
    <w:p>
      <w:r>
        <w:br w:type="page"/>
      </w:r>
    </w:p>
    <w:p>
      <w:pPr>
        <w:pStyle w:val="Heading2"/>
        <w:spacing w:after="120" w:before="240"/>
      </w:pPr>
      <w:r>
        <w:t xml:space="preserve">5.2 UC-02: Assess Transaction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B8B8" w:sz="4"/>
              <w:left w:val="single" w:color="B8B8B8" w:sz="4"/>
              <w:bottom w:val="single" w:color="B8B8B8" w:sz="4"/>
              <w:right w:val="single" w:color="B8B8B8" w:sz="4"/>
            </w:tcBorders>
            <w:shd w:fill="D4EDDA" w:val="clear"/>
            <w:tcMar>
              <w:top w:type="dxa" w:w="80"/>
              <w:left w:type="dxa" w:w="180"/>
              <w:bottom w:type="dxa" w:w="80"/>
              <w:right w:type="dxa" w:w="180"/>
            </w:tcMar>
          </w:tcPr>
          <w:p>
            <w:r>
              <w:rPr>
                <w:b/>
                <w:bCs/>
                <w:color w:val="1F3A5F"/>
                <w:sz w:val="21"/>
                <w:szCs w:val="21"/>
              </w:rPr>
              <w:t xml:space="preserve">Implementation status: Implemented</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Use Case ID</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UC-02</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Use Case Name</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Assess Transaction Risk</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Scope</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Fraud Detection Service (bounded context)</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Level</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User Goal</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Primary Actor</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API Client (synchronous) or Process Transaction use case (internal)</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Stakeholders and Interests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pPr>
            <w:r>
              <w:rPr>
                <w:sz w:val="21"/>
                <w:szCs w:val="21"/>
              </w:rPr>
              <w:t xml:space="preserve">API Client — wants a low-latency, deterministic risk verdict for a given transaction.</w:t>
            </w:r>
          </w:p>
          <w:p>
            <w:pPr>
              <w:spacing w:after="60"/>
            </w:pPr>
            <w:r>
              <w:rPr>
                <w:sz w:val="21"/>
                <w:szCs w:val="21"/>
              </w:rPr>
              <w:t xml:space="preserve">Fraud Operations — wants the full assessment (score, risk level, decision, rule triggers, ML prediction) persisted for later review.</w:t>
            </w:r>
          </w:p>
          <w:p>
            <w:pPr>
              <w:spacing w:after="60"/>
            </w:pPr>
            <w:r>
              <w:rPr>
                <w:sz w:val="21"/>
                <w:szCs w:val="21"/>
              </w:rPr>
              <w:t xml:space="preserve">Downstream Consumers — want RiskAssessmentCompleted and, where applicable, HighRiskDetected events.</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Preconditions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ind w:left="280" w:hanging="280"/>
            </w:pPr>
            <w:r>
              <w:rPr>
                <w:sz w:val="21"/>
                <w:szCs w:val="21"/>
              </w:rPr>
              <w:t xml:space="preserve">1. The caller has been authenticated via Keycloak (OAuth2/JWT) and holds the scope required to invoke POST /fraud/assessments, OR the call originates internally from UC-01.</w:t>
            </w:r>
          </w:p>
          <w:p>
            <w:pPr>
              <w:spacing w:after="60"/>
              <w:ind w:left="280" w:hanging="280"/>
            </w:pPr>
            <w:r>
              <w:rPr>
                <w:sz w:val="21"/>
                <w:szCs w:val="21"/>
              </w:rPr>
              <w:t xml:space="preserve">2. The submitted AssessTransactionRiskCommand passes bean-validation (non-null transactionId, accountId, amount, currency, type, channel, and timestamp).</w:t>
            </w:r>
          </w:p>
          <w:p>
            <w:pPr>
              <w:spacing w:after="60"/>
              <w:ind w:left="280" w:hanging="280"/>
            </w:pPr>
            <w:r>
              <w:rPr>
                <w:sz w:val="21"/>
                <w:szCs w:val="21"/>
              </w:rPr>
              <w:t xml:space="preserve">3. The Drools KIE container, the SageMaker adapter, Redis and PostgreSQL are reachable (or the configured fallbacks are active).</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Success Guarantee (Postconditions)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ind w:left="280" w:hanging="280"/>
            </w:pPr>
            <w:r>
              <w:rPr>
                <w:sz w:val="21"/>
                <w:szCs w:val="21"/>
              </w:rPr>
              <w:t xml:space="preserve">1. A RiskAssessment aggregate is created with: a composite RiskScore in [0, 100]; the derived TransactionRiskLevel (LOW, MEDIUM, HIGH, CRITICAL); the triggered RuleEvaluations; the MLPrediction; and a final Decision (ALLOW, CHALLENGE, REVIEW, BLOCK).</w:t>
            </w:r>
          </w:p>
          <w:p>
            <w:pPr>
              <w:spacing w:after="60"/>
              <w:ind w:left="280" w:hanging="280"/>
            </w:pPr>
            <w:r>
              <w:rPr>
                <w:sz w:val="21"/>
                <w:szCs w:val="21"/>
              </w:rPr>
              <w:t xml:space="preserve">2. The aggregate is persisted via RiskAssessmentRepository.</w:t>
            </w:r>
          </w:p>
          <w:p>
            <w:pPr>
              <w:spacing w:after="60"/>
              <w:ind w:left="280" w:hanging="280"/>
            </w:pPr>
            <w:r>
              <w:rPr>
                <w:sz w:val="21"/>
                <w:szCs w:val="21"/>
              </w:rPr>
              <w:t xml:space="preserve">3. Domain events are published via EventPublisherPort and cleared from the aggregate.</w:t>
            </w:r>
          </w:p>
          <w:p>
            <w:pPr>
              <w:spacing w:after="60"/>
              <w:ind w:left="280" w:hanging="280"/>
            </w:pPr>
            <w:r>
              <w:rPr>
                <w:sz w:val="21"/>
                <w:szCs w:val="21"/>
              </w:rPr>
              <w:t xml:space="preserve">4. Velocity counters for the account are incremented in Redis via VelocityServicePort.</w:t>
            </w:r>
          </w:p>
          <w:p>
            <w:pPr>
              <w:spacing w:after="60"/>
              <w:ind w:left="280" w:hanging="280"/>
            </w:pPr>
            <w:r>
              <w:rPr>
                <w:sz w:val="21"/>
                <w:szCs w:val="21"/>
              </w:rPr>
              <w:t xml:space="preserve">5. The caller receives a RiskAssessmentDto projection.</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Minimal Guarantees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pPr>
            <w:r>
              <w:rPr>
                <w:sz w:val="21"/>
                <w:szCs w:val="21"/>
              </w:rPr>
              <w:t xml:space="preserve">If the pipeline fails, no RiskAssessment is persisted, no events are published, no counters are incremented (Spring @Transactional).</w:t>
            </w:r>
          </w:p>
          <w:p>
            <w:pPr>
              <w:spacing w:after="60"/>
            </w:pPr>
            <w:r>
              <w:rPr>
                <w:sz w:val="21"/>
                <w:szCs w:val="21"/>
              </w:rPr>
              <w:t xml:space="preserve">If the ML service is unavailable, the pipeline falls back to rule-only scoring (mlWeight = 0.0, ruleWeight = 1.0) and sets MLPrediction.unavailable(); the assessment still completes.</w:t>
            </w:r>
          </w:p>
          <w:p>
            <w:pPr>
              <w:spacing w:after="60"/>
            </w:pPr>
            <w:r>
              <w:rPr>
                <w:sz w:val="21"/>
                <w:szCs w:val="21"/>
              </w:rPr>
              <w:t xml:space="preserve">Invariants on the aggregate are enforced before persistence (see Business Rules).</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Trigger</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POST /fraud/assessments with a valid AssessTransactionRiskCommand, or internal invocation from UC-01.</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Main Success Scenario</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ind w:left="280" w:hanging="280"/>
            </w:pPr>
            <w:r>
              <w:rPr>
                <w:sz w:val="21"/>
                <w:szCs w:val="21"/>
              </w:rPr>
              <w:t xml:space="preserve">1. Adapter (REST or internal) produces an AssessTransactionRiskCommand; bean-validation succeeds.</w:t>
            </w:r>
          </w:p>
          <w:p>
            <w:pPr>
              <w:spacing w:after="60"/>
              <w:ind w:left="280" w:hanging="280"/>
            </w:pPr>
            <w:r>
              <w:rPr>
                <w:sz w:val="21"/>
                <w:szCs w:val="21"/>
              </w:rPr>
              <w:t xml:space="preserve">2. FraudDetectionApplicationService.assess maps the command to a Transaction domain value object.</w:t>
            </w:r>
          </w:p>
          <w:p>
            <w:pPr>
              <w:spacing w:after="60"/>
              <w:ind w:left="280" w:hanging="280"/>
            </w:pPr>
            <w:r>
              <w:rPr>
                <w:sz w:val="21"/>
                <w:szCs w:val="21"/>
              </w:rPr>
              <w:t xml:space="preserve">3. RiskScoringService fans out three concurrent lookups: ML prediction (SageMakerMLAdapter), velocity metrics (Redis via VelocityCounterAdapter), and geographic context (GeographicValidator comparing against the account's earliest prior transaction).</w:t>
            </w:r>
          </w:p>
          <w:p>
            <w:pPr>
              <w:spacing w:after="60"/>
              <w:ind w:left="280" w:hanging="280"/>
            </w:pPr>
            <w:r>
              <w:rPr>
                <w:sz w:val="21"/>
                <w:szCs w:val="21"/>
              </w:rPr>
              <w:t xml:space="preserve">4. Once all three complete, RuleEngineService evaluates Drools rules against the Transaction, VelocityMetrics and GeographicContext facts, producing a RuleEvaluationResult.</w:t>
            </w:r>
          </w:p>
          <w:p>
            <w:pPr>
              <w:spacing w:after="60"/>
              <w:ind w:left="280" w:hanging="280"/>
            </w:pPr>
            <w:r>
              <w:rPr>
                <w:sz w:val="21"/>
                <w:szCs w:val="21"/>
              </w:rPr>
              <w:t xml:space="preserve">5. RiskScoringService combines the ML score (fraudProbability × 100) and the rule aggregate score using the configured weights; the result is rounded and clamped to [0, 100].</w:t>
            </w:r>
          </w:p>
          <w:p>
            <w:pPr>
              <w:spacing w:after="60"/>
              <w:ind w:left="280" w:hanging="280"/>
            </w:pPr>
            <w:r>
              <w:rPr>
                <w:sz w:val="21"/>
                <w:szCs w:val="21"/>
              </w:rPr>
              <w:t xml:space="preserve">6. A RiskAssessment aggregate is instantiated with the composite score, rule evaluations, and ML prediction; the risk level is derived from the score band.</w:t>
            </w:r>
          </w:p>
          <w:p>
            <w:pPr>
              <w:spacing w:after="60"/>
              <w:ind w:left="280" w:hanging="280"/>
            </w:pPr>
            <w:r>
              <w:rPr>
                <w:sz w:val="21"/>
                <w:szCs w:val="21"/>
              </w:rPr>
              <w:t xml:space="preserve">7. DecisionService selects the DecisionStrategy registered for the risk level and returns a Decision.</w:t>
            </w:r>
          </w:p>
          <w:p>
            <w:pPr>
              <w:spacing w:after="60"/>
              <w:ind w:left="280" w:hanging="280"/>
            </w:pPr>
            <w:r>
              <w:rPr>
                <w:sz w:val="21"/>
                <w:szCs w:val="21"/>
              </w:rPr>
              <w:t xml:space="preserve">8. RiskAssessment.completeAssessment(decision) validates invariants and records RiskAssessmentCompleted (and HighRiskDetected if the level is HIGH or CRITICAL).</w:t>
            </w:r>
          </w:p>
          <w:p>
            <w:pPr>
              <w:spacing w:after="60"/>
              <w:ind w:left="280" w:hanging="280"/>
            </w:pPr>
            <w:r>
              <w:rPr>
                <w:sz w:val="21"/>
                <w:szCs w:val="21"/>
              </w:rPr>
              <w:t xml:space="preserve">9. The aggregate is saved; domain events are published and cleared; velocity counters are incremented.</w:t>
            </w:r>
          </w:p>
          <w:p>
            <w:pPr>
              <w:spacing w:after="60"/>
              <w:ind w:left="280" w:hanging="280"/>
            </w:pPr>
            <w:r>
              <w:rPr>
                <w:sz w:val="21"/>
                <w:szCs w:val="21"/>
              </w:rPr>
              <w:t xml:space="preserve">10. A RiskAssessmentDto is returned to the caller.</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Extensions (Alternative Flows)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40" w:before="60"/>
            </w:pPr>
            <w:r>
              <w:rPr>
                <w:b/>
                <w:bCs/>
                <w:color w:val="1F3A5F"/>
                <w:sz w:val="21"/>
                <w:szCs w:val="21"/>
              </w:rPr>
              <w:t xml:space="preserve">1a. Validation failure:</w:t>
            </w:r>
          </w:p>
          <w:p>
            <w:pPr>
              <w:spacing w:after="40"/>
              <w:ind w:left="280"/>
            </w:pPr>
            <w:r>
              <w:rPr>
                <w:sz w:val="21"/>
                <w:szCs w:val="21"/>
              </w:rPr>
              <w:t xml:space="preserve">1a1. GlobalExceptionHandler returns HTTP 400 with a structured ErrorResponse.</w:t>
            </w:r>
          </w:p>
          <w:p>
            <w:pPr>
              <w:spacing w:after="40"/>
              <w:ind w:left="280"/>
            </w:pPr>
            <w:r>
              <w:rPr>
                <w:sz w:val="21"/>
                <w:szCs w:val="21"/>
              </w:rPr>
              <w:t xml:space="preserve">1a2. No side effects occur.</w:t>
            </w:r>
          </w:p>
          <w:p>
            <w:pPr>
              <w:spacing w:after="40" w:before="60"/>
            </w:pPr>
            <w:r>
              <w:rPr>
                <w:b/>
                <w:bCs/>
                <w:color w:val="1F3A5F"/>
                <w:sz w:val="21"/>
                <w:szCs w:val="21"/>
              </w:rPr>
              <w:t xml:space="preserve">3a. ML service unavailable:</w:t>
            </w:r>
          </w:p>
          <w:p>
            <w:pPr>
              <w:spacing w:after="40"/>
              <w:ind w:left="280"/>
            </w:pPr>
            <w:r>
              <w:rPr>
                <w:sz w:val="21"/>
                <w:szCs w:val="21"/>
              </w:rPr>
              <w:t xml:space="preserve">3a1. SageMakerMLAdapter (or the CompletableFuture wrapping it) returns MLPrediction.unavailable().</w:t>
            </w:r>
          </w:p>
          <w:p>
            <w:pPr>
              <w:spacing w:after="40"/>
              <w:ind w:left="280"/>
            </w:pPr>
            <w:r>
              <w:rPr>
                <w:sz w:val="21"/>
                <w:szCs w:val="21"/>
              </w:rPr>
              <w:t xml:space="preserve">3a2. RiskScoringService sets effective weights to mlWeight=0.0, ruleWeight=1.0.</w:t>
            </w:r>
          </w:p>
          <w:p>
            <w:pPr>
              <w:spacing w:after="40"/>
              <w:ind w:left="280"/>
            </w:pPr>
            <w:r>
              <w:rPr>
                <w:sz w:val="21"/>
                <w:szCs w:val="21"/>
              </w:rPr>
              <w:t xml:space="preserve">3a3. Pipeline continues with rule-only scoring.</w:t>
            </w:r>
          </w:p>
          <w:p>
            <w:pPr>
              <w:spacing w:after="40" w:before="60"/>
            </w:pPr>
            <w:r>
              <w:rPr>
                <w:b/>
                <w:bCs/>
                <w:color w:val="1F3A5F"/>
                <w:sz w:val="21"/>
                <w:szCs w:val="21"/>
              </w:rPr>
              <w:t xml:space="preserve">3b. No previous transaction for the account:</w:t>
            </w:r>
          </w:p>
          <w:p>
            <w:pPr>
              <w:spacing w:after="40"/>
              <w:ind w:left="280"/>
            </w:pPr>
            <w:r>
              <w:rPr>
                <w:sz w:val="21"/>
                <w:szCs w:val="21"/>
              </w:rPr>
              <w:t xml:space="preserve">3b1. GeographicValidator returns GeographicContext.normal() (no impossible-travel signal).</w:t>
            </w:r>
          </w:p>
          <w:p>
            <w:pPr>
              <w:spacing w:after="40"/>
              <w:ind w:left="280"/>
            </w:pPr>
            <w:r>
              <w:rPr>
                <w:sz w:val="21"/>
                <w:szCs w:val="21"/>
              </w:rPr>
              <w:t xml:space="preserve">3b2. Pipeline continues without a geographic contribution.</w:t>
            </w:r>
          </w:p>
          <w:p>
            <w:pPr>
              <w:spacing w:after="40" w:before="60"/>
            </w:pPr>
            <w:r>
              <w:rPr>
                <w:b/>
                <w:bCs/>
                <w:color w:val="1F3A5F"/>
                <w:sz w:val="21"/>
                <w:szCs w:val="21"/>
              </w:rPr>
              <w:t xml:space="preserve">8a. Invariant violation on completeAssessment:</w:t>
            </w:r>
          </w:p>
          <w:p>
            <w:pPr>
              <w:spacing w:after="40"/>
              <w:ind w:left="280"/>
            </w:pPr>
            <w:r>
              <w:rPr>
                <w:sz w:val="21"/>
                <w:szCs w:val="21"/>
              </w:rPr>
              <w:t xml:space="preserve">8a1. RiskAssessment throws InvariantViolationException (e.g., CRITICAL level with a proceed decision).</w:t>
            </w:r>
          </w:p>
          <w:p>
            <w:pPr>
              <w:spacing w:after="40"/>
              <w:ind w:left="280"/>
            </w:pPr>
            <w:r>
              <w:rPr>
                <w:sz w:val="21"/>
                <w:szCs w:val="21"/>
              </w:rPr>
              <w:t xml:space="preserve">8a2. Transaction rolls back; no persistence or events.</w:t>
            </w:r>
          </w:p>
          <w:p>
            <w:pPr>
              <w:spacing w:after="40"/>
              <w:ind w:left="280"/>
            </w:pPr>
            <w:r>
              <w:rPr>
                <w:sz w:val="21"/>
                <w:szCs w:val="21"/>
              </w:rPr>
              <w:t xml:space="preserve">8a3. GlobalExceptionHandler maps to HTTP 500 with ErrorResponse.</w:t>
            </w:r>
          </w:p>
          <w:p>
            <w:pPr>
              <w:spacing w:after="40" w:before="60"/>
            </w:pPr>
            <w:r>
              <w:rPr>
                <w:b/>
                <w:bCs/>
                <w:color w:val="1F3A5F"/>
                <w:sz w:val="21"/>
                <w:szCs w:val="21"/>
              </w:rPr>
              <w:t xml:space="preserve">9a. Persistence, Redis or Kafka adapter failure:</w:t>
            </w:r>
          </w:p>
          <w:p>
            <w:pPr>
              <w:spacing w:after="40"/>
              <w:ind w:left="280"/>
            </w:pPr>
            <w:r>
              <w:rPr>
                <w:sz w:val="21"/>
                <w:szCs w:val="21"/>
              </w:rPr>
              <w:t xml:space="preserve">9a1. Transaction rolls back; partial side-effects are reverted.</w:t>
            </w:r>
          </w:p>
          <w:p>
            <w:pPr>
              <w:spacing w:after="40"/>
              <w:ind w:left="280"/>
            </w:pPr>
            <w:r>
              <w:rPr>
                <w:sz w:val="21"/>
                <w:szCs w:val="21"/>
              </w:rPr>
              <w:t xml:space="preserve">9a2. The caller receives HTTP 5xx; the upstream UC-01 will retry via Kafka redelivery.</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Special Requirements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pPr>
            <w:r>
              <w:rPr>
                <w:sz w:val="21"/>
                <w:szCs w:val="21"/>
              </w:rPr>
              <w:t xml:space="preserve">Target P99 end-to-end assessment latency: sub-100 ms (excluding ML network latency spikes).</w:t>
            </w:r>
          </w:p>
          <w:p>
            <w:pPr>
              <w:spacing w:after="60"/>
            </w:pPr>
            <w:r>
              <w:rPr>
                <w:sz w:val="21"/>
                <w:szCs w:val="21"/>
              </w:rPr>
              <w:t xml:space="preserve">ML + rules are executed concurrently via CompletableFutures.</w:t>
            </w:r>
          </w:p>
          <w:p>
            <w:pPr>
              <w:spacing w:after="60"/>
            </w:pPr>
            <w:r>
              <w:rPr>
                <w:sz w:val="21"/>
                <w:szCs w:val="21"/>
              </w:rPr>
              <w:t xml:space="preserve">All decisions are explainable: the persisted RiskAssessment carries the triggered RuleEvaluations and the MLPrediction.</w:t>
            </w:r>
          </w:p>
          <w:p>
            <w:pPr>
              <w:spacing w:after="60"/>
            </w:pPr>
            <w:r>
              <w:rPr>
                <w:sz w:val="21"/>
                <w:szCs w:val="21"/>
              </w:rPr>
              <w:t xml:space="preserve">OAuth2 resource-server security applies to the REST entry point.</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Frequency</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Continuous; one invocation per upstream transaction, plus ad-hoc REST calls.</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Business Rules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ind w:left="280" w:hanging="280"/>
            </w:pPr>
            <w:r>
              <w:rPr>
                <w:sz w:val="21"/>
                <w:szCs w:val="21"/>
              </w:rPr>
              <w:t xml:space="preserve">1. Risk score bands: LOW = 0–40, MEDIUM = 41–70, HIGH = 71–90, CRITICAL = 91–100.</w:t>
            </w:r>
          </w:p>
          <w:p>
            <w:pPr>
              <w:spacing w:after="60"/>
              <w:ind w:left="280" w:hanging="280"/>
            </w:pPr>
            <w:r>
              <w:rPr>
                <w:sz w:val="21"/>
                <w:szCs w:val="21"/>
              </w:rPr>
              <w:t xml:space="preserve">2. Decision mapping: LOW → ALLOW, MEDIUM → CHALLENGE, HIGH → REVIEW, CRITICAL → BLOCK.</w:t>
            </w:r>
          </w:p>
          <w:p>
            <w:pPr>
              <w:spacing w:after="60"/>
              <w:ind w:left="280" w:hanging="280"/>
            </w:pPr>
            <w:r>
              <w:rPr>
                <w:sz w:val="21"/>
                <w:szCs w:val="21"/>
              </w:rPr>
              <w:t xml:space="preserve">3. Invariant I1: a CRITICAL risk level MUST result in a BLOCK decision (enforced by RiskAssessment).</w:t>
            </w:r>
          </w:p>
          <w:p>
            <w:pPr>
              <w:spacing w:after="60"/>
              <w:ind w:left="280" w:hanging="280"/>
            </w:pPr>
            <w:r>
              <w:rPr>
                <w:sz w:val="21"/>
                <w:szCs w:val="21"/>
              </w:rPr>
              <w:t xml:space="preserve">4. Invariant I2: a LOW risk level MUST NOT result in a BLOCK decision.</w:t>
            </w:r>
          </w:p>
          <w:p>
            <w:pPr>
              <w:spacing w:after="60"/>
              <w:ind w:left="280" w:hanging="280"/>
            </w:pPr>
            <w:r>
              <w:rPr>
                <w:sz w:val="21"/>
                <w:szCs w:val="21"/>
              </w:rPr>
              <w:t xml:space="preserve">5. Invariant I3: mlWeight + ruleWeight must sum to 1.0 at construction of RiskScoringService.</w:t>
            </w:r>
          </w:p>
          <w:p>
            <w:pPr>
              <w:spacing w:after="60"/>
              <w:ind w:left="280" w:hanging="280"/>
            </w:pPr>
            <w:r>
              <w:rPr>
                <w:sz w:val="21"/>
                <w:szCs w:val="21"/>
              </w:rPr>
              <w:t xml:space="preserve">6. Impossible-travel threshold: required speed &gt; 965 km/h between the current and previous transaction for the same account triggers the IMPOSSIBLE_TRAVEL rule fact.</w:t>
            </w:r>
          </w:p>
          <w:p>
            <w:pPr>
              <w:spacing w:after="60"/>
              <w:ind w:left="280" w:hanging="280"/>
            </w:pPr>
            <w:r>
              <w:rPr>
                <w:sz w:val="21"/>
                <w:szCs w:val="21"/>
              </w:rPr>
              <w:t xml:space="preserve">7. Velocity rule identifiers: VELOCITY_5MIN, VELOCITY_1HOUR, VELOCITY_24HOURS; amount rules: LARGE_AMOUNT, VERY_LARGE_AMOUNT, EXCESSIVELY_LARGE_AMOUNT.</w:t>
            </w:r>
          </w:p>
          <w:p>
            <w:pPr>
              <w:spacing w:after="60"/>
              <w:ind w:left="280" w:hanging="280"/>
            </w:pPr>
            <w:r>
              <w:rPr>
                <w:sz w:val="21"/>
                <w:szCs w:val="21"/>
              </w:rPr>
              <w:t xml:space="preserve">8. If the ML service is unavailable, the pipeline degrades to rule-only scoring without failing the request.</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Open Issues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pPr>
            <w:r>
              <w:rPr>
                <w:sz w:val="21"/>
                <w:szCs w:val="21"/>
              </w:rPr>
              <w:t xml:space="preserve">Weight configuration is currently static per deployment. Dynamic (per-tenant or per-channel) weighting is a candidate future extension.</w:t>
            </w:r>
          </w:p>
          <w:p>
            <w:pPr>
              <w:spacing w:after="60"/>
            </w:pPr>
            <w:r>
              <w:rPr>
                <w:sz w:val="21"/>
                <w:szCs w:val="21"/>
              </w:rPr>
              <w:t xml:space="preserve">The SageMaker adapter does not yet implement a circuit breaker distinct from Spring retries; rapid ML-service outages may briefly elevate latency.</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Implementation Status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pPr>
            <w:r>
              <w:rPr>
                <w:sz w:val="21"/>
                <w:szCs w:val="21"/>
              </w:rPr>
              <w:t xml:space="preserve">Inbound port: AssessTransactionRiskUseCase; command: AssessTransactionRiskCommand.</w:t>
            </w:r>
          </w:p>
          <w:p>
            <w:pPr>
              <w:spacing w:after="60"/>
            </w:pPr>
            <w:r>
              <w:rPr>
                <w:sz w:val="21"/>
                <w:szCs w:val="21"/>
              </w:rPr>
              <w:t xml:space="preserve">Application service: FraudDetectionApplicationService.assess(...).</w:t>
            </w:r>
          </w:p>
          <w:p>
            <w:pPr>
              <w:spacing w:after="60"/>
            </w:pPr>
            <w:r>
              <w:rPr>
                <w:sz w:val="21"/>
                <w:szCs w:val="21"/>
              </w:rPr>
              <w:t xml:space="preserve">Domain services: RiskScoringService, RuleEngineService, GeographicValidator, DecisionService and the four DecisionStrategy implementations.</w:t>
            </w:r>
          </w:p>
          <w:p>
            <w:pPr>
              <w:spacing w:after="60"/>
            </w:pPr>
            <w:r>
              <w:rPr>
                <w:sz w:val="21"/>
                <w:szCs w:val="21"/>
              </w:rPr>
              <w:t xml:space="preserve">Adapters: FraudDetectionController (REST), SageMakerMLAdapter (ML), VelocityCounterAdapter (Redis), EventPublisherAdapter (Kafka/Avro), RiskAssessmentRepositoryAdapter (JDBC).</w:t>
            </w:r>
          </w:p>
        </w:tc>
      </w:tr>
    </w:tbl>
    <w:p>
      <w:r>
        <w:br w:type="page"/>
      </w:r>
    </w:p>
    <w:p>
      <w:pPr>
        <w:pStyle w:val="Heading2"/>
        <w:spacing w:after="120" w:before="240"/>
      </w:pPr>
      <w:r>
        <w:t xml:space="preserve">5.3 UC-03: Get Risk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B8B8" w:sz="4"/>
              <w:left w:val="single" w:color="B8B8B8" w:sz="4"/>
              <w:bottom w:val="single" w:color="B8B8B8" w:sz="4"/>
              <w:right w:val="single" w:color="B8B8B8" w:sz="4"/>
            </w:tcBorders>
            <w:shd w:fill="D4EDDA" w:val="clear"/>
            <w:tcMar>
              <w:top w:type="dxa" w:w="80"/>
              <w:left w:type="dxa" w:w="180"/>
              <w:bottom w:type="dxa" w:w="80"/>
              <w:right w:type="dxa" w:w="180"/>
            </w:tcMar>
          </w:tcPr>
          <w:p>
            <w:r>
              <w:rPr>
                <w:b/>
                <w:bCs/>
                <w:color w:val="1F3A5F"/>
                <w:sz w:val="21"/>
                <w:szCs w:val="21"/>
              </w:rPr>
              <w:t xml:space="preserve">Implementation status: Implemented</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Use Case ID</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UC-03</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Use Case Name</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Get Risk Assessment by Transaction ID</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Scope</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Fraud Detection Service (bounded context) — query side</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Level</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User Goal (CQRS query)</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Primary Actor</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Fraud Analyst (via REST); supporting: Case Manager, API Client</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Stakeholders and Interests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pPr>
            <w:r>
              <w:rPr>
                <w:sz w:val="21"/>
                <w:szCs w:val="21"/>
              </w:rPr>
              <w:t xml:space="preserve">Fraud Analyst — wants to inspect the full assessment artefact (score, level, decision, rule triggers, ML prediction) for a given transaction.</w:t>
            </w:r>
          </w:p>
          <w:p>
            <w:pPr>
              <w:spacing w:after="60"/>
            </w:pPr>
            <w:r>
              <w:rPr>
                <w:sz w:val="21"/>
                <w:szCs w:val="21"/>
              </w:rPr>
              <w:t xml:space="preserve">Compliance / Audit — wants a deterministic way to retrieve the stored verdict for any transaction.</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Preconditions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ind w:left="280" w:hanging="280"/>
            </w:pPr>
            <w:r>
              <w:rPr>
                <w:sz w:val="21"/>
                <w:szCs w:val="21"/>
              </w:rPr>
              <w:t xml:space="preserve">1. The caller is authenticated (Keycloak JWT) with read scope on /fraud/assessments.</w:t>
            </w:r>
          </w:p>
          <w:p>
            <w:pPr>
              <w:spacing w:after="60"/>
              <w:ind w:left="280" w:hanging="280"/>
            </w:pPr>
            <w:r>
              <w:rPr>
                <w:sz w:val="21"/>
                <w:szCs w:val="21"/>
              </w:rPr>
              <w:t xml:space="preserve">2. A risk assessment exists for the given transactionId (i.e., UC-01 or UC-02 has completed for it).</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Success Guarantee (Postconditions)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ind w:left="280" w:hanging="280"/>
            </w:pPr>
            <w:r>
              <w:rPr>
                <w:sz w:val="21"/>
                <w:szCs w:val="21"/>
              </w:rPr>
              <w:t xml:space="preserve">1. The system returns a RiskAssessmentDto containing the assessment identifiers, composite score, risk level, decision, rule evaluations, ML prediction, and assessment timestamp.</w:t>
            </w:r>
          </w:p>
          <w:p>
            <w:pPr>
              <w:spacing w:after="60"/>
              <w:ind w:left="280" w:hanging="280"/>
            </w:pPr>
            <w:r>
              <w:rPr>
                <w:sz w:val="21"/>
                <w:szCs w:val="21"/>
              </w:rPr>
              <w:t xml:space="preserve">2. No side effects on state (read-only transaction).</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Minimal Guarantees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pPr>
            <w:r>
              <w:rPr>
                <w:sz w:val="21"/>
                <w:szCs w:val="21"/>
              </w:rPr>
              <w:t xml:space="preserve">If no assessment exists, the caller receives HTTP 404 with a structured error; no partial data leaks.</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Trigger</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GET /fraud/assessments/{transactionId}</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Main Success Scenario</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ind w:left="280" w:hanging="280"/>
            </w:pPr>
            <w:r>
              <w:rPr>
                <w:sz w:val="21"/>
                <w:szCs w:val="21"/>
              </w:rPr>
              <w:t xml:space="preserve">1. FraudDetectionController binds the path variable to a UUID and constructs a GetRiskAssessmentQuery.</w:t>
            </w:r>
          </w:p>
          <w:p>
            <w:pPr>
              <w:spacing w:after="60"/>
              <w:ind w:left="280" w:hanging="280"/>
            </w:pPr>
            <w:r>
              <w:rPr>
                <w:sz w:val="21"/>
                <w:szCs w:val="21"/>
              </w:rPr>
              <w:t xml:space="preserve">2. FraudDetectionApplicationService.get executes a read-only transactional lookup via RiskAssessmentRepository.findByTransactionId(...).</w:t>
            </w:r>
          </w:p>
          <w:p>
            <w:pPr>
              <w:spacing w:after="60"/>
              <w:ind w:left="280" w:hanging="280"/>
            </w:pPr>
            <w:r>
              <w:rPr>
                <w:sz w:val="21"/>
                <w:szCs w:val="21"/>
              </w:rPr>
              <w:t xml:space="preserve">3. The aggregate is projected to RiskAssessmentDto and returned with HTTP 200.</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Extensions (Alternative Flows)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40" w:before="60"/>
            </w:pPr>
            <w:r>
              <w:rPr>
                <w:b/>
                <w:bCs/>
                <w:color w:val="1F3A5F"/>
                <w:sz w:val="21"/>
                <w:szCs w:val="21"/>
              </w:rPr>
              <w:t xml:space="preserve">1a. Invalid UUID path variable:</w:t>
            </w:r>
          </w:p>
          <w:p>
            <w:pPr>
              <w:spacing w:after="40"/>
              <w:ind w:left="280"/>
            </w:pPr>
            <w:r>
              <w:rPr>
                <w:sz w:val="21"/>
                <w:szCs w:val="21"/>
              </w:rPr>
              <w:t xml:space="preserve">1a1. Spring binding fails and GlobalExceptionHandler returns HTTP 400.</w:t>
            </w:r>
          </w:p>
          <w:p>
            <w:pPr>
              <w:spacing w:after="40" w:before="60"/>
            </w:pPr>
            <w:r>
              <w:rPr>
                <w:b/>
                <w:bCs/>
                <w:color w:val="1F3A5F"/>
                <w:sz w:val="21"/>
                <w:szCs w:val="21"/>
              </w:rPr>
              <w:t xml:space="preserve">2a. No assessment found for the given transactionId:</w:t>
            </w:r>
          </w:p>
          <w:p>
            <w:pPr>
              <w:spacing w:after="40"/>
              <w:ind w:left="280"/>
            </w:pPr>
            <w:r>
              <w:rPr>
                <w:sz w:val="21"/>
                <w:szCs w:val="21"/>
              </w:rPr>
              <w:t xml:space="preserve">2a1. Repository returns Optional.empty().</w:t>
            </w:r>
          </w:p>
          <w:p>
            <w:pPr>
              <w:spacing w:after="40"/>
              <w:ind w:left="280"/>
            </w:pPr>
            <w:r>
              <w:rPr>
                <w:sz w:val="21"/>
                <w:szCs w:val="21"/>
              </w:rPr>
              <w:t xml:space="preserve">2a2. Application service throws RiskAssessmentNotFoundException.</w:t>
            </w:r>
          </w:p>
          <w:p>
            <w:pPr>
              <w:spacing w:after="40"/>
              <w:ind w:left="280"/>
            </w:pPr>
            <w:r>
              <w:rPr>
                <w:sz w:val="21"/>
                <w:szCs w:val="21"/>
              </w:rPr>
              <w:t xml:space="preserve">2a3. GlobalExceptionHandler maps to HTTP 404 with ErrorResponse.</w:t>
            </w:r>
          </w:p>
          <w:p>
            <w:pPr>
              <w:spacing w:after="40" w:before="60"/>
            </w:pPr>
            <w:r>
              <w:rPr>
                <w:b/>
                <w:bCs/>
                <w:color w:val="1F3A5F"/>
                <w:sz w:val="21"/>
                <w:szCs w:val="21"/>
              </w:rPr>
              <w:t xml:space="preserve">2b. Unauthorised / unauthenticated request:</w:t>
            </w:r>
          </w:p>
          <w:p>
            <w:pPr>
              <w:spacing w:after="40"/>
              <w:ind w:left="280"/>
            </w:pPr>
            <w:r>
              <w:rPr>
                <w:sz w:val="21"/>
                <w:szCs w:val="21"/>
              </w:rPr>
              <w:t xml:space="preserve">2b1. Spring Security rejects with HTTP 401 / 403 before the controller is reached.</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Special Requirements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pPr>
            <w:r>
              <w:rPr>
                <w:sz w:val="21"/>
                <w:szCs w:val="21"/>
              </w:rPr>
              <w:t xml:space="preserve">Read-only transaction (@Transactional(readOnly = true)).</w:t>
            </w:r>
          </w:p>
          <w:p>
            <w:pPr>
              <w:spacing w:after="60"/>
            </w:pPr>
            <w:r>
              <w:rPr>
                <w:sz w:val="21"/>
                <w:szCs w:val="21"/>
              </w:rPr>
              <w:t xml:space="preserve">OpenAPI documented; exposed via SpringDoc.</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Frequency</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On demand; typically invoked by analysts and by downstream systems reconciling verdicts.</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Business Rules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ind w:left="280" w:hanging="280"/>
            </w:pPr>
            <w:r>
              <w:rPr>
                <w:sz w:val="21"/>
                <w:szCs w:val="21"/>
              </w:rPr>
              <w:t xml:space="preserve">1. Lookup is by transactionId (UUID), not assessmentId.</w:t>
            </w:r>
          </w:p>
          <w:p>
            <w:pPr>
              <w:spacing w:after="60"/>
              <w:ind w:left="280" w:hanging="280"/>
            </w:pPr>
            <w:r>
              <w:rPr>
                <w:sz w:val="21"/>
                <w:szCs w:val="21"/>
              </w:rPr>
              <w:t xml:space="preserve">2. Assessments are immutable once persisted (no update endpoint is exposed).</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Open Issues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pPr>
            <w:r>
              <w:rPr>
                <w:sz w:val="21"/>
                <w:szCs w:val="21"/>
              </w:rPr>
              <w:t xml:space="preserve">No soft-delete or archival policy is defined at the service level; retention is inherited from database policy.</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Implementation Status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pPr>
            <w:r>
              <w:rPr>
                <w:sz w:val="21"/>
                <w:szCs w:val="21"/>
              </w:rPr>
              <w:t xml:space="preserve">Inbound port: GetRiskAssessmentUseCase; query: GetRiskAssessmentQuery.</w:t>
            </w:r>
          </w:p>
          <w:p>
            <w:pPr>
              <w:spacing w:after="60"/>
            </w:pPr>
            <w:r>
              <w:rPr>
                <w:sz w:val="21"/>
                <w:szCs w:val="21"/>
              </w:rPr>
              <w:t xml:space="preserve">Application service: FraudDetectionApplicationService.get(...).</w:t>
            </w:r>
          </w:p>
          <w:p>
            <w:pPr>
              <w:spacing w:after="60"/>
            </w:pPr>
            <w:r>
              <w:rPr>
                <w:sz w:val="21"/>
                <w:szCs w:val="21"/>
              </w:rPr>
              <w:t xml:space="preserve">REST entry point: FraudDetectionController.getAssessment(...).</w:t>
            </w:r>
          </w:p>
        </w:tc>
      </w:tr>
    </w:tbl>
    <w:p>
      <w:r>
        <w:br w:type="page"/>
      </w:r>
    </w:p>
    <w:p>
      <w:pPr>
        <w:pStyle w:val="Heading2"/>
        <w:spacing w:after="120" w:before="240"/>
      </w:pPr>
      <w:r>
        <w:t xml:space="preserve">5.4 UC-04: Find Risk-Leveled Assessments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B8B8" w:sz="4"/>
              <w:left w:val="single" w:color="B8B8B8" w:sz="4"/>
              <w:bottom w:val="single" w:color="B8B8B8" w:sz="4"/>
              <w:right w:val="single" w:color="B8B8B8" w:sz="4"/>
            </w:tcBorders>
            <w:shd w:fill="D4EDDA" w:val="clear"/>
            <w:tcMar>
              <w:top w:type="dxa" w:w="80"/>
              <w:left w:type="dxa" w:w="180"/>
              <w:bottom w:type="dxa" w:w="80"/>
              <w:right w:type="dxa" w:w="180"/>
            </w:tcMar>
          </w:tcPr>
          <w:p>
            <w:r>
              <w:rPr>
                <w:b/>
                <w:bCs/>
                <w:color w:val="1F3A5F"/>
                <w:sz w:val="21"/>
                <w:szCs w:val="21"/>
              </w:rPr>
              <w:t xml:space="preserve">Implementation status: Implemented</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Use Case ID</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UC-04</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Use Case Name</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Find Risk-Leveled Assessments (search / monitoring)</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Scope</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Fraud Detection Service (bounded context) — query side</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Level</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User Goal (CQRS query)</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Primary Actor</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Fraud Analyst; supporting: Case Manager, Compliance Officer</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Stakeholders and Interests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pPr>
            <w:r>
              <w:rPr>
                <w:sz w:val="21"/>
                <w:szCs w:val="21"/>
              </w:rPr>
              <w:t xml:space="preserve">Fraud Analyst — wants a paginated, filterable view of recent assessments by risk level for monitoring and triage.</w:t>
            </w:r>
          </w:p>
          <w:p>
            <w:pPr>
              <w:spacing w:after="60"/>
            </w:pPr>
            <w:r>
              <w:rPr>
                <w:sz w:val="21"/>
                <w:szCs w:val="21"/>
              </w:rPr>
              <w:t xml:space="preserve">Case Manager — wants aggregate visibility of HIGH / CRITICAL assessments across a time window.</w:t>
            </w:r>
          </w:p>
          <w:p>
            <w:pPr>
              <w:spacing w:after="60"/>
            </w:pPr>
            <w:r>
              <w:rPr>
                <w:sz w:val="21"/>
                <w:szCs w:val="21"/>
              </w:rPr>
              <w:t xml:space="preserve">Compliance Officer — wants to produce periodic extracts of elevated-risk activity.</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Preconditions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ind w:left="280" w:hanging="280"/>
            </w:pPr>
            <w:r>
              <w:rPr>
                <w:sz w:val="21"/>
                <w:szCs w:val="21"/>
              </w:rPr>
              <w:t xml:space="preserve">1. The caller is authenticated (Keycloak JWT) with read scope on /fraud/assessments.</w:t>
            </w:r>
          </w:p>
          <w:p>
            <w:pPr>
              <w:spacing w:after="60"/>
              <w:ind w:left="280" w:hanging="280"/>
            </w:pPr>
            <w:r>
              <w:rPr>
                <w:sz w:val="21"/>
                <w:szCs w:val="21"/>
              </w:rPr>
              <w:t xml:space="preserve">2. Pagination parameters (page, size, sort) are within service-configured limits.</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Success Guarantee (Postconditions)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ind w:left="280" w:hanging="280"/>
            </w:pPr>
            <w:r>
              <w:rPr>
                <w:sz w:val="21"/>
                <w:szCs w:val="21"/>
              </w:rPr>
              <w:t xml:space="preserve">1. The caller receives a Spring Page&lt;RiskAssessmentDto&gt; containing content, pageNumber, pageSize, totalElements and totalPages, sorted by assessment time descending by default.</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Minimal Guarantees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pPr>
            <w:r>
              <w:rPr>
                <w:sz w:val="21"/>
                <w:szCs w:val="21"/>
              </w:rPr>
              <w:t xml:space="preserve">If the filters match no rows, an empty page is returned (HTTP 200 with totalElements = 0) rather than 404.</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Trigger</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GET /fraud/assessments with optional query parameters (transactionRiskLevels, fromDate) plus standard Spring Pageable parameters.</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Main Success Scenario</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ind w:left="280" w:hanging="280"/>
            </w:pPr>
            <w:r>
              <w:rPr>
                <w:sz w:val="21"/>
                <w:szCs w:val="21"/>
              </w:rPr>
              <w:t xml:space="preserve">1. Controller binds query parameters to a FindRiskLeveledAssessmentsQuery and a Pageable.</w:t>
            </w:r>
          </w:p>
          <w:p>
            <w:pPr>
              <w:spacing w:after="60"/>
              <w:ind w:left="280" w:hanging="280"/>
            </w:pPr>
            <w:r>
              <w:rPr>
                <w:sz w:val="21"/>
                <w:szCs w:val="21"/>
              </w:rPr>
              <w:t xml:space="preserve">2. Application service translates string risk levels to TransactionRiskLevel enum values (throwing IllegalArgumentException on unknown values).</w:t>
            </w:r>
          </w:p>
          <w:p>
            <w:pPr>
              <w:spacing w:after="60"/>
              <w:ind w:left="280" w:hanging="280"/>
            </w:pPr>
            <w:r>
              <w:rPr>
                <w:sz w:val="21"/>
                <w:szCs w:val="21"/>
              </w:rPr>
              <w:t xml:space="preserve">3. RiskAssessmentRepository.findByRiskLevelSince executes the paginated query with the optional risk-level set and fromDate.</w:t>
            </w:r>
          </w:p>
          <w:p>
            <w:pPr>
              <w:spacing w:after="60"/>
              <w:ind w:left="280" w:hanging="280"/>
            </w:pPr>
            <w:r>
              <w:rPr>
                <w:sz w:val="21"/>
                <w:szCs w:val="21"/>
              </w:rPr>
              <w:t xml:space="preserve">4. The result is mapped to a PagedResultDto&lt;RiskAssessmentDto&gt;, then wrapped into a Spring PageImpl for the HTTP response.</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Extensions (Alternative Flows)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40" w:before="60"/>
            </w:pPr>
            <w:r>
              <w:rPr>
                <w:b/>
                <w:bCs/>
                <w:color w:val="1F3A5F"/>
                <w:sz w:val="21"/>
                <w:szCs w:val="21"/>
              </w:rPr>
              <w:t xml:space="preserve">1a. Unknown risk-level string supplied:</w:t>
            </w:r>
          </w:p>
          <w:p>
            <w:pPr>
              <w:spacing w:after="40"/>
              <w:ind w:left="280"/>
            </w:pPr>
            <w:r>
              <w:rPr>
                <w:sz w:val="21"/>
                <w:szCs w:val="21"/>
              </w:rPr>
              <w:t xml:space="preserve">1a1. TransactionRiskLevel.fromString throws IllegalArgumentException.</w:t>
            </w:r>
          </w:p>
          <w:p>
            <w:pPr>
              <w:spacing w:after="40"/>
              <w:ind w:left="280"/>
            </w:pPr>
            <w:r>
              <w:rPr>
                <w:sz w:val="21"/>
                <w:szCs w:val="21"/>
              </w:rPr>
              <w:t xml:space="preserve">1a2. GlobalExceptionHandler returns HTTP 400 with an ErrorResponse naming the invalid value.</w:t>
            </w:r>
          </w:p>
          <w:p>
            <w:pPr>
              <w:spacing w:after="40" w:before="60"/>
            </w:pPr>
            <w:r>
              <w:rPr>
                <w:b/>
                <w:bCs/>
                <w:color w:val="1F3A5F"/>
                <w:sz w:val="21"/>
                <w:szCs w:val="21"/>
              </w:rPr>
              <w:t xml:space="preserve">1b. fromDate is in the future:</w:t>
            </w:r>
          </w:p>
          <w:p>
            <w:pPr>
              <w:spacing w:after="40"/>
              <w:ind w:left="280"/>
            </w:pPr>
            <w:r>
              <w:rPr>
                <w:sz w:val="21"/>
                <w:szCs w:val="21"/>
              </w:rPr>
              <w:t xml:space="preserve">1b1. @PastOrPresent bean-validation fails.</w:t>
            </w:r>
          </w:p>
          <w:p>
            <w:pPr>
              <w:spacing w:after="40"/>
              <w:ind w:left="280"/>
            </w:pPr>
            <w:r>
              <w:rPr>
                <w:sz w:val="21"/>
                <w:szCs w:val="21"/>
              </w:rPr>
              <w:t xml:space="preserve">1b2. GlobalExceptionHandler returns HTTP 400.</w:t>
            </w:r>
          </w:p>
          <w:p>
            <w:pPr>
              <w:spacing w:after="40" w:before="60"/>
            </w:pPr>
            <w:r>
              <w:rPr>
                <w:b/>
                <w:bCs/>
                <w:color w:val="1F3A5F"/>
                <w:sz w:val="21"/>
                <w:szCs w:val="21"/>
              </w:rPr>
              <w:t xml:space="preserve">1c. Both filters omitted:</w:t>
            </w:r>
          </w:p>
          <w:p>
            <w:pPr>
              <w:spacing w:after="40"/>
              <w:ind w:left="280"/>
            </w:pPr>
            <w:r>
              <w:rPr>
                <w:sz w:val="21"/>
                <w:szCs w:val="21"/>
              </w:rPr>
              <w:t xml:space="preserve">1c1. The repository returns all assessments, paginated, newest first.</w:t>
            </w:r>
          </w:p>
          <w:p>
            <w:pPr>
              <w:spacing w:after="40"/>
              <w:ind w:left="280"/>
            </w:pPr>
            <w:r>
              <w:rPr>
                <w:sz w:val="21"/>
                <w:szCs w:val="21"/>
              </w:rPr>
              <w:t xml:space="preserve">1c2. No error; caller receives HTTP 200.</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Special Requirements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pPr>
            <w:r>
              <w:rPr>
                <w:sz w:val="21"/>
                <w:szCs w:val="21"/>
              </w:rPr>
              <w:t xml:space="preserve">Read-only transaction.</w:t>
            </w:r>
          </w:p>
          <w:p>
            <w:pPr>
              <w:spacing w:after="60"/>
            </w:pPr>
            <w:r>
              <w:rPr>
                <w:sz w:val="21"/>
                <w:szCs w:val="21"/>
              </w:rPr>
              <w:t xml:space="preserve">Default sort: assessment time descending.</w:t>
            </w:r>
          </w:p>
          <w:p>
            <w:pPr>
              <w:spacing w:after="60"/>
            </w:pPr>
            <w:r>
              <w:rPr>
                <w:sz w:val="21"/>
                <w:szCs w:val="21"/>
              </w:rPr>
              <w:t xml:space="preserve">Results are paginated to protect the service under bulk-extract workloads.</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Frequency</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Frequent; driven by analyst dashboards and scheduled monitoring jobs.</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Business Rules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ind w:left="280" w:hanging="280"/>
            </w:pPr>
            <w:r>
              <w:rPr>
                <w:sz w:val="21"/>
                <w:szCs w:val="21"/>
              </w:rPr>
              <w:t xml:space="preserve">1. Both filters are optional and independent; omitting one does not imply a default for the other.</w:t>
            </w:r>
          </w:p>
          <w:p>
            <w:pPr>
              <w:spacing w:after="60"/>
              <w:ind w:left="280" w:hanging="280"/>
            </w:pPr>
            <w:r>
              <w:rPr>
                <w:sz w:val="21"/>
                <w:szCs w:val="21"/>
              </w:rPr>
              <w:t xml:space="preserve">2. Risk levels must match the TransactionRiskLevel enum (case-insensitive).</w:t>
            </w:r>
          </w:p>
          <w:p>
            <w:pPr>
              <w:spacing w:after="60"/>
              <w:ind w:left="280" w:hanging="280"/>
            </w:pPr>
            <w:r>
              <w:rPr>
                <w:sz w:val="21"/>
                <w:szCs w:val="21"/>
              </w:rPr>
              <w:t xml:space="preserve">3. The service never returns in-progress assessments; only completed RiskAssessments are persisted (see UC-02).</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Open Issues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pPr>
            <w:r>
              <w:rPr>
                <w:sz w:val="21"/>
                <w:szCs w:val="21"/>
              </w:rPr>
              <w:t xml:space="preserve">Additional filters (e.g., account identifier, merchant, channel) have been discussed but are not yet exposed on this endpoint.</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Implementation Status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pPr>
            <w:r>
              <w:rPr>
                <w:sz w:val="21"/>
                <w:szCs w:val="21"/>
              </w:rPr>
              <w:t xml:space="preserve">Inbound port: FindRiskLeveledAssessmentsUseCase; queries: FindRiskLeveledAssessmentsQuery, PageRequestQuery.</w:t>
            </w:r>
          </w:p>
          <w:p>
            <w:pPr>
              <w:spacing w:after="60"/>
            </w:pPr>
            <w:r>
              <w:rPr>
                <w:sz w:val="21"/>
                <w:szCs w:val="21"/>
              </w:rPr>
              <w:t xml:space="preserve">Application service: FraudDetectionApplicationService.find(...).</w:t>
            </w:r>
          </w:p>
          <w:p>
            <w:pPr>
              <w:spacing w:after="60"/>
            </w:pPr>
            <w:r>
              <w:rPr>
                <w:sz w:val="21"/>
                <w:szCs w:val="21"/>
              </w:rPr>
              <w:t xml:space="preserve">REST entry point: FraudDetectionController.findAssessmentsByRiskLevelAndFromDate(...).</w:t>
            </w:r>
          </w:p>
        </w:tc>
      </w:tr>
    </w:tbl>
    <w:p>
      <w:r>
        <w:br w:type="page"/>
      </w:r>
    </w:p>
    <w:p>
      <w:pPr>
        <w:pStyle w:val="Heading2"/>
        <w:spacing w:after="120" w:before="240"/>
      </w:pPr>
      <w:r>
        <w:t xml:space="preserve">5.5 UC-05: Configure Fraud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B8B8" w:sz="4"/>
              <w:left w:val="single" w:color="B8B8B8" w:sz="4"/>
              <w:bottom w:val="single" w:color="B8B8B8" w:sz="4"/>
              <w:right w:val="single" w:color="B8B8B8" w:sz="4"/>
            </w:tcBorders>
            <w:shd w:fill="FFF3CD" w:val="clear"/>
            <w:tcMar>
              <w:top w:type="dxa" w:w="80"/>
              <w:left w:type="dxa" w:w="180"/>
              <w:bottom w:type="dxa" w:w="80"/>
              <w:right w:type="dxa" w:w="180"/>
            </w:tcMar>
          </w:tcPr>
          <w:p>
            <w:r>
              <w:rPr>
                <w:b/>
                <w:bCs/>
                <w:color w:val="1F3A5F"/>
                <w:sz w:val="21"/>
                <w:szCs w:val="21"/>
              </w:rPr>
              <w:t xml:space="preserve">Implementation status: Planned — NOT YET IMPLEMENTED</w:t>
            </w:r>
          </w:p>
        </w:tc>
      </w:tr>
    </w:tbl>
    <w:p>
      <w:pPr>
        <w:spacing w:after="80"/>
      </w:pPr>
      <w:r>
        <w:t xml:space="preserve"/>
      </w:r>
    </w:p>
    <w:p>
      <w:pPr>
        <w:spacing w:after="120"/>
        <w:jc w:val="both"/>
      </w:pPr>
      <w:r>
        <w:rPr>
          <w:b w:val="false"/>
          <w:bCs w:val="false"/>
          <w:i/>
          <w:iCs/>
          <w:color w:val="555555"/>
          <w:sz w:val="22"/>
          <w:szCs w:val="22"/>
        </w:rPr>
        <w:t xml:space="preserve">This use case is included to document the next planned extension of the Fraud Detection Service. It is explicitly not yet implemented. Today, Drools rules are loaded from classpath resources at startup via DroolsInfrastructureConfig and require a redeploy to change. This use case describes the controlled, runtime path that will replace that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Use Case ID</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UC-05</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Use Case Name</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Configure Fraud Rules</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Scope</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Fraud Detection Service (bounded context) — administrative side</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Level</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User Goal</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Primary Actor</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System Administrator</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Stakeholders and Interests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pPr>
            <w:r>
              <w:rPr>
                <w:sz w:val="21"/>
                <w:szCs w:val="21"/>
              </w:rPr>
              <w:t xml:space="preserve">System Administrator — wants to publish, version and activate Drools rule artifacts without redeploying the service.</w:t>
            </w:r>
          </w:p>
          <w:p>
            <w:pPr>
              <w:spacing w:after="60"/>
            </w:pPr>
            <w:r>
              <w:rPr>
                <w:sz w:val="21"/>
                <w:szCs w:val="21"/>
              </w:rPr>
              <w:t xml:space="preserve">Fraud Analyst — wants confidence that a new rule set has been validated before it starts affecting live decisions.</w:t>
            </w:r>
          </w:p>
          <w:p>
            <w:pPr>
              <w:spacing w:after="60"/>
            </w:pPr>
            <w:r>
              <w:rPr>
                <w:sz w:val="21"/>
                <w:szCs w:val="21"/>
              </w:rPr>
              <w:t xml:space="preserve">Compliance — wants a full, immutable audit trail of who activated which rule set and when.</w:t>
            </w:r>
          </w:p>
          <w:p>
            <w:pPr>
              <w:spacing w:after="60"/>
            </w:pPr>
            <w:r>
              <w:rPr>
                <w:sz w:val="21"/>
                <w:szCs w:val="21"/>
              </w:rPr>
              <w:t xml:space="preserve">Operations — wants safe rollback to the previous rule set in the event of a regression.</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Preconditions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ind w:left="280" w:hanging="280"/>
            </w:pPr>
            <w:r>
              <w:rPr>
                <w:sz w:val="21"/>
                <w:szCs w:val="21"/>
              </w:rPr>
              <w:t xml:space="preserve">1. The caller is authenticated via Keycloak and holds the fraud-rules-admin scope (new, reserved scope).</w:t>
            </w:r>
          </w:p>
          <w:p>
            <w:pPr>
              <w:spacing w:after="60"/>
              <w:ind w:left="280" w:hanging="280"/>
            </w:pPr>
            <w:r>
              <w:rPr>
                <w:sz w:val="21"/>
                <w:szCs w:val="21"/>
              </w:rPr>
              <w:t xml:space="preserve">2. The candidate rule artifact (KJAR or packaged DRL set) is syntactically valid and compiles against the service's Drools version.</w:t>
            </w:r>
          </w:p>
          <w:p>
            <w:pPr>
              <w:spacing w:after="60"/>
              <w:ind w:left="280" w:hanging="280"/>
            </w:pPr>
            <w:r>
              <w:rPr>
                <w:sz w:val="21"/>
                <w:szCs w:val="21"/>
              </w:rPr>
              <w:t xml:space="preserve">3. A versioning scheme (semantic or monotonic) has been agreed for rule artifacts.</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Success Guarantee (Postconditions)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ind w:left="280" w:hanging="280"/>
            </w:pPr>
            <w:r>
              <w:rPr>
                <w:sz w:val="21"/>
                <w:szCs w:val="21"/>
              </w:rPr>
              <w:t xml:space="preserve">1. The new rule artifact is stored in a RuleArtifactRepository with a version, checksum, author, and effective timestamp.</w:t>
            </w:r>
          </w:p>
          <w:p>
            <w:pPr>
              <w:spacing w:after="60"/>
              <w:ind w:left="280" w:hanging="280"/>
            </w:pPr>
            <w:r>
              <w:rPr>
                <w:sz w:val="21"/>
                <w:szCs w:val="21"/>
              </w:rPr>
              <w:t xml:space="preserve">2. The active KieContainer has been swapped (hot-reloaded) to the new artifact; subsequent calls to UC-02 evaluate against the new rules.</w:t>
            </w:r>
          </w:p>
          <w:p>
            <w:pPr>
              <w:spacing w:after="60"/>
              <w:ind w:left="280" w:hanging="280"/>
            </w:pPr>
            <w:r>
              <w:rPr>
                <w:sz w:val="21"/>
                <w:szCs w:val="21"/>
              </w:rPr>
              <w:t xml:space="preserve">3. An audit-log entry is written capturing actor, version, timestamp, and an optional change note.</w:t>
            </w:r>
          </w:p>
          <w:p>
            <w:pPr>
              <w:spacing w:after="60"/>
              <w:ind w:left="280" w:hanging="280"/>
            </w:pPr>
            <w:r>
              <w:rPr>
                <w:sz w:val="21"/>
                <w:szCs w:val="21"/>
              </w:rPr>
              <w:t xml:space="preserve">4. A domain event (FraudRulesActivated) is published for downstream observers.</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Minimal Guarantees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pPr>
            <w:r>
              <w:rPr>
                <w:sz w:val="21"/>
                <w:szCs w:val="21"/>
              </w:rPr>
              <w:t xml:space="preserve">If the candidate artifact fails compilation, validation or dry-run, the active rule set is unchanged.</w:t>
            </w:r>
          </w:p>
          <w:p>
            <w:pPr>
              <w:spacing w:after="60"/>
            </w:pPr>
            <w:r>
              <w:rPr>
                <w:sz w:val="21"/>
                <w:szCs w:val="21"/>
              </w:rPr>
              <w:t xml:space="preserve">If hot-reload fails mid-swap, the service retains the previous KieContainer and returns a structured error.</w:t>
            </w:r>
          </w:p>
          <w:p>
            <w:pPr>
              <w:spacing w:after="60"/>
            </w:pPr>
            <w:r>
              <w:rPr>
                <w:sz w:val="21"/>
                <w:szCs w:val="21"/>
              </w:rPr>
              <w:t xml:space="preserve">Rollback to the immediately previous version is always available while that version's artifact is retained.</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Trigger</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POST /admin/fraud-rules (upload / activate) — planned endpoint.</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Main Success Scenario</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ind w:left="280" w:hanging="280"/>
            </w:pPr>
            <w:r>
              <w:rPr>
                <w:sz w:val="21"/>
                <w:szCs w:val="21"/>
              </w:rPr>
              <w:t xml:space="preserve">1. System Administrator submits a rule artifact with version metadata and an optional change note.</w:t>
            </w:r>
          </w:p>
          <w:p>
            <w:pPr>
              <w:spacing w:after="60"/>
              <w:ind w:left="280" w:hanging="280"/>
            </w:pPr>
            <w:r>
              <w:rPr>
                <w:sz w:val="21"/>
                <w:szCs w:val="21"/>
              </w:rPr>
              <w:t xml:space="preserve">2. Service validates authentication and scope; rejects non-admin calls.</w:t>
            </w:r>
          </w:p>
          <w:p>
            <w:pPr>
              <w:spacing w:after="60"/>
              <w:ind w:left="280" w:hanging="280"/>
            </w:pPr>
            <w:r>
              <w:rPr>
                <w:sz w:val="21"/>
                <w:szCs w:val="21"/>
              </w:rPr>
              <w:t xml:space="preserve">3. Service compiles the artifact in an isolated KieContainer and runs it against a curated sample set of synthetic transactions (dry-run) to detect obvious regressions.</w:t>
            </w:r>
          </w:p>
          <w:p>
            <w:pPr>
              <w:spacing w:after="60"/>
              <w:ind w:left="280" w:hanging="280"/>
            </w:pPr>
            <w:r>
              <w:rPr>
                <w:sz w:val="21"/>
                <w:szCs w:val="21"/>
              </w:rPr>
              <w:t xml:space="preserve">4. On dry-run pass, service persists the artifact and metadata via RuleArtifactRepository.</w:t>
            </w:r>
          </w:p>
          <w:p>
            <w:pPr>
              <w:spacing w:after="60"/>
              <w:ind w:left="280" w:hanging="280"/>
            </w:pPr>
            <w:r>
              <w:rPr>
                <w:sz w:val="21"/>
                <w:szCs w:val="21"/>
              </w:rPr>
              <w:t xml:space="preserve">5. Service atomically swaps the active KieContainer used by RuleEngineService.</w:t>
            </w:r>
          </w:p>
          <w:p>
            <w:pPr>
              <w:spacing w:after="60"/>
              <w:ind w:left="280" w:hanging="280"/>
            </w:pPr>
            <w:r>
              <w:rPr>
                <w:sz w:val="21"/>
                <w:szCs w:val="21"/>
              </w:rPr>
              <w:t xml:space="preserve">6. Service writes an audit-log record and publishes FraudRulesActivated.</w:t>
            </w:r>
          </w:p>
          <w:p>
            <w:pPr>
              <w:spacing w:after="60"/>
              <w:ind w:left="280" w:hanging="280"/>
            </w:pPr>
            <w:r>
              <w:rPr>
                <w:sz w:val="21"/>
                <w:szCs w:val="21"/>
              </w:rPr>
              <w:t xml:space="preserve">7. Service returns HTTP 200 with the new version identifier and activation timestamp.</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Extensions (Alternative Flows)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40" w:before="60"/>
            </w:pPr>
            <w:r>
              <w:rPr>
                <w:b/>
                <w:bCs/>
                <w:color w:val="1F3A5F"/>
                <w:sz w:val="21"/>
                <w:szCs w:val="21"/>
              </w:rPr>
              <w:t xml:space="preserve">3a. Compilation failure:</w:t>
            </w:r>
          </w:p>
          <w:p>
            <w:pPr>
              <w:spacing w:after="40"/>
              <w:ind w:left="280"/>
            </w:pPr>
            <w:r>
              <w:rPr>
                <w:sz w:val="21"/>
                <w:szCs w:val="21"/>
              </w:rPr>
              <w:t xml:space="preserve">3a1. Service returns HTTP 422 with the compiler diagnostics.</w:t>
            </w:r>
          </w:p>
          <w:p>
            <w:pPr>
              <w:spacing w:after="40"/>
              <w:ind w:left="280"/>
            </w:pPr>
            <w:r>
              <w:rPr>
                <w:sz w:val="21"/>
                <w:szCs w:val="21"/>
              </w:rPr>
              <w:t xml:space="preserve">3a2. No storage, no swap.</w:t>
            </w:r>
          </w:p>
          <w:p>
            <w:pPr>
              <w:spacing w:after="40" w:before="60"/>
            </w:pPr>
            <w:r>
              <w:rPr>
                <w:b/>
                <w:bCs/>
                <w:color w:val="1F3A5F"/>
                <w:sz w:val="21"/>
                <w:szCs w:val="21"/>
              </w:rPr>
              <w:t xml:space="preserve">3b. Dry-run regression detected:</w:t>
            </w:r>
          </w:p>
          <w:p>
            <w:pPr>
              <w:spacing w:after="40"/>
              <w:ind w:left="280"/>
            </w:pPr>
            <w:r>
              <w:rPr>
                <w:sz w:val="21"/>
                <w:szCs w:val="21"/>
              </w:rPr>
              <w:t xml:space="preserve">3b1. Service returns HTTP 409 with a regression report (e.g., baseline LOW transactions now scoring HIGH).</w:t>
            </w:r>
          </w:p>
          <w:p>
            <w:pPr>
              <w:spacing w:after="40"/>
              <w:ind w:left="280"/>
            </w:pPr>
            <w:r>
              <w:rPr>
                <w:sz w:val="21"/>
                <w:szCs w:val="21"/>
              </w:rPr>
              <w:t xml:space="preserve">3b2. No storage, no swap.</w:t>
            </w:r>
          </w:p>
          <w:p>
            <w:pPr>
              <w:spacing w:after="40" w:before="60"/>
            </w:pPr>
            <w:r>
              <w:rPr>
                <w:b/>
                <w:bCs/>
                <w:color w:val="1F3A5F"/>
                <w:sz w:val="21"/>
                <w:szCs w:val="21"/>
              </w:rPr>
              <w:t xml:space="preserve">5a. Hot-reload failure:</w:t>
            </w:r>
          </w:p>
          <w:p>
            <w:pPr>
              <w:spacing w:after="40"/>
              <w:ind w:left="280"/>
            </w:pPr>
            <w:r>
              <w:rPr>
                <w:sz w:val="21"/>
                <w:szCs w:val="21"/>
              </w:rPr>
              <w:t xml:space="preserve">5a1. Service retains the previous KieContainer.</w:t>
            </w:r>
          </w:p>
          <w:p>
            <w:pPr>
              <w:spacing w:after="40"/>
              <w:ind w:left="280"/>
            </w:pPr>
            <w:r>
              <w:rPr>
                <w:sz w:val="21"/>
                <w:szCs w:val="21"/>
              </w:rPr>
              <w:t xml:space="preserve">5a2. Service marks the stored artifact as 'staged, not active' and returns HTTP 500.</w:t>
            </w:r>
          </w:p>
          <w:p>
            <w:pPr>
              <w:spacing w:after="40" w:before="60"/>
            </w:pPr>
            <w:r>
              <w:rPr>
                <w:b/>
                <w:bCs/>
                <w:color w:val="1F3A5F"/>
                <w:sz w:val="21"/>
                <w:szCs w:val="21"/>
              </w:rPr>
              <w:t xml:space="preserve">*. Rollback request:</w:t>
            </w:r>
          </w:p>
          <w:p>
            <w:pPr>
              <w:spacing w:after="40"/>
              <w:ind w:left="280"/>
            </w:pPr>
            <w:r>
              <w:rPr>
                <w:sz w:val="21"/>
                <w:szCs w:val="21"/>
              </w:rPr>
              <w:t xml:space="preserve">R1. Administrator invokes the rollback endpoint with a target version.</w:t>
            </w:r>
          </w:p>
          <w:p>
            <w:pPr>
              <w:spacing w:after="40"/>
              <w:ind w:left="280"/>
            </w:pPr>
            <w:r>
              <w:rPr>
                <w:sz w:val="21"/>
                <w:szCs w:val="21"/>
              </w:rPr>
              <w:t xml:space="preserve">R2. Service re-instantiates a KieContainer from the stored artifact and swaps.</w:t>
            </w:r>
          </w:p>
          <w:p>
            <w:pPr>
              <w:spacing w:after="40"/>
              <w:ind w:left="280"/>
            </w:pPr>
            <w:r>
              <w:rPr>
                <w:sz w:val="21"/>
                <w:szCs w:val="21"/>
              </w:rPr>
              <w:t xml:space="preserve">R3. Audit log and FraudRulesActivated event are written.</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Special Requirements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pPr>
            <w:r>
              <w:rPr>
                <w:sz w:val="21"/>
                <w:szCs w:val="21"/>
              </w:rPr>
              <w:t xml:space="preserve">Zero-downtime hot-reload of the KieContainer; currently handled at startup only.</w:t>
            </w:r>
          </w:p>
          <w:p>
            <w:pPr>
              <w:spacing w:after="60"/>
            </w:pPr>
            <w:r>
              <w:rPr>
                <w:sz w:val="21"/>
                <w:szCs w:val="21"/>
              </w:rPr>
              <w:t xml:space="preserve">Signed rule artifacts (planned) to prevent tampering in transit or at rest.</w:t>
            </w:r>
          </w:p>
          <w:p>
            <w:pPr>
              <w:spacing w:after="60"/>
            </w:pPr>
            <w:r>
              <w:rPr>
                <w:sz w:val="21"/>
                <w:szCs w:val="21"/>
              </w:rPr>
              <w:t xml:space="preserve">Dry-run harness backed by a curated corpus of synthetic transactions.</w:t>
            </w:r>
          </w:p>
          <w:p>
            <w:pPr>
              <w:spacing w:after="60"/>
            </w:pPr>
            <w:r>
              <w:rPr>
                <w:sz w:val="21"/>
                <w:szCs w:val="21"/>
              </w:rPr>
              <w:t xml:space="preserve">Full audit trail (actor, version, checksum, timestamp, outcome) retained for the service's compliance retention period.</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Frequency</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Low; expected to be measured in operator-initiated events per week or per month.</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Business Rules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ind w:left="280" w:hanging="280"/>
            </w:pPr>
            <w:r>
              <w:rPr>
                <w:sz w:val="21"/>
                <w:szCs w:val="21"/>
              </w:rPr>
              <w:t xml:space="preserve">1. Only one rule-set version is active at any time.</w:t>
            </w:r>
          </w:p>
          <w:p>
            <w:pPr>
              <w:spacing w:after="60"/>
              <w:ind w:left="280" w:hanging="280"/>
            </w:pPr>
            <w:r>
              <w:rPr>
                <w:sz w:val="21"/>
                <w:szCs w:val="21"/>
              </w:rPr>
              <w:t xml:space="preserve">2. Every activation (and rollback) is auditable; audit records are append-only.</w:t>
            </w:r>
          </w:p>
          <w:p>
            <w:pPr>
              <w:spacing w:after="60"/>
              <w:ind w:left="280" w:hanging="280"/>
            </w:pPr>
            <w:r>
              <w:rPr>
                <w:sz w:val="21"/>
                <w:szCs w:val="21"/>
              </w:rPr>
              <w:t xml:space="preserve">3. A rule-set activation must not alter any RiskAssessment that has already been persisted.</w:t>
            </w:r>
          </w:p>
          <w:p>
            <w:pPr>
              <w:spacing w:after="60"/>
              <w:ind w:left="280" w:hanging="280"/>
            </w:pPr>
            <w:r>
              <w:rPr>
                <w:sz w:val="21"/>
                <w:szCs w:val="21"/>
              </w:rPr>
              <w:t xml:space="preserve">4. The dry-run corpus should cover, at minimum, one transaction per risk band (LOW / MEDIUM / HIGH / CRITICAL) and one representative impossible-travel case.</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Open Issues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pPr>
            <w:r>
              <w:rPr>
                <w:sz w:val="21"/>
                <w:szCs w:val="21"/>
              </w:rPr>
              <w:t xml:space="preserve">Storage strategy for rule artifacts: object store (S3) vs. database BLOB — not yet decided.</w:t>
            </w:r>
          </w:p>
          <w:p>
            <w:pPr>
              <w:spacing w:after="60"/>
            </w:pPr>
            <w:r>
              <w:rPr>
                <w:sz w:val="21"/>
                <w:szCs w:val="21"/>
              </w:rPr>
              <w:t xml:space="preserve">Whether a two-person approval workflow (propose / approve) is required before activation — pending security review.</w:t>
            </w:r>
          </w:p>
          <w:p>
            <w:pPr>
              <w:spacing w:after="60"/>
            </w:pPr>
            <w:r>
              <w:rPr>
                <w:sz w:val="21"/>
                <w:szCs w:val="21"/>
              </w:rPr>
              <w:t xml:space="preserve">Interaction with multi-replica deployments: coordination strategy for in-process KieContainer swaps across replicas (e.g., Kafka broadcast vs. orchestrator signal) — to be designed.</w:t>
            </w:r>
          </w:p>
        </w:tc>
      </w:tr>
      <w:tr>
        <w:trPr>
          <w:cantSplit w:val="false"/>
        </w:trPr>
        <w:tc>
          <w:tcPr>
            <w:tcW w:type="dxa" w:w="2800"/>
            <w:tcBorders>
              <w:top w:val="single" w:color="B8B8B8" w:sz="4"/>
              <w:left w:val="single" w:color="B8B8B8" w:sz="4"/>
              <w:bottom w:val="single" w:color="B8B8B8" w:sz="4"/>
              <w:right w:val="single" w:color="B8B8B8" w:sz="4"/>
            </w:tcBorders>
            <w:shd w:fill="EEF2F7" w:val="clear"/>
            <w:tcMar>
              <w:top w:type="dxa" w:w="100"/>
              <w:left w:type="dxa" w:w="140"/>
              <w:bottom w:type="dxa" w:w="100"/>
              <w:right w:type="dxa" w:w="140"/>
            </w:tcMar>
          </w:tcPr>
          <w:p>
            <w:r>
              <w:rPr>
                <w:b/>
                <w:bCs/>
                <w:color w:val="1F3A5F"/>
                <w:sz w:val="21"/>
                <w:szCs w:val="21"/>
              </w:rPr>
              <w:t xml:space="preserve">Implementation Status</w:t>
            </w:r>
          </w:p>
        </w:tc>
        <w:tc>
          <w:tcPr>
            <w:tcW w:type="dxa" w:w="6226"/>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80"/>
            </w:pPr>
            <w:r>
              <w:rPr>
                <w:b/>
                <w:bCs/>
                <w:color w:val="B00020"/>
                <w:sz w:val="21"/>
                <w:szCs w:val="21"/>
              </w:rPr>
              <w:t xml:space="preserve">NOT IMPLEMENTED. Current-state contrast:</w:t>
            </w:r>
          </w:p>
          <w:p>
            <w:pPr>
              <w:spacing w:after="60"/>
            </w:pPr>
            <w:r>
              <w:rPr>
                <w:sz w:val="21"/>
                <w:szCs w:val="21"/>
              </w:rPr>
              <w:t xml:space="preserve">Today, Drools rules are loaded at Spring context startup via com.twenty9ine.frauddetection.infrastructure.config.DroolsInfrastructureConfig from classpath resources.</w:t>
            </w:r>
          </w:p>
          <w:p>
            <w:pPr>
              <w:spacing w:after="60"/>
            </w:pPr>
            <w:r>
              <w:rPr>
                <w:sz w:val="21"/>
                <w:szCs w:val="21"/>
              </w:rPr>
              <w:t xml:space="preserve">There is no RuleArtifactRepository, no admin REST surface under /admin/fraud-rules, and no dry-run harness.</w:t>
            </w:r>
          </w:p>
          <w:p>
            <w:pPr>
              <w:spacing w:after="60"/>
            </w:pPr>
            <w:r>
              <w:rPr>
                <w:sz w:val="21"/>
                <w:szCs w:val="21"/>
              </w:rPr>
              <w:t xml:space="preserve">Required artefacts (suggested): RuleArtifactRepository port and adapter; FraudRuleAdminController; RuleArtifactService (application service); RuleDryRunService (domain / application service); FraudRulesActivated domain event; a new Keycloak scope fraud-rules-admin.</w:t>
            </w:r>
          </w:p>
        </w:tc>
      </w:tr>
    </w:tbl>
    <w:p>
      <w:r>
        <w:br w:type="page"/>
      </w:r>
    </w:p>
    <w:p>
      <w:pPr>
        <w:pStyle w:val="Heading1"/>
        <w:spacing w:after="180" w:before="360"/>
      </w:pPr>
      <w:r>
        <w:t xml:space="preserve">6. 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626"/>
      </w:tblGrid>
      <w:tr>
        <w:trPr>
          <w:tblHeader/>
        </w:trPr>
        <w:tc>
          <w:tcPr>
            <w:tcW w:type="dxa" w:w="1200"/>
            <w:tcBorders>
              <w:top w:val="single" w:color="B8B8B8" w:sz="4"/>
              <w:left w:val="single" w:color="B8B8B8" w:sz="4"/>
              <w:bottom w:val="single" w:color="B8B8B8" w:sz="4"/>
              <w:right w:val="single" w:color="B8B8B8" w:sz="4"/>
            </w:tcBorders>
            <w:shd w:fill="1F3A5F" w:val="clear"/>
            <w:tcMar>
              <w:top w:type="dxa" w:w="100"/>
              <w:left w:type="dxa" w:w="140"/>
              <w:bottom w:type="dxa" w:w="100"/>
              <w:right w:type="dxa" w:w="140"/>
            </w:tcMar>
          </w:tcPr>
          <w:p>
            <w:r>
              <w:rPr>
                <w:b/>
                <w:bCs/>
                <w:color w:val="FFFFFF"/>
                <w:sz w:val="21"/>
                <w:szCs w:val="21"/>
              </w:rPr>
              <w:t xml:space="preserve">Version</w:t>
            </w:r>
          </w:p>
        </w:tc>
        <w:tc>
          <w:tcPr>
            <w:tcW w:type="dxa" w:w="1800"/>
            <w:tcBorders>
              <w:top w:val="single" w:color="B8B8B8" w:sz="4"/>
              <w:left w:val="single" w:color="B8B8B8" w:sz="4"/>
              <w:bottom w:val="single" w:color="B8B8B8" w:sz="4"/>
              <w:right w:val="single" w:color="B8B8B8" w:sz="4"/>
            </w:tcBorders>
            <w:shd w:fill="1F3A5F" w:val="clear"/>
            <w:tcMar>
              <w:top w:type="dxa" w:w="100"/>
              <w:left w:type="dxa" w:w="140"/>
              <w:bottom w:type="dxa" w:w="100"/>
              <w:right w:type="dxa" w:w="140"/>
            </w:tcMar>
          </w:tcPr>
          <w:p>
            <w:r>
              <w:rPr>
                <w:b/>
                <w:bCs/>
                <w:color w:val="FFFFFF"/>
                <w:sz w:val="21"/>
                <w:szCs w:val="21"/>
              </w:rPr>
              <w:t xml:space="preserve">Date</w:t>
            </w:r>
          </w:p>
        </w:tc>
        <w:tc>
          <w:tcPr>
            <w:tcW w:type="dxa" w:w="2400"/>
            <w:tcBorders>
              <w:top w:val="single" w:color="B8B8B8" w:sz="4"/>
              <w:left w:val="single" w:color="B8B8B8" w:sz="4"/>
              <w:bottom w:val="single" w:color="B8B8B8" w:sz="4"/>
              <w:right w:val="single" w:color="B8B8B8" w:sz="4"/>
            </w:tcBorders>
            <w:shd w:fill="1F3A5F" w:val="clear"/>
            <w:tcMar>
              <w:top w:type="dxa" w:w="100"/>
              <w:left w:type="dxa" w:w="140"/>
              <w:bottom w:type="dxa" w:w="100"/>
              <w:right w:type="dxa" w:w="140"/>
            </w:tcMar>
          </w:tcPr>
          <w:p>
            <w:r>
              <w:rPr>
                <w:b/>
                <w:bCs/>
                <w:color w:val="FFFFFF"/>
                <w:sz w:val="21"/>
                <w:szCs w:val="21"/>
              </w:rPr>
              <w:t xml:space="preserve">Author</w:t>
            </w:r>
          </w:p>
        </w:tc>
        <w:tc>
          <w:tcPr>
            <w:tcW w:type="dxa" w:w="3626"/>
            <w:tcBorders>
              <w:top w:val="single" w:color="B8B8B8" w:sz="4"/>
              <w:left w:val="single" w:color="B8B8B8" w:sz="4"/>
              <w:bottom w:val="single" w:color="B8B8B8" w:sz="4"/>
              <w:right w:val="single" w:color="B8B8B8" w:sz="4"/>
            </w:tcBorders>
            <w:shd w:fill="1F3A5F" w:val="clear"/>
            <w:tcMar>
              <w:top w:type="dxa" w:w="100"/>
              <w:left w:type="dxa" w:w="140"/>
              <w:bottom w:type="dxa" w:w="100"/>
              <w:right w:type="dxa" w:w="140"/>
            </w:tcMar>
          </w:tcPr>
          <w:p>
            <w:r>
              <w:rPr>
                <w:b/>
                <w:bCs/>
                <w:color w:val="FFFFFF"/>
                <w:sz w:val="21"/>
                <w:szCs w:val="21"/>
              </w:rPr>
              <w:t xml:space="preserve">Changes</w:t>
            </w:r>
          </w:p>
        </w:tc>
      </w:tr>
      <w:tr>
        <w:tc>
          <w:tcPr>
            <w:tcW w:type="dxa" w:w="1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1.0</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Initial session</w:t>
            </w:r>
          </w:p>
        </w:tc>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Ignatius I. Manota</w:t>
            </w:r>
          </w:p>
        </w:tc>
        <w:tc>
          <w:tcPr>
            <w:tcW w:type="dxa" w:w="36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Original 10-use-case catalogue produced during early discovery.</w:t>
            </w:r>
          </w:p>
        </w:tc>
      </w:tr>
      <w:tr>
        <w:tc>
          <w:tcPr>
            <w:tcW w:type="dxa" w:w="1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2.0</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23 April 2026</w:t>
            </w:r>
          </w:p>
        </w:tc>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Ignatius I. Manota</w:t>
            </w:r>
          </w:p>
        </w:tc>
        <w:tc>
          <w:tcPr>
            <w:tcW w:type="dxa" w:w="3626"/>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1"/>
                <w:szCs w:val="21"/>
              </w:rPr>
              <w:t xml:space="preserve">Re-scoped to current implementation: four implemented use cases plus one planned (Configure Fraud Rules).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Twenty9ine (Pty) Ltd  •  Confidential  •  Page </w:t>
    </w:r>
    <w:r>
      <w:rPr>
        <w:b/>
        <w:bCs/>
        <w:color w:val="1F3A5F"/>
        <w:sz w:val="18"/>
        <w:szCs w:val="18"/>
      </w:rPr>
      <w:fldChar w:fldCharType="begin"/>
      <w:instrText xml:space="preserve">PAGE</w:instrText>
      <w:fldChar w:fldCharType="separate"/>
      <w:fldChar w:fldCharType="end"/>
    </w:r>
    <w:r>
      <w:rPr>
        <w:color w:val="555555"/>
        <w:sz w:val="18"/>
        <w:szCs w:val="18"/>
      </w:rPr>
      <w:t xml:space="preserve"> of </w:t>
    </w:r>
    <w:r>
      <w:rPr>
        <w:b/>
        <w:bCs/>
        <w:color w:val="1F3A5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2"/>
      </w:pBdr>
      <w:spacing w:after="40"/>
      <w:jc w:val="right"/>
    </w:pPr>
    <w:r>
      <w:rPr>
        <w:color w:val="555555"/>
        <w:sz w:val="18"/>
        <w:szCs w:val="18"/>
      </w:rPr>
      <w:t xml:space="preserve">Fraud Detection Service  •  </w:t>
    </w:r>
    <w:r>
      <w:rPr>
        <w:b/>
        <w:bCs/>
        <w:color w:val="1F3A5F"/>
        <w:sz w:val="18"/>
        <w:szCs w:val="18"/>
      </w:rPr>
      <w:t xml:space="preserve">Use Case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8" w:space="4"/>
      </w:pBd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2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 Detection Service — Use Case Specification</dc:title>
  <dc:creator>Ignatius Itumeleng Manota</dc:creator>
  <dc:description>Cockburn-style use case specification for the Fraud Detection Service (Twenty9ine).</dc:description>
  <cp:lastModifiedBy>Un-named</cp:lastModifiedBy>
  <cp:revision>1</cp:revision>
  <dcterms:created xsi:type="dcterms:W3CDTF">2026-04-23T09:38:48.712Z</dcterms:created>
  <dcterms:modified xsi:type="dcterms:W3CDTF">2026-04-23T09:38:48.713Z</dcterms:modified>
</cp:coreProperties>
</file>

<file path=docProps/custom.xml><?xml version="1.0" encoding="utf-8"?>
<Properties xmlns="http://schemas.openxmlformats.org/officeDocument/2006/custom-properties" xmlns:vt="http://schemas.openxmlformats.org/officeDocument/2006/docPropsVTypes"/>
</file>