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/>
          <w:i w:val="0"/>
          <w:sz w:val="22"/>
        </w:rPr>
        <w:t>Subject: RE: ORG CPS — two clusters with negative savings</w:t>
      </w:r>
    </w:p>
    <w:p>
      <w:pPr>
        <w:spacing w:after="0"/>
      </w:pPr>
      <w:r>
        <w:rPr>
          <w:b w:val="0"/>
          <w:i w:val="0"/>
          <w:sz w:val="18"/>
        </w:rPr>
        <w:t>To: Sergej Petrovski &lt;sergej.petrovski@siemens.com&gt;</w:t>
      </w:r>
    </w:p>
    <w:p>
      <w:pPr>
        <w:spacing w:after="120"/>
      </w:pPr>
      <w:r>
        <w:rPr>
          <w:b w:val="0"/>
          <w:i w:val="0"/>
          <w:sz w:val="18"/>
        </w:rPr>
        <w:t>Cc: Lars Marin (tecracer) | From: Ebrahim Ramadan &lt;ebrahim@cast.ai&gt; | Date: 2026-10-08</w:t>
      </w:r>
    </w:p>
    <w:p>
      <w:pPr>
        <w:spacing w:after="120"/>
      </w:pPr>
      <w:r>
        <w:rPr>
          <w:b w:val="0"/>
          <w:i w:val="0"/>
          <w:sz w:val="18"/>
        </w:rPr>
        <w:t>——————————————————————————————————————————————</w:t>
      </w:r>
    </w:p>
    <w:p>
      <w:pPr>
        <w:spacing w:after="120"/>
      </w:pPr>
      <w:r>
        <w:rPr>
          <w:b w:val="0"/>
          <w:i w:val="0"/>
          <w:sz w:val="21"/>
        </w:rPr>
        <w:t>Hello Sergej,</w:t>
      </w:r>
    </w:p>
    <w:p>
      <w:pPr>
        <w:spacing w:after="120"/>
      </w:pPr>
      <w:r>
        <w:rPr>
          <w:b w:val="0"/>
          <w:i w:val="0"/>
          <w:sz w:val="21"/>
        </w:rPr>
        <w:t>short answer first: nothing is wrong — neither cluster is in minus. I verified this today, claim by claim, against your own console and our API. Claims and proofs below.</w:t>
      </w:r>
    </w:p>
    <w:p>
      <w:pPr>
        <w:spacing w:before="240" w:after="120"/>
      </w:pPr>
      <w:r>
        <w:rPr>
          <w:b/>
          <w:sz w:val="26"/>
        </w:rPr>
        <w:t>Claim 1 — Both clusters have positive realized savings. Right now, every day.</w:t>
      </w:r>
    </w:p>
    <w:p>
      <w:pPr>
        <w:spacing w:after="160"/>
      </w:pPr>
      <w:r>
        <w:rPr>
          <w:b w:val="0"/>
          <w:i w:val="0"/>
          <w:sz w:val="21"/>
        </w:rPr>
        <w:t>Proof: the Savings Report of ORG CPS as of this morning (October, org scope). Baseline spend $6,841 minus actual spend $3,849 = realized savings +$2,992 in the first week of October alone. A cluster losing money cannot produce this picture.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378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savings-defaul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7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55555"/>
          <w:sz w:val="17"/>
        </w:rPr>
        <w:t>Proof 1: CPS Savings Report, this month (console, today 2026-10-08 00:53 EET).</w:t>
      </w:r>
    </w:p>
    <w:p>
      <w:pPr>
        <w:spacing w:before="240" w:after="120"/>
      </w:pPr>
      <w:r>
        <w:rPr>
          <w:b/>
          <w:sz w:val="26"/>
        </w:rPr>
        <w:t>Claim 2 — On the first cluster, node autoscaling is configured and working — the low score has a different cause.</w:t>
      </w:r>
    </w:p>
    <w:p>
      <w:pPr>
        <w:spacing w:after="160"/>
      </w:pPr>
      <w:r>
        <w:rPr>
          <w:b w:val="0"/>
          <w:i w:val="0"/>
          <w:sz w:val="21"/>
        </w:rPr>
        <w:t>Proof: the Savings Report of dema-platform-services. Realized savings +$2,930 this month, and under "Node autoscaler impact": baseline 684 CPU vs. 485 CPU actually provisioned — CAST AI removed ~199 CPU of waste. Node autoscaling has managed this cluster since July 22.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378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main-savings-last30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7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55555"/>
          <w:sz w:val="17"/>
        </w:rPr>
        <w:t>Proof 2a: dema-platform-services Savings Report (console, today).</w:t>
      </w:r>
    </w:p>
    <w:p>
      <w:pPr>
        <w:spacing w:after="160"/>
      </w:pPr>
      <w:r>
        <w:rPr>
          <w:b w:val="0"/>
          <w:i w:val="0"/>
          <w:sz w:val="21"/>
        </w:rPr>
        <w:t>The 4.9 score (your screenshot showed 4.6 — it drifts) comes from remaining headroom, not from missing configuration: 0% Spot usage and a pending rebalancing recommendation. That headroom is also the next saving: Spot scenarios estimate −48.7% to −73.5% of the current ~$12.6k per month.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378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cluster-li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7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55555"/>
          <w:sz w:val="17"/>
        </w:rPr>
        <w:t>Proof 2b: Cluster list, today — scores 4.9 / 6.2 side by side.</w:t>
      </w:r>
    </w:p>
    <w:p>
      <w:pPr>
        <w:spacing w:before="240" w:after="120"/>
      </w:pPr>
      <w:r>
        <w:rPr>
          <w:b/>
          <w:sz w:val="26"/>
        </w:rPr>
        <w:t>Claim 3 — The "couple of dozen Euro in minus" on the well-configured cluster is the Workload Autoscaler line — negative by definition, not by error.</w:t>
      </w:r>
    </w:p>
    <w:p>
      <w:pPr>
        <w:spacing w:after="40"/>
      </w:pPr>
      <w:r>
        <w:rPr>
          <w:b w:val="0"/>
          <w:i w:val="0"/>
          <w:sz w:val="21"/>
        </w:rPr>
        <w:t>Documented formula (docs.cast.ai/docs/savings-baseline):</w:t>
      </w:r>
    </w:p>
    <w:p>
      <w:pPr>
        <w:spacing w:after="120"/>
      </w:pPr>
      <w:r>
        <w:rPr>
          <w:b w:val="0"/>
          <w:i/>
          <w:sz w:val="19"/>
        </w:rPr>
        <w:t>workload autoscaler savings = (original requests − current requests) × max(current price, baseline price)</w:t>
      </w:r>
    </w:p>
    <w:p>
      <w:pPr>
        <w:spacing w:after="80"/>
      </w:pPr>
      <w:r>
        <w:rPr>
          <w:b w:val="0"/>
          <w:i w:val="0"/>
          <w:sz w:val="21"/>
        </w:rPr>
        <w:t>On both clusters the Workload Autoscaler raised requests that were set too low — a stability correction. Your test cluster recorded 348 OOM kills in the last 30 days; under-requested memory is a classic cause. When current requests are higher than the originals, this line is negative by construction. In August it was −$24.81 ≈ −€22 — exactly the figure you saw. Two things matter here:</w:t>
      </w:r>
    </w:p>
    <w:p>
      <w:pPr>
        <w:spacing w:after="40"/>
      </w:pPr>
      <w:r>
        <w:rPr>
          <w:b w:val="0"/>
          <w:i w:val="0"/>
          <w:sz w:val="21"/>
        </w:rPr>
        <w:t>1. This value is already contained in Total savings. It is a sub-attribution, not an additional loss on top (documented behavior — Total savings = node autoscaler savings; the workload effect enters it via reduced demand).</w:t>
      </w:r>
    </w:p>
    <w:p>
      <w:pPr>
        <w:spacing w:after="160"/>
      </w:pPr>
      <w:r>
        <w:rPr>
          <w:b w:val="0"/>
          <w:i w:val="0"/>
          <w:sz w:val="21"/>
        </w:rPr>
        <w:t>2. It turned positive on September 24, once rightsizing caught up.</w:t>
      </w:r>
    </w:p>
    <w:p>
      <w:pPr>
        <w:spacing w:after="160"/>
      </w:pPr>
      <w:r>
        <w:rPr>
          <w:b w:val="0"/>
          <w:i w:val="0"/>
          <w:sz w:val="21"/>
        </w:rPr>
        <w:t>Proof: the same report for dema-platform-services-test, today — realized savings +$66 (45% under baseline), and the Workload Autoscaler line ≈ +$9, positive.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378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savings-main-onl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7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55555"/>
          <w:sz w:val="17"/>
        </w:rPr>
        <w:t>Proof 3: dema-platform-services-test Savings Report (console, today).</w:t>
      </w:r>
    </w:p>
    <w:p>
      <w:pPr>
        <w:spacing w:before="240" w:after="120"/>
      </w:pPr>
      <w:r>
        <w:rPr>
          <w:b/>
          <w:sz w:val="26"/>
        </w:rPr>
        <w:t>The calculation, compressed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c>
          <w:tcPr>
            <w:tcW w:type="dxa" w:w="3202"/>
          </w:tcPr>
          <w:p>
            <w:r>
              <w:rPr>
                <w:b/>
                <w:sz w:val="18"/>
              </w:rPr>
              <w:t>Month</w:t>
            </w:r>
          </w:p>
        </w:tc>
        <w:tc>
          <w:tcPr>
            <w:tcW w:type="dxa" w:w="3202"/>
          </w:tcPr>
          <w:p>
            <w:r>
              <w:rPr>
                <w:b/>
                <w:sz w:val="18"/>
              </w:rPr>
              <w:t>dema-platform-services — realized / workload line</w:t>
            </w:r>
          </w:p>
        </w:tc>
        <w:tc>
          <w:tcPr>
            <w:tcW w:type="dxa" w:w="3202"/>
          </w:tcPr>
          <w:p>
            <w:r>
              <w:rPr>
                <w:b/>
                <w:sz w:val="18"/>
              </w:rPr>
              <w:t>dema-platform-services-test — realized / workload line</w:t>
            </w:r>
          </w:p>
        </w:tc>
      </w:tr>
      <w:tr>
        <w:tc>
          <w:tcPr>
            <w:tcW w:type="dxa" w:w="3202"/>
          </w:tcPr>
          <w:p>
            <w:r>
              <w:rPr>
                <w:sz w:val="18"/>
              </w:rPr>
              <w:t>Jul 22–31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+$2,567 / −$17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+$70 / −$6</w:t>
            </w:r>
          </w:p>
        </w:tc>
      </w:tr>
      <w:tr>
        <w:tc>
          <w:tcPr>
            <w:tcW w:type="dxa" w:w="3202"/>
          </w:tcPr>
          <w:p>
            <w:r>
              <w:rPr>
                <w:sz w:val="18"/>
              </w:rPr>
              <w:t>August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+$9,951 / −$75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+$213 / −$25 (≈ −€22 ← your figure)</w:t>
            </w:r>
          </w:p>
        </w:tc>
      </w:tr>
      <w:tr>
        <w:tc>
          <w:tcPr>
            <w:tcW w:type="dxa" w:w="3202"/>
          </w:tcPr>
          <w:p>
            <w:r>
              <w:rPr>
                <w:sz w:val="18"/>
              </w:rPr>
              <w:t>September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+$11,690 / −$81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+$202 / −$9</w:t>
            </w:r>
          </w:p>
        </w:tc>
      </w:tr>
      <w:tr>
        <w:tc>
          <w:tcPr>
            <w:tcW w:type="dxa" w:w="3202"/>
          </w:tcPr>
          <w:p>
            <w:r>
              <w:rPr>
                <w:sz w:val="18"/>
              </w:rPr>
              <w:t>October 1–8 (console today)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+$2,930 / ≈ +$3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+$66 / ≈ +$9</w:t>
            </w:r>
          </w:p>
        </w:tc>
      </w:tr>
    </w:tbl>
    <w:p/>
    <w:p>
      <w:pPr>
        <w:spacing w:after="120"/>
      </w:pPr>
      <w:r>
        <w:rPr>
          <w:b w:val="0"/>
          <w:i w:val="0"/>
          <w:sz w:val="21"/>
        </w:rPr>
        <w:t>Verdict: nothing is broken on either cluster. The minus you see is the Workload Autoscaler sub-attribution for corrected under-sizing — stability money, not lost money. The real remaining lever is Spot adoption (−48.7% to −73.5% estimated on dema-platform-services). Say the word and we walk through it in 30 minutes.</w:t>
      </w:r>
    </w:p>
    <w:p>
      <w:pPr>
        <w:spacing w:after="120"/>
      </w:pPr>
      <w:r>
        <w:rPr>
          <w:b w:val="0"/>
          <w:i w:val="0"/>
          <w:sz w:val="21"/>
        </w:rPr>
        <w:t>One note from our side, for completeness: the cloud-cost telemetry for both clusters has been stale since September 16 (some report tiles under-count as a result). We are correcting this — no action needed from you.</w:t>
      </w:r>
    </w:p>
    <w:p>
      <w:pPr>
        <w:spacing w:after="120"/>
      </w:pPr>
      <w:r>
        <w:rPr>
          <w:b w:val="0"/>
          <w:i w:val="0"/>
          <w:sz w:val="21"/>
        </w:rPr>
        <w:t>Sources: Savings Report https://docs.cast.ai/docs/savings-report — methodology and formulas https://docs.cast.ai/docs/savings-baseline. Screenshots taken today, 2026-10-08, from your console; monthly history from the CAST AI reporting API (the console offers rolling time windows only).</w:t>
      </w:r>
    </w:p>
    <w:p>
      <w:pPr>
        <w:spacing w:after="120"/>
      </w:pPr>
      <w:r>
        <w:rPr>
          <w:b w:val="0"/>
          <w:i w:val="0"/>
          <w:sz w:val="21"/>
        </w:rPr>
      </w:r>
    </w:p>
    <w:p>
      <w:pPr>
        <w:spacing w:after="120"/>
      </w:pPr>
      <w:r>
        <w:rPr>
          <w:b w:val="0"/>
          <w:i w:val="0"/>
          <w:sz w:val="21"/>
        </w:rPr>
        <w:t>Best regards,</w:t>
      </w:r>
    </w:p>
    <w:p>
      <w:pPr>
        <w:spacing w:after="0"/>
      </w:pPr>
      <w:r>
        <w:rPr>
          <w:b/>
          <w:i w:val="0"/>
          <w:sz w:val="21"/>
        </w:rPr>
        <w:t>Ebrahim Ramadan</w:t>
      </w:r>
    </w:p>
    <w:p>
      <w:pPr>
        <w:spacing w:after="120"/>
      </w:pPr>
      <w:r>
        <w:rPr>
          <w:b w:val="0"/>
          <w:i w:val="0"/>
          <w:sz w:val="18"/>
        </w:rPr>
        <w:t>CAST AI — ebrahim@cast.ai</w:t>
      </w:r>
    </w:p>
    <w:sectPr w:rsidR="00FC693F" w:rsidRPr="0006063C" w:rsidSect="00034616">
      <w:pgSz w:w="11909" w:h="16834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