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FDF" w:rsidRDefault="00D55FDF">
      <w:pPr>
        <w:jc w:val="center"/>
        <w:rPr>
          <w:i/>
          <w:sz w:val="20"/>
          <w:lang w:val="en-GB"/>
        </w:rPr>
      </w:pPr>
      <w:r>
        <w:rPr>
          <w:i/>
          <w:sz w:val="20"/>
          <w:lang w:val="en-GB"/>
        </w:rPr>
        <w:t xml:space="preserve">Annex to ITU Operational Bulletin </w:t>
      </w:r>
    </w:p>
    <w:p w:rsidR="00D55FDF" w:rsidRDefault="00D47FB4" w:rsidP="00BB3D4E">
      <w:pPr>
        <w:jc w:val="center"/>
        <w:rPr>
          <w:i/>
          <w:sz w:val="20"/>
          <w:lang w:val="en-GB"/>
        </w:rPr>
      </w:pPr>
      <w:r>
        <w:rPr>
          <w:i/>
          <w:sz w:val="20"/>
          <w:lang w:val="en-GB"/>
        </w:rPr>
        <w:t xml:space="preserve">No. </w:t>
      </w:r>
      <w:r w:rsidR="001B5753">
        <w:rPr>
          <w:i/>
          <w:sz w:val="20"/>
          <w:lang w:val="en-GB"/>
        </w:rPr>
        <w:t>112</w:t>
      </w:r>
      <w:r w:rsidR="00BB3D4E">
        <w:rPr>
          <w:i/>
          <w:sz w:val="20"/>
          <w:lang w:val="en-GB"/>
        </w:rPr>
        <w:t>5</w:t>
      </w:r>
      <w:r w:rsidR="001B5753">
        <w:rPr>
          <w:i/>
          <w:sz w:val="20"/>
          <w:lang w:val="en-GB"/>
        </w:rPr>
        <w:t xml:space="preserve"> – </w:t>
      </w:r>
      <w:r w:rsidR="00BB3D4E">
        <w:rPr>
          <w:i/>
          <w:sz w:val="20"/>
          <w:lang w:val="en-GB"/>
        </w:rPr>
        <w:t>1</w:t>
      </w:r>
      <w:r w:rsidR="00F86976" w:rsidRPr="0002418B">
        <w:rPr>
          <w:i/>
          <w:sz w:val="20"/>
          <w:lang w:val="en-GB"/>
        </w:rPr>
        <w:t>.</w:t>
      </w:r>
      <w:r w:rsidR="00BB3D4E">
        <w:rPr>
          <w:i/>
          <w:sz w:val="20"/>
          <w:lang w:val="en-GB"/>
        </w:rPr>
        <w:t>VI</w:t>
      </w:r>
      <w:r w:rsidRPr="0002418B">
        <w:rPr>
          <w:i/>
          <w:sz w:val="20"/>
          <w:lang w:val="en-GB"/>
        </w:rPr>
        <w:t>.201</w:t>
      </w:r>
      <w:r w:rsidR="00F86976" w:rsidRPr="0002418B">
        <w:rPr>
          <w:i/>
          <w:sz w:val="20"/>
          <w:lang w:val="en-GB"/>
        </w:rPr>
        <w:t>7</w:t>
      </w:r>
    </w:p>
    <w:p w:rsidR="00D55FDF" w:rsidRDefault="00D55FDF">
      <w:pPr>
        <w:rPr>
          <w:lang w:val="en-GB"/>
        </w:rPr>
      </w:pPr>
    </w:p>
    <w:p w:rsidR="00D55FDF" w:rsidRDefault="00D55FDF">
      <w:pPr>
        <w:rPr>
          <w:lang w:val="en-GB"/>
        </w:rPr>
      </w:pPr>
    </w:p>
    <w:tbl>
      <w:tblPr>
        <w:tblW w:w="0" w:type="auto"/>
        <w:tblLayout w:type="fixed"/>
        <w:tblLook w:val="0000" w:firstRow="0" w:lastRow="0" w:firstColumn="0" w:lastColumn="0" w:noHBand="0" w:noVBand="0"/>
      </w:tblPr>
      <w:tblGrid>
        <w:gridCol w:w="1279"/>
        <w:gridCol w:w="7429"/>
      </w:tblGrid>
      <w:tr w:rsidR="00D55FDF">
        <w:trPr>
          <w:cantSplit/>
        </w:trPr>
        <w:tc>
          <w:tcPr>
            <w:tcW w:w="1279" w:type="dxa"/>
          </w:tcPr>
          <w:p w:rsidR="00D55FDF" w:rsidRDefault="004F30F0">
            <w:pPr>
              <w:rPr>
                <w:lang w:val="en-GB"/>
              </w:rPr>
            </w:pPr>
            <w:r>
              <w:rPr>
                <w:rFonts w:ascii="FrugalSans" w:hAnsi="FrugalSans"/>
                <w:iCs/>
                <w:noProof/>
                <w:lang w:eastAsia="zh-CN"/>
              </w:rPr>
              <w:drawing>
                <wp:inline distT="0" distB="0" distL="0" distR="0">
                  <wp:extent cx="588010" cy="662940"/>
                  <wp:effectExtent l="0" t="0" r="2540" b="381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010" cy="662940"/>
                          </a:xfrm>
                          <a:prstGeom prst="rect">
                            <a:avLst/>
                          </a:prstGeom>
                          <a:noFill/>
                          <a:ln>
                            <a:noFill/>
                          </a:ln>
                        </pic:spPr>
                      </pic:pic>
                    </a:graphicData>
                  </a:graphic>
                </wp:inline>
              </w:drawing>
            </w:r>
          </w:p>
        </w:tc>
        <w:tc>
          <w:tcPr>
            <w:tcW w:w="7429" w:type="dxa"/>
          </w:tcPr>
          <w:p w:rsidR="00D55FDF" w:rsidRDefault="00D55FDF">
            <w:pPr>
              <w:rPr>
                <w:sz w:val="28"/>
                <w:lang w:val="en-GB"/>
              </w:rPr>
            </w:pPr>
          </w:p>
          <w:p w:rsidR="00D55FDF" w:rsidRDefault="00D55FDF">
            <w:pPr>
              <w:rPr>
                <w:lang w:val="en-GB"/>
              </w:rPr>
            </w:pPr>
            <w:r>
              <w:rPr>
                <w:b/>
                <w:sz w:val="28"/>
                <w:lang w:val="en-GB"/>
              </w:rPr>
              <w:t xml:space="preserve">INTERNATIONAL TELECOMMUNICATION </w:t>
            </w:r>
            <w:smartTag w:uri="urn:schemas-microsoft-com:office:smarttags" w:element="place">
              <w:r>
                <w:rPr>
                  <w:b/>
                  <w:sz w:val="28"/>
                  <w:lang w:val="en-GB"/>
                </w:rPr>
                <w:t>UNION</w:t>
              </w:r>
            </w:smartTag>
          </w:p>
        </w:tc>
      </w:tr>
    </w:tbl>
    <w:p w:rsidR="00D55FDF" w:rsidRDefault="00D55FDF">
      <w:pPr>
        <w:ind w:left="567"/>
        <w:rPr>
          <w:lang w:val="en-GB"/>
        </w:rPr>
      </w:pPr>
    </w:p>
    <w:p w:rsidR="00D55FDF" w:rsidRDefault="00D55FDF">
      <w:pPr>
        <w:ind w:left="567"/>
        <w:rPr>
          <w:lang w:val="en-GB"/>
        </w:rPr>
      </w:pPr>
    </w:p>
    <w:p w:rsidR="00D55FDF" w:rsidRDefault="00D55FDF">
      <w:pPr>
        <w:ind w:left="567"/>
        <w:rPr>
          <w:lang w:val="en-GB"/>
        </w:rPr>
      </w:pPr>
    </w:p>
    <w:p w:rsidR="00D55FDF" w:rsidRDefault="00D55FDF">
      <w:pPr>
        <w:ind w:left="567"/>
        <w:rPr>
          <w:lang w:val="en-GB"/>
        </w:rPr>
      </w:pPr>
    </w:p>
    <w:p w:rsidR="00D55FDF" w:rsidRDefault="00D55FDF">
      <w:pPr>
        <w:ind w:left="567"/>
        <w:rPr>
          <w:b/>
          <w:sz w:val="24"/>
          <w:lang w:val="en-GB"/>
        </w:rPr>
      </w:pPr>
    </w:p>
    <w:p w:rsidR="00D55FDF" w:rsidRDefault="00D55FDF">
      <w:pPr>
        <w:ind w:left="567"/>
        <w:rPr>
          <w:b/>
          <w:sz w:val="24"/>
          <w:lang w:val="en-GB"/>
        </w:rPr>
      </w:pPr>
    </w:p>
    <w:p w:rsidR="00D55FDF" w:rsidRDefault="00D55FDF">
      <w:pPr>
        <w:ind w:left="567"/>
        <w:rPr>
          <w:b/>
          <w:sz w:val="24"/>
          <w:lang w:val="en-GB"/>
        </w:rPr>
      </w:pPr>
    </w:p>
    <w:p w:rsidR="00D55FDF" w:rsidRDefault="00D55FDF">
      <w:pPr>
        <w:ind w:left="567"/>
        <w:rPr>
          <w:b/>
          <w:sz w:val="24"/>
          <w:lang w:val="en-GB"/>
        </w:rPr>
      </w:pPr>
      <w:r>
        <w:rPr>
          <w:b/>
          <w:sz w:val="40"/>
          <w:lang w:val="en-GB"/>
        </w:rPr>
        <w:t>ITU-T</w:t>
      </w:r>
    </w:p>
    <w:p w:rsidR="00D55FDF" w:rsidRDefault="00D55FDF">
      <w:pPr>
        <w:ind w:left="567"/>
        <w:rPr>
          <w:b/>
          <w:sz w:val="28"/>
          <w:lang w:val="en-GB"/>
        </w:rPr>
      </w:pPr>
      <w:r>
        <w:rPr>
          <w:b/>
          <w:sz w:val="28"/>
          <w:lang w:val="en-GB"/>
        </w:rPr>
        <w:t>TELECOMMUNICATION</w:t>
      </w:r>
    </w:p>
    <w:p w:rsidR="00D55FDF" w:rsidRDefault="00D55FDF">
      <w:pPr>
        <w:ind w:left="567"/>
        <w:rPr>
          <w:b/>
          <w:sz w:val="28"/>
          <w:lang w:val="en-GB"/>
        </w:rPr>
      </w:pPr>
      <w:r>
        <w:rPr>
          <w:b/>
          <w:sz w:val="28"/>
          <w:lang w:val="en-GB"/>
        </w:rPr>
        <w:t>STANDARDIZATION SECTOR</w:t>
      </w:r>
    </w:p>
    <w:p w:rsidR="00D55FDF" w:rsidRDefault="00D55FDF">
      <w:pPr>
        <w:ind w:left="567"/>
        <w:rPr>
          <w:b/>
          <w:sz w:val="24"/>
          <w:lang w:val="en-GB"/>
        </w:rPr>
      </w:pPr>
      <w:r>
        <w:rPr>
          <w:b/>
          <w:sz w:val="28"/>
          <w:lang w:val="en-GB"/>
        </w:rPr>
        <w:t>OF ITU</w:t>
      </w:r>
    </w:p>
    <w:p w:rsidR="00D55FDF" w:rsidRDefault="00D55FDF">
      <w:pPr>
        <w:ind w:left="567"/>
        <w:rPr>
          <w:b/>
          <w:sz w:val="24"/>
          <w:lang w:val="en-GB"/>
        </w:rPr>
      </w:pPr>
    </w:p>
    <w:p w:rsidR="00D55FDF" w:rsidRDefault="00D55FDF">
      <w:pPr>
        <w:ind w:left="567"/>
        <w:rPr>
          <w:b/>
          <w:sz w:val="24"/>
          <w:lang w:val="en-GB"/>
        </w:rPr>
      </w:pPr>
    </w:p>
    <w:p w:rsidR="00D55FDF" w:rsidRDefault="00D55FDF">
      <w:pPr>
        <w:ind w:left="567"/>
        <w:rPr>
          <w:b/>
          <w:sz w:val="24"/>
          <w:lang w:val="en-GB"/>
        </w:rPr>
      </w:pPr>
    </w:p>
    <w:p w:rsidR="00D55FDF" w:rsidRDefault="00D55FDF" w:rsidP="00DE7A9A">
      <w:pPr>
        <w:ind w:left="567"/>
        <w:rPr>
          <w:b/>
          <w:sz w:val="24"/>
          <w:lang w:val="fr-FR"/>
        </w:rPr>
      </w:pPr>
      <w:r>
        <w:rPr>
          <w:b/>
          <w:sz w:val="24"/>
          <w:lang w:val="fr-FR"/>
        </w:rPr>
        <w:t xml:space="preserve">COMPLEMENT TO RECOMMENDATION </w:t>
      </w:r>
      <w:r w:rsidR="00F64210">
        <w:rPr>
          <w:b/>
          <w:sz w:val="24"/>
          <w:lang w:val="fr-FR"/>
        </w:rPr>
        <w:t>ITU-</w:t>
      </w:r>
      <w:r w:rsidR="00DE7A9A">
        <w:rPr>
          <w:b/>
          <w:sz w:val="24"/>
          <w:lang w:val="fr-FR"/>
        </w:rPr>
        <w:t xml:space="preserve">T </w:t>
      </w:r>
      <w:r>
        <w:rPr>
          <w:b/>
          <w:sz w:val="24"/>
          <w:lang w:val="fr-FR"/>
        </w:rPr>
        <w:t>Q.708 (03/99)</w:t>
      </w:r>
    </w:p>
    <w:p w:rsidR="00D55FDF" w:rsidRDefault="00D55FDF">
      <w:pPr>
        <w:ind w:left="567"/>
        <w:rPr>
          <w:b/>
          <w:sz w:val="24"/>
          <w:lang w:val="fr-FR"/>
        </w:rPr>
      </w:pPr>
    </w:p>
    <w:p w:rsidR="00D55FDF" w:rsidRDefault="00D55FDF">
      <w:pPr>
        <w:ind w:left="567"/>
        <w:rPr>
          <w:b/>
          <w:sz w:val="24"/>
          <w:lang w:val="en-GB"/>
        </w:rPr>
      </w:pPr>
      <w:r>
        <w:rPr>
          <w:b/>
          <w:sz w:val="24"/>
          <w:lang w:val="en-GB"/>
        </w:rPr>
        <w:t>___________________________________________________________________</w:t>
      </w:r>
    </w:p>
    <w:p w:rsidR="00D55FDF" w:rsidRDefault="00D55FDF">
      <w:pPr>
        <w:ind w:left="567"/>
        <w:rPr>
          <w:b/>
          <w:sz w:val="24"/>
          <w:lang w:val="en-GB"/>
        </w:rPr>
      </w:pPr>
    </w:p>
    <w:p w:rsidR="00D55FDF" w:rsidRDefault="00D55FDF">
      <w:pPr>
        <w:ind w:left="567"/>
        <w:rPr>
          <w:b/>
          <w:sz w:val="24"/>
          <w:lang w:val="en-GB"/>
        </w:rPr>
      </w:pPr>
    </w:p>
    <w:p w:rsidR="00D55FDF" w:rsidRDefault="00D55FDF">
      <w:pPr>
        <w:ind w:left="567"/>
        <w:rPr>
          <w:b/>
          <w:sz w:val="24"/>
          <w:lang w:val="en-GB"/>
        </w:rPr>
      </w:pPr>
    </w:p>
    <w:p w:rsidR="00D55FDF" w:rsidRDefault="00D55FDF">
      <w:pPr>
        <w:ind w:left="567"/>
        <w:rPr>
          <w:b/>
          <w:sz w:val="24"/>
          <w:lang w:val="en-GB"/>
        </w:rPr>
      </w:pPr>
    </w:p>
    <w:p w:rsidR="00D55FDF" w:rsidRDefault="00D55FDF">
      <w:pPr>
        <w:ind w:left="567"/>
        <w:rPr>
          <w:b/>
          <w:sz w:val="24"/>
          <w:lang w:val="en-GB"/>
        </w:rPr>
      </w:pPr>
    </w:p>
    <w:p w:rsidR="00D55FDF" w:rsidRDefault="00D55FDF">
      <w:pPr>
        <w:ind w:left="567"/>
        <w:rPr>
          <w:b/>
          <w:sz w:val="40"/>
          <w:lang w:val="en-GB"/>
        </w:rPr>
      </w:pPr>
      <w:r>
        <w:rPr>
          <w:b/>
          <w:sz w:val="40"/>
          <w:lang w:val="en-GB"/>
        </w:rPr>
        <w:t>LIST OF SIGNALLING AREA/NETWORK</w:t>
      </w:r>
    </w:p>
    <w:p w:rsidR="00D55FDF" w:rsidRDefault="00D55FDF">
      <w:pPr>
        <w:ind w:left="567"/>
        <w:rPr>
          <w:b/>
          <w:sz w:val="40"/>
          <w:lang w:val="fr-FR"/>
        </w:rPr>
      </w:pPr>
      <w:r>
        <w:rPr>
          <w:b/>
          <w:sz w:val="40"/>
          <w:lang w:val="fr-FR"/>
        </w:rPr>
        <w:t>CODES (SANC)</w:t>
      </w:r>
    </w:p>
    <w:p w:rsidR="00D55FDF" w:rsidRDefault="00D55FDF">
      <w:pPr>
        <w:ind w:left="567"/>
        <w:rPr>
          <w:b/>
          <w:sz w:val="28"/>
          <w:lang w:val="fr-FR"/>
        </w:rPr>
      </w:pPr>
    </w:p>
    <w:p w:rsidR="00D55FDF" w:rsidRPr="006079E4" w:rsidRDefault="00A6649B" w:rsidP="00BB3D4E">
      <w:pPr>
        <w:ind w:left="567"/>
        <w:rPr>
          <w:b/>
          <w:color w:val="000000"/>
          <w:sz w:val="28"/>
          <w:lang w:val="en-GB"/>
        </w:rPr>
      </w:pPr>
      <w:r w:rsidRPr="006079E4">
        <w:rPr>
          <w:color w:val="000000"/>
          <w:sz w:val="28"/>
          <w:lang w:val="en-GB"/>
        </w:rPr>
        <w:t>(</w:t>
      </w:r>
      <w:r w:rsidR="00191FFC" w:rsidRPr="006079E4">
        <w:rPr>
          <w:color w:val="000000"/>
          <w:sz w:val="28"/>
          <w:lang w:val="en-GB"/>
        </w:rPr>
        <w:t xml:space="preserve">POSITION </w:t>
      </w:r>
      <w:r w:rsidR="00A15D2E" w:rsidRPr="006079E4">
        <w:rPr>
          <w:color w:val="000000"/>
          <w:sz w:val="28"/>
          <w:lang w:val="en-GB"/>
        </w:rPr>
        <w:t xml:space="preserve">ON </w:t>
      </w:r>
      <w:r w:rsidR="00BB3D4E">
        <w:rPr>
          <w:color w:val="000000"/>
          <w:sz w:val="28"/>
          <w:lang w:val="en-GB"/>
        </w:rPr>
        <w:t>1</w:t>
      </w:r>
      <w:r w:rsidR="008B37CA" w:rsidRPr="0002418B">
        <w:rPr>
          <w:color w:val="000000"/>
          <w:sz w:val="28"/>
          <w:lang w:val="en-GB"/>
        </w:rPr>
        <w:t xml:space="preserve"> </w:t>
      </w:r>
      <w:r w:rsidR="00BB3D4E">
        <w:rPr>
          <w:color w:val="000000"/>
          <w:sz w:val="28"/>
          <w:lang w:val="en-GB"/>
        </w:rPr>
        <w:t>JUNE</w:t>
      </w:r>
      <w:r w:rsidR="00BB3D4E" w:rsidRPr="0002418B">
        <w:rPr>
          <w:color w:val="000000"/>
          <w:sz w:val="28"/>
          <w:lang w:val="en-GB"/>
        </w:rPr>
        <w:t xml:space="preserve"> </w:t>
      </w:r>
      <w:r w:rsidR="00D47FB4" w:rsidRPr="0002418B">
        <w:rPr>
          <w:color w:val="000000"/>
          <w:sz w:val="28"/>
          <w:lang w:val="en-GB"/>
        </w:rPr>
        <w:t>201</w:t>
      </w:r>
      <w:r w:rsidR="00F86976" w:rsidRPr="0002418B">
        <w:rPr>
          <w:color w:val="000000"/>
          <w:sz w:val="28"/>
          <w:lang w:val="en-GB"/>
        </w:rPr>
        <w:t>7</w:t>
      </w:r>
      <w:r w:rsidR="00D55FDF" w:rsidRPr="006079E4">
        <w:rPr>
          <w:color w:val="000000"/>
          <w:sz w:val="28"/>
          <w:lang w:val="en-GB"/>
        </w:rPr>
        <w:t>)</w:t>
      </w:r>
    </w:p>
    <w:p w:rsidR="00D55FDF" w:rsidRDefault="00D55FDF">
      <w:pPr>
        <w:ind w:left="567"/>
        <w:rPr>
          <w:b/>
          <w:sz w:val="24"/>
          <w:lang w:val="en-GB"/>
        </w:rPr>
      </w:pPr>
    </w:p>
    <w:p w:rsidR="00D55FDF" w:rsidRDefault="00D55FDF">
      <w:pPr>
        <w:ind w:left="567"/>
        <w:rPr>
          <w:b/>
          <w:sz w:val="24"/>
          <w:lang w:val="en-GB"/>
        </w:rPr>
      </w:pPr>
    </w:p>
    <w:p w:rsidR="00D55FDF" w:rsidRDefault="00D55FDF">
      <w:pPr>
        <w:ind w:left="567"/>
        <w:rPr>
          <w:b/>
          <w:sz w:val="24"/>
          <w:lang w:val="en-GB"/>
        </w:rPr>
      </w:pPr>
    </w:p>
    <w:p w:rsidR="00D55FDF" w:rsidRDefault="00D55FDF">
      <w:pPr>
        <w:ind w:left="567"/>
        <w:rPr>
          <w:b/>
          <w:sz w:val="24"/>
          <w:lang w:val="en-GB"/>
        </w:rPr>
      </w:pPr>
    </w:p>
    <w:p w:rsidR="00D55FDF" w:rsidRDefault="00D55FDF">
      <w:pPr>
        <w:ind w:left="567"/>
        <w:rPr>
          <w:b/>
          <w:sz w:val="24"/>
          <w:lang w:val="en-GB"/>
        </w:rPr>
      </w:pPr>
    </w:p>
    <w:p w:rsidR="00D55FDF" w:rsidRDefault="00D55FDF">
      <w:pPr>
        <w:ind w:left="567" w:right="-1333"/>
        <w:rPr>
          <w:b/>
          <w:sz w:val="24"/>
          <w:lang w:val="en-GB"/>
        </w:rPr>
      </w:pPr>
      <w:r>
        <w:rPr>
          <w:b/>
          <w:sz w:val="24"/>
          <w:lang w:val="en-GB"/>
        </w:rPr>
        <w:t>___________________________________________________________________</w:t>
      </w:r>
    </w:p>
    <w:p w:rsidR="00D55FDF" w:rsidRDefault="00D55FDF">
      <w:pPr>
        <w:ind w:left="567"/>
        <w:rPr>
          <w:lang w:val="en-GB"/>
        </w:rPr>
      </w:pPr>
    </w:p>
    <w:p w:rsidR="00D55FDF" w:rsidRDefault="00D55FDF">
      <w:pPr>
        <w:ind w:left="567"/>
        <w:rPr>
          <w:lang w:val="en-GB"/>
        </w:rPr>
      </w:pPr>
    </w:p>
    <w:p w:rsidR="00D55FDF" w:rsidRDefault="00D55FDF">
      <w:pPr>
        <w:ind w:left="567"/>
        <w:rPr>
          <w:lang w:val="en-GB"/>
        </w:rPr>
      </w:pPr>
    </w:p>
    <w:p w:rsidR="00D55FDF" w:rsidRDefault="00D55FDF">
      <w:pPr>
        <w:ind w:left="567"/>
        <w:rPr>
          <w:lang w:val="en-GB"/>
        </w:rPr>
      </w:pPr>
    </w:p>
    <w:p w:rsidR="00D55FDF" w:rsidRDefault="00D55FDF">
      <w:pPr>
        <w:ind w:left="567"/>
        <w:rPr>
          <w:lang w:val="en-GB"/>
        </w:rPr>
      </w:pPr>
    </w:p>
    <w:p w:rsidR="00D55FDF" w:rsidRDefault="00D55FDF">
      <w:pPr>
        <w:rPr>
          <w:lang w:val="en-GB"/>
        </w:rPr>
      </w:pPr>
    </w:p>
    <w:p w:rsidR="00D55FDF" w:rsidRDefault="00D55FDF" w:rsidP="00FA2E48">
      <w:pPr>
        <w:rPr>
          <w:b/>
          <w:lang w:val="en-GB"/>
        </w:rPr>
      </w:pPr>
      <w:r>
        <w:rPr>
          <w:b/>
          <w:sz w:val="24"/>
          <w:lang w:val="en-GB"/>
        </w:rPr>
        <w:t xml:space="preserve">Geneva, </w:t>
      </w:r>
      <w:r w:rsidRPr="0002418B">
        <w:rPr>
          <w:b/>
          <w:sz w:val="24"/>
          <w:lang w:val="en-GB"/>
        </w:rPr>
        <w:t>20</w:t>
      </w:r>
      <w:r w:rsidR="00A6334E" w:rsidRPr="0002418B">
        <w:rPr>
          <w:b/>
          <w:sz w:val="24"/>
          <w:lang w:val="en-GB"/>
        </w:rPr>
        <w:t>1</w:t>
      </w:r>
      <w:r w:rsidR="00F86976" w:rsidRPr="0002418B">
        <w:rPr>
          <w:b/>
          <w:sz w:val="24"/>
          <w:lang w:val="en-GB"/>
        </w:rPr>
        <w:t>7</w:t>
      </w:r>
    </w:p>
    <w:p w:rsidR="00D55FDF" w:rsidRDefault="00D55FDF">
      <w:pPr>
        <w:jc w:val="center"/>
        <w:rPr>
          <w:rFonts w:ascii="Helvetica" w:hAnsi="Helvetica"/>
          <w:b/>
          <w:sz w:val="32"/>
          <w:lang w:val="en-GB"/>
        </w:rPr>
      </w:pPr>
      <w:r>
        <w:rPr>
          <w:b/>
          <w:lang w:val="en-GB"/>
        </w:rPr>
        <w:br w:type="page"/>
      </w:r>
      <w:r>
        <w:rPr>
          <w:rFonts w:ascii="Helvetica" w:hAnsi="Helvetica"/>
          <w:b/>
          <w:sz w:val="32"/>
          <w:lang w:val="en-GB"/>
        </w:rPr>
        <w:lastRenderedPageBreak/>
        <w:t>List of Signalling Area/Network Codes (SANC)</w:t>
      </w:r>
    </w:p>
    <w:p w:rsidR="00D55FDF" w:rsidRDefault="00D55FDF">
      <w:pPr>
        <w:jc w:val="center"/>
        <w:rPr>
          <w:rFonts w:ascii="Helvetica" w:hAnsi="Helvetica"/>
          <w:b/>
          <w:sz w:val="32"/>
          <w:lang w:val="en-GB"/>
        </w:rPr>
      </w:pPr>
    </w:p>
    <w:p w:rsidR="00D55FDF" w:rsidRDefault="00D55FDF">
      <w:pPr>
        <w:jc w:val="center"/>
        <w:rPr>
          <w:rFonts w:ascii="Helvetica" w:hAnsi="Helvetica"/>
          <w:b/>
          <w:sz w:val="32"/>
          <w:lang w:val="en-GB"/>
        </w:rPr>
      </w:pPr>
    </w:p>
    <w:p w:rsidR="00D55FDF" w:rsidRDefault="00A40357">
      <w:pPr>
        <w:rPr>
          <w:rFonts w:ascii="Helvetica" w:hAnsi="Helvetica"/>
          <w:b/>
          <w:i/>
          <w:sz w:val="32"/>
          <w:lang w:val="en-GB"/>
        </w:rPr>
      </w:pPr>
      <w:r>
        <w:rPr>
          <w:rFonts w:ascii="Helvetica" w:hAnsi="Helvetica"/>
          <w:b/>
          <w:i/>
          <w:sz w:val="32"/>
          <w:lang w:val="en-GB"/>
        </w:rPr>
        <w:t>Note by</w:t>
      </w:r>
      <w:r w:rsidR="00D55FDF">
        <w:rPr>
          <w:rFonts w:ascii="Helvetica" w:hAnsi="Helvetica"/>
          <w:b/>
          <w:i/>
          <w:sz w:val="32"/>
          <w:lang w:val="en-GB"/>
        </w:rPr>
        <w:t xml:space="preserve"> TSB</w:t>
      </w:r>
    </w:p>
    <w:p w:rsidR="00D55FDF" w:rsidRDefault="00D55FDF">
      <w:pPr>
        <w:rPr>
          <w:rFonts w:ascii="Helvetica" w:hAnsi="Helvetica"/>
          <w:b/>
          <w:i/>
          <w:sz w:val="32"/>
          <w:lang w:val="en-GB"/>
        </w:rPr>
      </w:pPr>
    </w:p>
    <w:p w:rsidR="00D55FDF" w:rsidRDefault="00D55FDF">
      <w:pPr>
        <w:rPr>
          <w:rFonts w:ascii="Helvetica" w:hAnsi="Helvetica"/>
          <w:b/>
          <w:i/>
          <w:sz w:val="32"/>
          <w:lang w:val="en-GB"/>
        </w:rPr>
      </w:pPr>
    </w:p>
    <w:p w:rsidR="00D55FDF" w:rsidRDefault="00D55FDF" w:rsidP="00BA636F">
      <w:pPr>
        <w:jc w:val="both"/>
        <w:rPr>
          <w:rFonts w:ascii="Helvetica" w:hAnsi="Helvetica"/>
          <w:lang w:val="en-GB"/>
        </w:rPr>
      </w:pPr>
      <w:r>
        <w:rPr>
          <w:rFonts w:ascii="Helvetica" w:hAnsi="Helvetica"/>
          <w:lang w:val="en-GB"/>
        </w:rPr>
        <w:t>1.</w:t>
      </w:r>
      <w:r>
        <w:rPr>
          <w:rFonts w:ascii="Helvetica" w:hAnsi="Helvetica"/>
          <w:lang w:val="en-GB"/>
        </w:rPr>
        <w:tab/>
        <w:t xml:space="preserve">This List of Signalling Area/Network Codes (SANC) replaces the previous one published as Annex to the </w:t>
      </w:r>
      <w:r w:rsidR="00D47FB4">
        <w:rPr>
          <w:rFonts w:ascii="Helvetica" w:hAnsi="Helvetica"/>
          <w:lang w:val="en-GB"/>
        </w:rPr>
        <w:t xml:space="preserve">ITU Operational Bulletin No. </w:t>
      </w:r>
      <w:r w:rsidR="00BA636F" w:rsidRPr="0002418B">
        <w:rPr>
          <w:rFonts w:ascii="Helvetica" w:hAnsi="Helvetica"/>
          <w:lang w:val="en-GB"/>
        </w:rPr>
        <w:t>1066 of 15.XII.2014</w:t>
      </w:r>
      <w:r>
        <w:rPr>
          <w:rFonts w:ascii="Helvetica" w:hAnsi="Helvetica"/>
          <w:lang w:val="en-GB"/>
        </w:rPr>
        <w:t xml:space="preserve">. Since then, various new assignments have been made and they have been published separately in various issues of the ITU Operational Bulletin. The present List contains all the amendments that </w:t>
      </w:r>
      <w:proofErr w:type="gramStart"/>
      <w:r>
        <w:rPr>
          <w:rFonts w:ascii="Helvetica" w:hAnsi="Helvetica"/>
          <w:lang w:val="en-GB"/>
        </w:rPr>
        <w:t>have been published</w:t>
      </w:r>
      <w:proofErr w:type="gramEnd"/>
      <w:r>
        <w:rPr>
          <w:rFonts w:ascii="Helvetica" w:hAnsi="Helvetica"/>
          <w:lang w:val="en-GB"/>
        </w:rPr>
        <w:t xml:space="preserve"> up</w:t>
      </w:r>
      <w:r w:rsidR="00D47FB4">
        <w:rPr>
          <w:rFonts w:ascii="Helvetica" w:hAnsi="Helvetica"/>
          <w:lang w:val="en-GB"/>
        </w:rPr>
        <w:t xml:space="preserve"> to Operational Bulletin No. </w:t>
      </w:r>
      <w:r w:rsidR="00BB3D4E">
        <w:rPr>
          <w:rFonts w:ascii="Helvetica" w:hAnsi="Helvetica"/>
          <w:lang w:val="en-GB"/>
        </w:rPr>
        <w:t>1125 of 1</w:t>
      </w:r>
      <w:r w:rsidR="00D47FB4" w:rsidRPr="0002418B">
        <w:rPr>
          <w:rFonts w:ascii="Helvetica" w:hAnsi="Helvetica"/>
          <w:lang w:val="en-GB"/>
        </w:rPr>
        <w:t>.</w:t>
      </w:r>
      <w:r w:rsidR="00BB3D4E">
        <w:rPr>
          <w:rFonts w:ascii="Helvetica" w:hAnsi="Helvetica"/>
          <w:lang w:val="en-GB"/>
        </w:rPr>
        <w:t>VI</w:t>
      </w:r>
      <w:r w:rsidR="00BA636F" w:rsidRPr="0002418B">
        <w:rPr>
          <w:rFonts w:ascii="Helvetica" w:hAnsi="Helvetica"/>
          <w:lang w:val="en-GB"/>
        </w:rPr>
        <w:t>.2017</w:t>
      </w:r>
      <w:r>
        <w:rPr>
          <w:rFonts w:ascii="Helvetica" w:hAnsi="Helvetica"/>
          <w:lang w:val="en-GB"/>
        </w:rPr>
        <w:t>.</w:t>
      </w:r>
    </w:p>
    <w:p w:rsidR="00D55FDF" w:rsidRDefault="00D55FDF">
      <w:pPr>
        <w:jc w:val="both"/>
        <w:rPr>
          <w:rFonts w:ascii="Helvetica" w:hAnsi="Helvetica"/>
          <w:lang w:val="en-GB"/>
        </w:rPr>
      </w:pPr>
    </w:p>
    <w:p w:rsidR="00D55FDF" w:rsidRDefault="007F6394">
      <w:pPr>
        <w:jc w:val="both"/>
        <w:rPr>
          <w:rFonts w:ascii="Helvetica" w:hAnsi="Helvetica"/>
          <w:lang w:val="en-GB"/>
        </w:rPr>
      </w:pPr>
      <w:r>
        <w:rPr>
          <w:rFonts w:ascii="Helvetica" w:hAnsi="Helvetica"/>
          <w:lang w:val="en-GB"/>
        </w:rPr>
        <w:t>2.</w:t>
      </w:r>
      <w:r>
        <w:rPr>
          <w:rFonts w:ascii="Helvetica" w:hAnsi="Helvetica"/>
          <w:lang w:val="en-GB"/>
        </w:rPr>
        <w:tab/>
      </w:r>
      <w:r w:rsidR="00D55FDF">
        <w:rPr>
          <w:rFonts w:ascii="Helvetica" w:hAnsi="Helvetica"/>
          <w:lang w:val="en-GB"/>
        </w:rPr>
        <w:t>The present List includes:</w:t>
      </w:r>
    </w:p>
    <w:p w:rsidR="001F3CD9" w:rsidRPr="001F3CD9" w:rsidRDefault="00D55FDF" w:rsidP="001F3CD9">
      <w:pPr>
        <w:pStyle w:val="ListParagraph"/>
        <w:numPr>
          <w:ilvl w:val="0"/>
          <w:numId w:val="3"/>
        </w:numPr>
        <w:jc w:val="both"/>
        <w:rPr>
          <w:rFonts w:ascii="Helvetica" w:hAnsi="Helvetica"/>
          <w:lang w:val="en-GB"/>
        </w:rPr>
      </w:pPr>
      <w:r w:rsidRPr="001F3CD9">
        <w:rPr>
          <w:rFonts w:ascii="Helvetica" w:hAnsi="Helvetica"/>
          <w:lang w:val="en-GB"/>
        </w:rPr>
        <w:t>a list of SANC codes in numerical order</w:t>
      </w:r>
    </w:p>
    <w:p w:rsidR="00D55FDF" w:rsidRPr="001F3CD9" w:rsidRDefault="00D55FDF" w:rsidP="001F3CD9">
      <w:pPr>
        <w:pStyle w:val="ListParagraph"/>
        <w:numPr>
          <w:ilvl w:val="0"/>
          <w:numId w:val="3"/>
        </w:numPr>
        <w:jc w:val="both"/>
        <w:rPr>
          <w:rFonts w:ascii="Helvetica" w:hAnsi="Helvetica"/>
          <w:lang w:val="en-GB"/>
        </w:rPr>
      </w:pPr>
      <w:r w:rsidRPr="001F3CD9">
        <w:rPr>
          <w:rFonts w:ascii="Helvetica" w:hAnsi="Helvetica"/>
          <w:lang w:val="en-GB"/>
        </w:rPr>
        <w:t>a list of SANC codes in alphabetical order of names of countries/geographical areas.</w:t>
      </w:r>
    </w:p>
    <w:p w:rsidR="00D55FDF" w:rsidRDefault="00D55FDF">
      <w:pPr>
        <w:jc w:val="both"/>
        <w:rPr>
          <w:rFonts w:ascii="Helvetica" w:hAnsi="Helvetica"/>
          <w:lang w:val="en-GB"/>
        </w:rPr>
      </w:pPr>
    </w:p>
    <w:p w:rsidR="00D55FDF" w:rsidRDefault="00D55FDF" w:rsidP="00DE7A9A">
      <w:pPr>
        <w:jc w:val="both"/>
        <w:rPr>
          <w:rFonts w:ascii="Helvetica" w:hAnsi="Helvetica"/>
          <w:lang w:val="en-GB"/>
        </w:rPr>
      </w:pPr>
      <w:r>
        <w:rPr>
          <w:rFonts w:ascii="Helvetica" w:hAnsi="Helvetica"/>
          <w:lang w:val="en-GB"/>
        </w:rPr>
        <w:t>3.</w:t>
      </w:r>
      <w:r>
        <w:rPr>
          <w:rFonts w:ascii="Helvetica" w:hAnsi="Helvetica"/>
          <w:lang w:val="en-GB"/>
        </w:rPr>
        <w:tab/>
        <w:t xml:space="preserve">Recommendation </w:t>
      </w:r>
      <w:r w:rsidR="00DE7A9A">
        <w:rPr>
          <w:rFonts w:ascii="Helvetica" w:hAnsi="Helvetica"/>
          <w:lang w:val="en-GB"/>
        </w:rPr>
        <w:t xml:space="preserve">ITU-T </w:t>
      </w:r>
      <w:r>
        <w:rPr>
          <w:rFonts w:ascii="Helvetica" w:hAnsi="Helvetica"/>
          <w:lang w:val="en-GB"/>
        </w:rPr>
        <w:t>Q.708 (03/99) states that the assignment of signalling area/network codes (SANC) is to be administered by the TSB. The assignment/withdrawal of international signalling point codes (ISPC) will be made by each country who will then notify the TSB.</w:t>
      </w:r>
    </w:p>
    <w:p w:rsidR="00D55FDF" w:rsidRDefault="00D55FDF"/>
    <w:p w:rsidR="00D55FDF" w:rsidRDefault="00D55FDF">
      <w:r>
        <w:t>4.</w:t>
      </w:r>
      <w:r>
        <w:tab/>
        <w:t xml:space="preserve">A request for a SANC is to be made by the Administration in writing to the Director of the TSB. In order to request an additional SANC an Administration must provide the Director of the TSB notification of the current assignment of ISPCs by that Administration. </w:t>
      </w:r>
    </w:p>
    <w:p w:rsidR="00D55FDF" w:rsidRDefault="00D55FDF">
      <w:pPr>
        <w:rPr>
          <w:rFonts w:ascii="Helvetica" w:hAnsi="Helvetica"/>
          <w:lang w:val="en-GB"/>
        </w:rPr>
      </w:pPr>
    </w:p>
    <w:p w:rsidR="00D55FDF" w:rsidRDefault="00D55FDF">
      <w:pPr>
        <w:jc w:val="both"/>
        <w:rPr>
          <w:rFonts w:ascii="Helvetica" w:hAnsi="Helvetica"/>
          <w:lang w:val="en-GB"/>
        </w:rPr>
      </w:pPr>
      <w:r>
        <w:rPr>
          <w:rFonts w:ascii="Helvetica" w:hAnsi="Helvetica"/>
          <w:lang w:val="en-GB"/>
        </w:rPr>
        <w:t>5.</w:t>
      </w:r>
      <w:r>
        <w:rPr>
          <w:rFonts w:ascii="Helvetica" w:hAnsi="Helvetica"/>
          <w:lang w:val="en-GB"/>
        </w:rPr>
        <w:tab/>
        <w:t>For information, this List will be updated by numbered series of amendments published in the ITU Operational Bulletin. Furthermore, the information contained in this Annex is als</w:t>
      </w:r>
      <w:r w:rsidR="00A6649B">
        <w:rPr>
          <w:rFonts w:ascii="Helvetica" w:hAnsi="Helvetica"/>
          <w:lang w:val="en-GB"/>
        </w:rPr>
        <w:t>o available on the ITU website</w:t>
      </w:r>
      <w:r>
        <w:rPr>
          <w:rFonts w:ascii="Helvetica" w:hAnsi="Helvetica"/>
          <w:lang w:val="en-GB"/>
        </w:rPr>
        <w:t xml:space="preserve"> </w:t>
      </w:r>
      <w:hyperlink r:id="rId9" w:history="1">
        <w:r w:rsidR="00A6649B" w:rsidRPr="00BD495F">
          <w:rPr>
            <w:rStyle w:val="Hyperlink"/>
            <w:rFonts w:ascii="Helvetica" w:hAnsi="Helvetica"/>
            <w:lang w:val="en-GB"/>
          </w:rPr>
          <w:t>www.itu.int/ITU-T/bulletin/annex.html</w:t>
        </w:r>
      </w:hyperlink>
      <w:r w:rsidR="000F03EC">
        <w:rPr>
          <w:rFonts w:ascii="Helvetica" w:hAnsi="Helvetica"/>
          <w:lang w:val="en-GB"/>
        </w:rPr>
        <w:t xml:space="preserve"> </w:t>
      </w:r>
      <w:r>
        <w:rPr>
          <w:rFonts w:ascii="Helvetica" w:hAnsi="Helvetica"/>
          <w:lang w:val="en-GB"/>
        </w:rPr>
        <w:t>.</w:t>
      </w:r>
    </w:p>
    <w:p w:rsidR="00D55FDF" w:rsidRDefault="00D55FDF">
      <w:pPr>
        <w:jc w:val="both"/>
        <w:rPr>
          <w:rFonts w:ascii="Helvetica" w:hAnsi="Helvetica"/>
          <w:lang w:val="en-GB"/>
        </w:rPr>
      </w:pPr>
    </w:p>
    <w:p w:rsidR="00D55FDF" w:rsidRDefault="00D55FDF">
      <w:pPr>
        <w:jc w:val="both"/>
        <w:rPr>
          <w:rFonts w:ascii="Helvetica" w:hAnsi="Helvetica"/>
          <w:lang w:val="en-GB"/>
        </w:rPr>
      </w:pPr>
      <w:r>
        <w:rPr>
          <w:rFonts w:ascii="Helvetica" w:hAnsi="Helvetica"/>
          <w:lang w:val="en-GB"/>
        </w:rPr>
        <w:t>6.</w:t>
      </w:r>
      <w:r>
        <w:rPr>
          <w:rFonts w:ascii="Helvetica" w:hAnsi="Helvetica"/>
          <w:lang w:val="en-GB"/>
        </w:rPr>
        <w:tab/>
        <w:t>Countries who wish to take part in the international signalling network or require an additional signalling area/network code (SANC) should ask the Director of the TSB for the assignment of an available SANC code. In their request they may indicate the available SANC code preferred. Please address any comments to the Director of the TSB:</w:t>
      </w:r>
    </w:p>
    <w:p w:rsidR="00D55FDF" w:rsidRDefault="00D55FDF">
      <w:pPr>
        <w:jc w:val="both"/>
        <w:rPr>
          <w:rFonts w:ascii="Helvetica" w:hAnsi="Helvetica"/>
          <w:lang w:val="en-GB"/>
        </w:rPr>
      </w:pPr>
    </w:p>
    <w:p w:rsidR="00D55FDF" w:rsidRDefault="00D55FDF">
      <w:pPr>
        <w:jc w:val="both"/>
        <w:rPr>
          <w:rFonts w:ascii="Helvetica" w:hAnsi="Helvetica"/>
          <w:lang w:val="en-GB"/>
        </w:rPr>
      </w:pPr>
      <w:r>
        <w:rPr>
          <w:rFonts w:ascii="Helvetica" w:hAnsi="Helvetica"/>
          <w:lang w:val="en-GB"/>
        </w:rPr>
        <w:tab/>
      </w:r>
      <w:r>
        <w:rPr>
          <w:rFonts w:ascii="Helvetica" w:hAnsi="Helvetica"/>
          <w:lang w:val="en-GB"/>
        </w:rPr>
        <w:tab/>
        <w:t xml:space="preserve">International Telecommunication </w:t>
      </w:r>
      <w:smartTag w:uri="urn:schemas-microsoft-com:office:smarttags" w:element="place">
        <w:r>
          <w:rPr>
            <w:rFonts w:ascii="Helvetica" w:hAnsi="Helvetica"/>
            <w:lang w:val="en-GB"/>
          </w:rPr>
          <w:t>Union</w:t>
        </w:r>
      </w:smartTag>
    </w:p>
    <w:p w:rsidR="00D55FDF" w:rsidRDefault="00D55FDF">
      <w:pPr>
        <w:jc w:val="both"/>
        <w:rPr>
          <w:rFonts w:ascii="Helvetica" w:hAnsi="Helvetica"/>
          <w:lang w:val="en-GB"/>
        </w:rPr>
      </w:pPr>
      <w:r>
        <w:rPr>
          <w:rFonts w:ascii="Helvetica" w:hAnsi="Helvetica"/>
          <w:lang w:val="en-GB"/>
        </w:rPr>
        <w:tab/>
      </w:r>
      <w:r>
        <w:rPr>
          <w:rFonts w:ascii="Helvetica" w:hAnsi="Helvetica"/>
          <w:lang w:val="en-GB"/>
        </w:rPr>
        <w:tab/>
        <w:t>Director of the TSB</w:t>
      </w:r>
    </w:p>
    <w:p w:rsidR="00D55FDF" w:rsidRPr="001F3CD9" w:rsidRDefault="00D55FDF">
      <w:pPr>
        <w:jc w:val="both"/>
        <w:rPr>
          <w:rFonts w:ascii="Helvetica" w:hAnsi="Helvetica"/>
          <w:lang w:val="fr-CH"/>
        </w:rPr>
      </w:pPr>
      <w:r>
        <w:rPr>
          <w:rFonts w:ascii="Helvetica" w:hAnsi="Helvetica"/>
          <w:lang w:val="en-GB"/>
        </w:rPr>
        <w:tab/>
      </w:r>
      <w:r>
        <w:rPr>
          <w:rFonts w:ascii="Helvetica" w:hAnsi="Helvetica"/>
          <w:lang w:val="en-GB"/>
        </w:rPr>
        <w:tab/>
      </w:r>
      <w:r w:rsidRPr="001F3CD9">
        <w:rPr>
          <w:rFonts w:ascii="Helvetica" w:hAnsi="Helvetica"/>
          <w:lang w:val="fr-CH"/>
        </w:rPr>
        <w:t>Place des Nations</w:t>
      </w:r>
    </w:p>
    <w:p w:rsidR="00D55FDF" w:rsidRPr="001F3CD9" w:rsidRDefault="00D55FDF">
      <w:pPr>
        <w:jc w:val="both"/>
        <w:rPr>
          <w:rFonts w:ascii="Helvetica" w:hAnsi="Helvetica"/>
          <w:lang w:val="fr-CH"/>
        </w:rPr>
      </w:pPr>
      <w:r w:rsidRPr="001F3CD9">
        <w:rPr>
          <w:rFonts w:ascii="Helvetica" w:hAnsi="Helvetica"/>
          <w:lang w:val="fr-CH"/>
        </w:rPr>
        <w:tab/>
      </w:r>
      <w:r w:rsidRPr="001F3CD9">
        <w:rPr>
          <w:rFonts w:ascii="Helvetica" w:hAnsi="Helvetica"/>
          <w:lang w:val="fr-CH"/>
        </w:rPr>
        <w:tab/>
        <w:t>CH-1211 GENEVA 20</w:t>
      </w:r>
    </w:p>
    <w:p w:rsidR="00D55FDF" w:rsidRPr="001F3CD9" w:rsidRDefault="00D55FDF">
      <w:pPr>
        <w:jc w:val="both"/>
        <w:rPr>
          <w:rFonts w:ascii="Helvetica" w:hAnsi="Helvetica"/>
          <w:lang w:val="de-CH"/>
        </w:rPr>
      </w:pPr>
      <w:r w:rsidRPr="001F3CD9">
        <w:rPr>
          <w:rFonts w:ascii="Helvetica" w:hAnsi="Helvetica"/>
          <w:lang w:val="fr-CH"/>
        </w:rPr>
        <w:tab/>
      </w:r>
      <w:r w:rsidRPr="001F3CD9">
        <w:rPr>
          <w:rFonts w:ascii="Helvetica" w:hAnsi="Helvetica"/>
          <w:lang w:val="fr-CH"/>
        </w:rPr>
        <w:tab/>
      </w:r>
      <w:r w:rsidRPr="001F3CD9">
        <w:rPr>
          <w:rFonts w:ascii="Helvetica" w:hAnsi="Helvetica"/>
          <w:lang w:val="de-CH"/>
        </w:rPr>
        <w:t>Switzerland</w:t>
      </w:r>
    </w:p>
    <w:p w:rsidR="00D55FDF" w:rsidRPr="001F3CD9" w:rsidRDefault="00693107">
      <w:pPr>
        <w:jc w:val="both"/>
        <w:rPr>
          <w:rFonts w:ascii="Helvetica" w:hAnsi="Helvetica"/>
          <w:lang w:val="de-CH"/>
        </w:rPr>
      </w:pPr>
      <w:r w:rsidRPr="001F3CD9">
        <w:rPr>
          <w:rFonts w:ascii="Helvetica" w:hAnsi="Helvetica"/>
          <w:lang w:val="de-CH"/>
        </w:rPr>
        <w:tab/>
      </w:r>
      <w:r w:rsidRPr="001F3CD9">
        <w:rPr>
          <w:rFonts w:ascii="Helvetica" w:hAnsi="Helvetica"/>
          <w:lang w:val="de-CH"/>
        </w:rPr>
        <w:tab/>
        <w:t>Tel:</w:t>
      </w:r>
      <w:r w:rsidRPr="001F3CD9">
        <w:rPr>
          <w:rFonts w:ascii="Helvetica" w:hAnsi="Helvetica"/>
          <w:lang w:val="de-CH"/>
        </w:rPr>
        <w:tab/>
      </w:r>
      <w:r w:rsidRPr="001F3CD9">
        <w:rPr>
          <w:rFonts w:ascii="Helvetica" w:hAnsi="Helvetica"/>
          <w:lang w:val="de-CH"/>
        </w:rPr>
        <w:tab/>
        <w:t>+41 22 730 5887</w:t>
      </w:r>
    </w:p>
    <w:p w:rsidR="00D55FDF" w:rsidRPr="001F3CD9" w:rsidRDefault="00D55FDF">
      <w:pPr>
        <w:jc w:val="both"/>
        <w:rPr>
          <w:rFonts w:ascii="Helvetica" w:hAnsi="Helvetica"/>
          <w:lang w:val="de-CH"/>
        </w:rPr>
      </w:pPr>
      <w:r w:rsidRPr="001F3CD9">
        <w:rPr>
          <w:rFonts w:ascii="Helvetica" w:hAnsi="Helvetica"/>
          <w:lang w:val="de-CH"/>
        </w:rPr>
        <w:tab/>
      </w:r>
      <w:r w:rsidRPr="001F3CD9">
        <w:rPr>
          <w:rFonts w:ascii="Helvetica" w:hAnsi="Helvetica"/>
          <w:lang w:val="de-CH"/>
        </w:rPr>
        <w:tab/>
        <w:t>Fax:</w:t>
      </w:r>
      <w:r w:rsidRPr="001F3CD9">
        <w:rPr>
          <w:rFonts w:ascii="Helvetica" w:hAnsi="Helvetica"/>
          <w:lang w:val="de-CH"/>
        </w:rPr>
        <w:tab/>
      </w:r>
      <w:r w:rsidRPr="001F3CD9">
        <w:rPr>
          <w:rFonts w:ascii="Helvetica" w:hAnsi="Helvetica"/>
          <w:lang w:val="de-CH"/>
        </w:rPr>
        <w:tab/>
        <w:t>+41 22 730 5853</w:t>
      </w:r>
    </w:p>
    <w:p w:rsidR="00D55FDF" w:rsidRPr="001F3CD9" w:rsidRDefault="00D55FDF">
      <w:pPr>
        <w:rPr>
          <w:lang w:val="de-CH"/>
        </w:rPr>
      </w:pPr>
      <w:r w:rsidRPr="001F3CD9">
        <w:rPr>
          <w:lang w:val="de-CH"/>
        </w:rPr>
        <w:tab/>
      </w:r>
      <w:r w:rsidRPr="001F3CD9">
        <w:rPr>
          <w:lang w:val="de-CH"/>
        </w:rPr>
        <w:tab/>
        <w:t>E-mail:</w:t>
      </w:r>
      <w:r w:rsidRPr="001F3CD9">
        <w:rPr>
          <w:lang w:val="de-CH"/>
        </w:rPr>
        <w:tab/>
      </w:r>
      <w:hyperlink r:id="rId10" w:history="1">
        <w:r w:rsidRPr="001F3CD9">
          <w:rPr>
            <w:rStyle w:val="Hyperlink"/>
            <w:lang w:val="de-CH"/>
          </w:rPr>
          <w:t>tsbmail@itu.int</w:t>
        </w:r>
      </w:hyperlink>
    </w:p>
    <w:p w:rsidR="00D55FDF" w:rsidRPr="001F3CD9" w:rsidRDefault="00D55FDF">
      <w:pPr>
        <w:rPr>
          <w:lang w:val="de-CH"/>
        </w:rPr>
      </w:pPr>
    </w:p>
    <w:p w:rsidR="00D55FDF" w:rsidRDefault="00D55FDF">
      <w:pPr>
        <w:jc w:val="both"/>
        <w:rPr>
          <w:lang w:val="en-GB"/>
        </w:rPr>
      </w:pPr>
      <w:r>
        <w:rPr>
          <w:lang w:val="en-GB"/>
        </w:rPr>
        <w:t>7.</w:t>
      </w:r>
      <w:r>
        <w:rPr>
          <w:lang w:val="en-GB"/>
        </w:rPr>
        <w:tab/>
        <w:t>The designations employed and the presentation of material in this List do not imply the expression of any opinion whatsoever on the part of the ITU concerning the legal status of any country or geographical area, or of its authorities.</w:t>
      </w:r>
    </w:p>
    <w:p w:rsidR="00A87204" w:rsidRDefault="00A87204" w:rsidP="00A87204">
      <w:pPr>
        <w:overflowPunct/>
        <w:autoSpaceDE/>
        <w:autoSpaceDN/>
        <w:adjustRightInd/>
        <w:textAlignment w:val="auto"/>
        <w:rPr>
          <w:lang w:val="en-GB"/>
        </w:rPr>
      </w:pPr>
      <w:r>
        <w:rPr>
          <w:lang w:val="en-GB"/>
        </w:rPr>
        <w:br w:type="page"/>
      </w:r>
    </w:p>
    <w:p w:rsidR="001C7789" w:rsidRPr="001C7789" w:rsidRDefault="001C7789" w:rsidP="00B23BBD">
      <w:pPr>
        <w:pStyle w:val="Heading20"/>
        <w:keepNext w:val="0"/>
        <w:rPr>
          <w:lang w:val="en-US"/>
        </w:rPr>
      </w:pPr>
      <w:r w:rsidRPr="001C7789">
        <w:rPr>
          <w:lang w:val="en-US"/>
        </w:rPr>
        <w:lastRenderedPageBreak/>
        <w:t>List of Signalling Area/Network Codes (SANC)</w:t>
      </w:r>
      <w:r w:rsidR="00581AD8">
        <w:rPr>
          <w:lang w:val="en-US"/>
        </w:rPr>
        <w:t xml:space="preserve"> </w:t>
      </w:r>
      <w:r w:rsidRPr="001C7789">
        <w:rPr>
          <w:lang w:val="en-US"/>
        </w:rPr>
        <w:br/>
        <w:t>(Complement to Recommendation ITU-T Q.708 (03/99)</w:t>
      </w:r>
      <w:proofErr w:type="gramStart"/>
      <w:r w:rsidRPr="001C7789">
        <w:rPr>
          <w:lang w:val="en-US"/>
        </w:rPr>
        <w:t>)</w:t>
      </w:r>
      <w:proofErr w:type="gramEnd"/>
      <w:r w:rsidRPr="001C7789">
        <w:rPr>
          <w:lang w:val="en-US"/>
        </w:rPr>
        <w:br/>
        <w:t>(</w:t>
      </w:r>
      <w:r w:rsidR="00581AD8" w:rsidRPr="005C65E9">
        <w:rPr>
          <w:lang w:val="en-US"/>
        </w:rPr>
        <w:t xml:space="preserve">Position on </w:t>
      </w:r>
      <w:r w:rsidR="00B23BBD">
        <w:rPr>
          <w:lang w:val="en-US"/>
        </w:rPr>
        <w:t>1</w:t>
      </w:r>
      <w:r w:rsidR="00581AD8" w:rsidRPr="0002418B">
        <w:rPr>
          <w:lang w:val="en-US"/>
        </w:rPr>
        <w:t xml:space="preserve"> </w:t>
      </w:r>
      <w:r w:rsidR="00B23BBD">
        <w:rPr>
          <w:lang w:val="en-US"/>
        </w:rPr>
        <w:t>June</w:t>
      </w:r>
      <w:bookmarkStart w:id="0" w:name="_GoBack"/>
      <w:bookmarkEnd w:id="0"/>
      <w:r w:rsidR="00BA636F" w:rsidRPr="0002418B">
        <w:rPr>
          <w:lang w:val="en-US"/>
        </w:rPr>
        <w:t xml:space="preserve"> 2017</w:t>
      </w:r>
      <w:r w:rsidRPr="001C7789">
        <w:rPr>
          <w:lang w:val="en-US"/>
        </w:rPr>
        <w:t>)</w:t>
      </w:r>
    </w:p>
    <w:p w:rsidR="001C7789" w:rsidRPr="008149B6" w:rsidRDefault="001C7789" w:rsidP="00581AD8">
      <w:pPr>
        <w:pStyle w:val="Heading7"/>
        <w:keepNext/>
      </w:pPr>
      <w:r w:rsidRPr="00542D9D">
        <w:t>(</w:t>
      </w:r>
      <w:r w:rsidR="00581AD8" w:rsidRPr="00542D9D">
        <w:t xml:space="preserve">Annex to ITU </w:t>
      </w:r>
      <w:r w:rsidR="00BA636F">
        <w:t xml:space="preserve">Operational Bulletin No. </w:t>
      </w:r>
      <w:r w:rsidR="00B23BBD">
        <w:t>1125 - 1.VI</w:t>
      </w:r>
      <w:r w:rsidR="00BA636F" w:rsidRPr="0002418B">
        <w:t>.2017</w:t>
      </w:r>
      <w:r w:rsidRPr="00542D9D">
        <w:t>)</w:t>
      </w:r>
    </w:p>
    <w:p w:rsidR="00CE69F4" w:rsidRDefault="00CE69F4" w:rsidP="00CE69F4">
      <w:pPr>
        <w:rPr>
          <w:rFonts w:ascii="Calibri" w:hAnsi="Calibri"/>
          <w:sz w:val="20"/>
        </w:rPr>
      </w:pPr>
    </w:p>
    <w:tbl>
      <w:tblPr>
        <w:tblW w:w="9639" w:type="dxa"/>
        <w:tblLayout w:type="fixed"/>
        <w:tblLook w:val="01E0" w:firstRow="1" w:lastRow="1" w:firstColumn="1" w:lastColumn="1" w:noHBand="0" w:noVBand="0"/>
      </w:tblPr>
      <w:tblGrid>
        <w:gridCol w:w="909"/>
        <w:gridCol w:w="8730"/>
      </w:tblGrid>
      <w:tr w:rsidR="00DA0AC8" w:rsidRPr="00DA0AC8" w:rsidTr="000740F8">
        <w:trPr>
          <w:trHeight w:val="240"/>
          <w:tblHeader/>
        </w:trPr>
        <w:tc>
          <w:tcPr>
            <w:tcW w:w="909" w:type="dxa"/>
            <w:tcBorders>
              <w:bottom w:val="single" w:sz="4" w:space="0" w:color="auto"/>
            </w:tcBorders>
            <w:shd w:val="clear" w:color="auto" w:fill="auto"/>
          </w:tcPr>
          <w:p w:rsidR="00DA0AC8" w:rsidRPr="00DA0AC8" w:rsidRDefault="00DA0AC8" w:rsidP="00362406">
            <w:pPr>
              <w:keepNext/>
              <w:tabs>
                <w:tab w:val="left" w:pos="567"/>
                <w:tab w:val="right" w:pos="1021"/>
                <w:tab w:val="left" w:pos="1701"/>
                <w:tab w:val="left" w:pos="2268"/>
              </w:tabs>
              <w:spacing w:before="120" w:after="120"/>
              <w:jc w:val="both"/>
              <w:rPr>
                <w:rFonts w:ascii="Calibri" w:hAnsi="Calibri"/>
                <w:b/>
                <w:i/>
                <w:iCs/>
                <w:sz w:val="20"/>
                <w:lang w:val="en-GB"/>
              </w:rPr>
            </w:pPr>
            <w:r w:rsidRPr="00DA0AC8">
              <w:rPr>
                <w:rFonts w:ascii="Calibri" w:hAnsi="Calibri"/>
                <w:b/>
                <w:i/>
                <w:iCs/>
                <w:sz w:val="20"/>
                <w:lang w:val="en-GB"/>
              </w:rPr>
              <w:t>Code</w:t>
            </w:r>
          </w:p>
        </w:tc>
        <w:tc>
          <w:tcPr>
            <w:tcW w:w="8730" w:type="dxa"/>
            <w:tcBorders>
              <w:bottom w:val="single" w:sz="4" w:space="0" w:color="auto"/>
            </w:tcBorders>
            <w:shd w:val="clear" w:color="auto" w:fill="auto"/>
          </w:tcPr>
          <w:p w:rsidR="00DA0AC8" w:rsidRPr="00DA0AC8" w:rsidRDefault="00DA0AC8" w:rsidP="00362406">
            <w:pPr>
              <w:keepNext/>
              <w:tabs>
                <w:tab w:val="left" w:pos="567"/>
                <w:tab w:val="right" w:pos="1021"/>
                <w:tab w:val="left" w:pos="1701"/>
                <w:tab w:val="left" w:pos="2268"/>
              </w:tabs>
              <w:spacing w:before="120" w:after="120"/>
              <w:jc w:val="both"/>
              <w:rPr>
                <w:rFonts w:ascii="Calibri" w:hAnsi="Calibri"/>
                <w:b/>
                <w:i/>
                <w:iCs/>
                <w:sz w:val="20"/>
                <w:lang w:val="en-GB"/>
              </w:rPr>
            </w:pPr>
            <w:r w:rsidRPr="00DA0AC8">
              <w:rPr>
                <w:rFonts w:ascii="Calibri" w:hAnsi="Calibri"/>
                <w:b/>
                <w:i/>
                <w:iCs/>
                <w:sz w:val="20"/>
                <w:lang w:val="en-GB"/>
              </w:rPr>
              <w:t>Geographical Area or Signalling Network</w:t>
            </w:r>
            <w:r w:rsidR="000740F8" w:rsidRPr="000740F8">
              <w:rPr>
                <w:rFonts w:ascii="Calibri" w:hAnsi="Calibri"/>
                <w:b/>
                <w:i/>
                <w:iCs/>
                <w:sz w:val="20"/>
                <w:lang w:val="en-GB"/>
              </w:rPr>
              <w:t xml:space="preserve"> – numerical order</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2-000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Liechtenstein (Principality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2-001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2-002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2-003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Greece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Greece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2-006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2-007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2-008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2-009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2-011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2-012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Belgium</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2-013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Belgium</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2-014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Belgium</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2-015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Belgium</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2-018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2-019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2-022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2-023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Monaco (Principality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Hungary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Serbia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2-041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Romania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2-056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2-057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2-058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2-059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2-060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Czech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2-061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2-062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2-063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2-064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2-065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2-066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2-067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2-068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2-069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2-070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2-071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2-072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2-073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2-074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2-075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2-076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Denmark</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2-077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Denmark</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2-078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Denmark</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2-079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Denmark</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2-080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2-081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2-082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2-083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2-084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Norway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2-085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Norway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2-086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Norway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2-087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Norway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2-088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Finland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2-089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Finland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2-090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Finland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2-091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Finland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2-092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Estonia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2-093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2-094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2-095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2-096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Latvia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2-097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Belgium</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2-098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Belgium</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2-099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Belgium</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2-100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2-101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2-102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2-103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2-106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2-107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2-108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2-109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2-111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2-112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2-113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2-114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2-115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2-118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2-119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Russian Federation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Poland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2-122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2-123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Gibraltar</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Poland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2-135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Luxembourg</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Portugal</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Portugal</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Portugal</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Portugal</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Luxembourg</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Luxembourg</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Iceland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Albania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2-156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Malta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2-157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2-158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2-159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2-160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Cyprus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2-161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2-162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2-163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2-164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2-165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2-166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2-167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2-168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Bulgaria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2-169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2-170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2-171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Turkey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2-172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Turkey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2-173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Turkey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2-174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2-175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2-176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2-177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2-178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2-179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2-180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Croatia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2-181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2-182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Slovenia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2-183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2-184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San Marino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2-185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2-186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2-187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2-188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2-189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2-190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2-191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2-192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2-193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2-194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2-195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2-196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Andorra (Principality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2-197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Andorra (Principality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2-198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2-199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Estonia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2-200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Armenia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2-201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2-202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2-203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Belarus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2-206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Greece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2-207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2-208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Georgia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2-209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2-211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2-212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Hungary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2-213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Georgia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2-214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Ukraine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2-215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Denmark</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2-218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Bosnia and Herzegovina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2-219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Bosnia and Herzegovina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The Former Yugoslav Republic of Macedonia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2-222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2-223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Portugal</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Moldova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Romania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Czech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2-229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Czech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Czech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Czech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Slovak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Slovak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Slovak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Slovak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Lithuania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Finland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2-255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Finland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Canada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Canada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3-006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Canada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3-007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Canada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3-008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Canada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3-009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Canada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Canada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3-011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Canada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3-012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Canada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3-013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Canada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Saint Pierre and Miquelon (Collectivité territoriale de la République française)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Moldova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3-018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Greenland (Denmark)</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3-022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3-023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3-027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3-056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3-057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3-058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3-059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3-060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Puerto Rico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3-064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Virgin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3-068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3-069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3-070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3-071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3-072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3-073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3-074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3-075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3-076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Jamaica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3-077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Jamaica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3-078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Jamaica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3-079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Jamaica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3-084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Barbados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3-085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Barbados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3-086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Barbados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3-088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Antigua and Barbuda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3-089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Antigua and Barbuda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3-092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Cayman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3-093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Cayman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3-096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British Virgin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3-097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British Virgin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3-100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Bermuda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Grenada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3-108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Montserrat</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3-112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Saint Kitts and Nevis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Saint Lucia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Saint Vincent and the Grenadines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Curaçao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Curaçao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Curaçao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Bahamas (Commonwealth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Dominica (Commonwealth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Cuba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Cuba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Dominican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Dominican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Dominican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Haiti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Trinidad and Tobago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Trinidad and Tobago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Trinidad and Tobago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Turks and Caicos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Turks and Caicos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Turks and Caicos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3-156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Guadeloupe (French Department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3-160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Martinique (French Department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3-164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Aruba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3-165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Faroe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3-168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Anguilla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3-169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Anguilla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3-172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3-173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3-174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3-175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3-176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3-177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3-178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3-179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Faroe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3-180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3-181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3-182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3-183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3-184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3-185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3-186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3-187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3-188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3-189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3-190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3-191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3-192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3-193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3-194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3-195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3-196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3-197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3-198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3-199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3-200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3-201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3-202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3-203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States of America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Saint Helena, Ascension and Tristan da Cunha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3-215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Mexico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Latvia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Albania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Bulgaria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Albania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Latvia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Romania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Bosnia and Herzegovina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Cambodia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Montenegro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Estonia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Croatia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Georgia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3-247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Turkey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Cyprus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Portugal</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Romania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Poland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Poland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3-255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4-003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Israel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Israel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4-006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4-007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4-008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4-009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4-011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4-012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4-013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4-014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4-015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4-018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4-019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Pakistan (Islamic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Pakistan (Islamic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Pakistan (Islamic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4-022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Pakistan (Islamic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4-023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Pakistan (Islamic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Afghanistan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Afghanistan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Sri Lanka (Democratic Socialist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Sri Lanka (Democratic Socialist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Myanmar (Republic of the Union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Bangladesh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Lebanon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Jordan (Hashemite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Jordan (Hashemite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Jordan (Hashemite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Syrian Arab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Iraq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Kuwait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Saudi Arabia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Saudi Arabia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Saudi Arabia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Yemen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4-043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Saudi Arabia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Oman (Sultanate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Oman (Sultanate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Yemen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Arab Emirates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Arab Emirates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Israel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Israel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Bahrain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Bahrain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Qatar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Qatar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4-056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Mongolia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4-057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Nepal (Federal Democratic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4-058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Nepal (Federal Democratic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4-059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Nepal (Federal Democratic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4-060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Arab Emirates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4-061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Arab Emirates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4-062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Arab Emirates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4-064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Iran (Islamic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4-065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Iran (Islamic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4-070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Azerbaijan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4-071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Azerbaijan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4-072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Bhutan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4-074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Kazakhstan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4-075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Kazakhstan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4-076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Kazakhstan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4-077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Kazakhstan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4-078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Kyrgyz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4-079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Kyrgyz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4-080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Japan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4-081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Japan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4-082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Japan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4-083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Japan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4-084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Japan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4-085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Japan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4-086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Japan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4-087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Japan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4-088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Bahrain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4-089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Bahrain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4-090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Japan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4-100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4-101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4-102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4-103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Viet Nam (Socialist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Viet Nam (Socialist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4-106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4-107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4-108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4-109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Macao,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4-111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4-112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Cambodia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4-113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Cambodia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4-114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Lao People's Democratic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4-119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Macao,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China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China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4-122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China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4-123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China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China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China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China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China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China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China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China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Democratic People's Republic of Korea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Afghanistan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Afghanistan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Afghanistan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Bangladesh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Bangladesh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Bangladesh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Bangladesh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Bangladesh (People's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Maldives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Korea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4-157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Tajikistan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4-158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Tajikistan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4-159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Tajikistan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4-160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Turkmenistan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4-164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Uzbekistan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4-165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Uzbekistan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4-167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Kyrgyz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4-170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Taiwan,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4-171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Taiwan,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4-172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Taiwan,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4-173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Taiwan,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4-174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Taiwan,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4-175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Reserved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4-176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4-177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4-178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4-179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4-180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4-181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4-182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4-183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4-184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4-185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Hong Kong, China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4-190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Sri Lanka (Democratic Socialist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4-191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Sri Lanka (Democratic Socialist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4-195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Jordan (Hashemite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4-196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Jordan (Hashemite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4-200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Kuwait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Viet Nam (Socialist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4-206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Viet Nam (Socialist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4-211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Maldives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Nepal (Federal Democratic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Myanmar (Republic of the Union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Myanmar (Republic of the Union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Albania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Finland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Slovenia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Armenia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Greece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Lithuania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Latvia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Ukraine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Hungary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Greece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4-246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Serbia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Croatia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Poland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Slovak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Romania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4-255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5-001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Malaysia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5-002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Malaysia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5-003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Malaysia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Malaysia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Malaysia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5-006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Malaysia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5-007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Malaysia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5-008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Malaysia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5-009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Malaysia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5-011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5-012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5-013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5-014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5-015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5-018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5-019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Indonesia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Indonesia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5-022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Indonesia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5-023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Indonesia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Indonesia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Indonesia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Philippines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Philippines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Philippines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Philippines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Philippines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Philippines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Philippines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Philippines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Philippines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Thailand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Thailand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Thailand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5-042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Thailand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Thailand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Thailand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5-056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Brunei Darussalam</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5-057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Brunei Darussalam</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5-060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New Zealand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5-061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New Zealand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5-062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New Zealand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5-063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New Zealand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5-065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New Zealand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5-067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New Zealand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5-070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Guam</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5-072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Nauru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5-074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Papua New Guinea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5-075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Papua New Guinea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5-078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Tonga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5-080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Solomon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5-082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Vanuatu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5-084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Fiji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5-085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Fiji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5-086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Wallis and Futuna (Territoire français d'outre-mer)</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5-088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American Samoa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5-090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Niue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5-092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New Caledonia (Territoire français d'outre-mer)</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5-094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French Polynesia (Territoire français d'outre-mer)</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5-096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Cook Islands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5-098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Samoa (Independent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5-100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Kiribati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5-102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Tuvalu</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Marshall Islands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5-107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Micronesia (Federated States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Palau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5-113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Northern Mariana Islands (Commonwealth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5-115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5-118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5-119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5-122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Australia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Timor-Leste (Democratic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Timor-Leste (Democratic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Thailand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5-144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Singapore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5-215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Cyprus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Bulgaria (Republic of)</w:t>
            </w:r>
          </w:p>
        </w:tc>
      </w:tr>
      <w:tr w:rsidR="000F2AC9" w:rsidRPr="00DA0AC8" w:rsidTr="000740F8">
        <w:trPr>
          <w:trHeight w:val="240"/>
        </w:trPr>
        <w:tc>
          <w:tcPr>
            <w:tcW w:w="909" w:type="dxa"/>
            <w:shd w:val="clear" w:color="auto" w:fill="auto"/>
          </w:tcPr>
          <w:p w:rsidR="000F2AC9" w:rsidRPr="00DA0AC8" w:rsidRDefault="000F2AC9"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5-21</w:t>
            </w:r>
            <w:r>
              <w:rPr>
                <w:rFonts w:ascii="Calibri" w:hAnsi="Calibri"/>
                <w:bCs/>
                <w:sz w:val="18"/>
                <w:szCs w:val="22"/>
                <w:lang w:val="fr-FR"/>
              </w:rPr>
              <w:t>8</w:t>
            </w:r>
          </w:p>
        </w:tc>
        <w:tc>
          <w:tcPr>
            <w:tcW w:w="8730" w:type="dxa"/>
            <w:shd w:val="clear" w:color="auto" w:fill="auto"/>
          </w:tcPr>
          <w:p w:rsidR="000F2AC9" w:rsidRPr="00DA0AC8" w:rsidRDefault="000F2AC9" w:rsidP="00DA0AC8">
            <w:pPr>
              <w:tabs>
                <w:tab w:val="right" w:pos="454"/>
              </w:tabs>
              <w:spacing w:before="40" w:after="40"/>
              <w:rPr>
                <w:rFonts w:ascii="Calibri" w:hAnsi="Calibri"/>
                <w:bCs/>
                <w:sz w:val="18"/>
                <w:szCs w:val="22"/>
                <w:lang w:val="fr-FR"/>
              </w:rPr>
            </w:pPr>
            <w:r w:rsidRPr="000F2AC9">
              <w:rPr>
                <w:rFonts w:ascii="Calibri" w:hAnsi="Calibri"/>
                <w:bCs/>
                <w:sz w:val="18"/>
                <w:szCs w:val="22"/>
                <w:lang w:val="fr-FR"/>
              </w:rPr>
              <w:t>Hungary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The Former Yugoslav Republic of Macedonia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The Former Yugoslav Republic of Macedonia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Poland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Estonia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The Former Yugoslav Republic of Macedonia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Croatia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Georgia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Armenia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Malta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Greece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Cyprus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Montenegro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Turkey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Romania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Slovenia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Latvia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Slovenia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Latvia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5-253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Poland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Greece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5-255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6-003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Egypt (Arab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Egypt (Arab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Egypt (Arab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6-006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Algeria (People's Democratic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6-007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Algeria (People's Democratic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6-008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Morocco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6-009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Morocco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Tunisia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6-011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Libya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6-012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Libya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6-013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Libya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6-014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Gambia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6-015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Gambia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Senegal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Senegal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6-018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Mauritania (Islamic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6-019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Mauritania (Islamic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Mali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Guinea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6-022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Guinea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6-023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Guinea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Côte d'Ivoire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Côte d'Ivoire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Burkina Faso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Niger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Niger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Togolese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Benin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Benin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Mauritius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Mauritius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Mauritius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Liberia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Sierra Leone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Sierra Leone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Ghana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Nigeria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Nigeria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Nigeria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Chad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Central African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Central African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Cameroon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Cameroon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6-050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Cabo Verde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Cabo Verde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Sao Tome and Principe (Democratic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Equatorial Guinea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Gabonese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6-056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Gabonese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6-057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Gabonese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6-058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Congo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6-059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Democratic Republic of the Congo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6-060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Democratic Republic of the Congo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6-061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Democratic Republic of the Congo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6-062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Angola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6-063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Angola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6-064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Guinea-Bissau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6-066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Seychelles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6-067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Seychelles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6-068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Sudan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6-069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Sudan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6-070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Rwanda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6-071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Rwanda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6-072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Ethiopia (Federal Democratic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6-073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Rwanda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6-074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Somalia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6-076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Djibouti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6-077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Rwanda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6-078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Kenya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6-079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Kenya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6-080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Tanzania (United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6-081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Tanzania (United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6-082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Uganda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6-083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Uganda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6-084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Burundi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6-085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Burundi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6-086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Mozambique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6-087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Mozambique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6-088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Congo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6-089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Congo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6-090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Zambia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6-092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Madagascar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6-093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Madagascar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6-094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French Departments and Territories in the Indian Ocean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6-095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Zimbabwe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6-096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Zimbabwe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6-097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Zimbabwe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6-098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Namibia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6-099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Namibia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6-100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Malawi</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6-102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Lesotho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Botswana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Botswana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6-106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Swaziland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6-108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Comoros (Union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6-109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South Africa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South Africa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6-111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South Africa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6-112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South Africa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6-113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South Africa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6-114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Eritrea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Saint Helena, Ascension and Tristan da Cunha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6-118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French Departments and Territories in the Indian Ocean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Diego Garcia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6-123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Tanzania (United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Uganda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Uganda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Uganda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Nigeria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Angola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South Africa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Morocco (Kingdom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6-160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Ghana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6-168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Cameroon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6-170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Sudan (Republic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6-173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South Sudan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6-174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South Sudan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6-175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Equatorial Guinea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6-176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Equatorial Guinea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6-177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Cameroon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6-178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Democratic Republic of the Congo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6-179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Democratic Republic of the Congo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6-180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Algeria (People's Democratic Republic of)</w:t>
            </w:r>
          </w:p>
        </w:tc>
      </w:tr>
      <w:tr w:rsidR="00912F2F" w:rsidRPr="00DA0AC8" w:rsidTr="000740F8">
        <w:trPr>
          <w:trHeight w:val="240"/>
        </w:trPr>
        <w:tc>
          <w:tcPr>
            <w:tcW w:w="909" w:type="dxa"/>
            <w:shd w:val="clear" w:color="auto" w:fill="auto"/>
          </w:tcPr>
          <w:p w:rsidR="00912F2F" w:rsidRPr="00DA0AC8" w:rsidRDefault="00912F2F"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6-18</w:t>
            </w:r>
            <w:r>
              <w:rPr>
                <w:rFonts w:ascii="Calibri" w:hAnsi="Calibri"/>
                <w:bCs/>
                <w:sz w:val="18"/>
                <w:szCs w:val="22"/>
                <w:lang w:val="fr-FR"/>
              </w:rPr>
              <w:t>3</w:t>
            </w:r>
          </w:p>
        </w:tc>
        <w:tc>
          <w:tcPr>
            <w:tcW w:w="8730" w:type="dxa"/>
            <w:shd w:val="clear" w:color="auto" w:fill="auto"/>
          </w:tcPr>
          <w:p w:rsidR="00912F2F" w:rsidRPr="00DA0AC8" w:rsidRDefault="00912F2F" w:rsidP="00DA0AC8">
            <w:pPr>
              <w:tabs>
                <w:tab w:val="right" w:pos="454"/>
              </w:tabs>
              <w:spacing w:before="40" w:after="40"/>
              <w:rPr>
                <w:rFonts w:ascii="Calibri" w:hAnsi="Calibri"/>
                <w:bCs/>
                <w:sz w:val="18"/>
                <w:szCs w:val="22"/>
                <w:lang w:val="fr-FR"/>
              </w:rPr>
            </w:pPr>
            <w:r w:rsidRPr="00912F2F">
              <w:rPr>
                <w:rFonts w:ascii="Calibri" w:hAnsi="Calibri"/>
                <w:bCs/>
                <w:sz w:val="18"/>
                <w:szCs w:val="22"/>
                <w:lang w:val="fr-FR"/>
              </w:rPr>
              <w:t>Mali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The Former Yugoslav Republic of Macedonia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The Former Yugoslav Republic of Macedonia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Armenia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Estonia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Lithuania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Cyprus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Czech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6-235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Slovenia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Poland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Bulgaria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Monaco (Principality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Ukraine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Iceland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Italy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Bulgaria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Latvia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Bulgaria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Hungary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Slovenia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6-255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7-004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Belize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Belize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7-008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Guatemala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7-009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Guatemala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Guatemala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7-012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El Salvador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7-013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El Salvador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7-014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El Salvador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7-015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El Salvador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Honduras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Honduras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7-018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Honduras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Nicaragua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Nicaragua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7-023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Costa 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Costa 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Costa Rica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Panama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Panama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Panama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Panama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Panama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Panama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Peru</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Peru</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Peru</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7-035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Peru</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Peru</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Peru</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Peru</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Peru</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Argentine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Argentine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Argentine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Argentine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Argentine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Argentine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Argentine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Argentine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Brazil (Federative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Brazil (Federative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Brazil (Federative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Brazil (Federative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Brazil (Federative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Brazil (Federative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Brazil (Federative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Brazil (Federative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7-056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Brazil (Federative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7-057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Brazil (Federative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7-059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Chile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7-060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Chile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7-061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Chile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7-062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Chile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7-063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Chile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7-064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Colombia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7-065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Colombia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7-066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Colombia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7-067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Colombia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7-068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Venezuela (Bolivarian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7-069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Venezuela (Bolivarian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7-070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Venezuela (Bolivarian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7-071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Venezuela (Bolivarian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7-072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Bolivia (Plurinational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7-073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Bolivia (Plurinational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7-074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Bolivia (Plurinational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7-075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Bolivia (Plurinational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7-076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Guyana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7-077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Guyana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7-080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Ecuador</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7-081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Ecuador</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7-082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Ecuador</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7-084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French Guiana (French Department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7-088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Paraguay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7-089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Paraguay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7-090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Paraguay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7-092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Suriname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7-093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Suriname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7-096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Uruguay (Eastern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7-097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Uruguay (Eastern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7-099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Falkland Islands (Malvinas)</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7-100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Venezuela (Bolivarian Republic of)</w:t>
            </w:r>
          </w:p>
        </w:tc>
      </w:tr>
      <w:tr w:rsidR="00F360C2" w:rsidRPr="00DA0AC8" w:rsidTr="000740F8">
        <w:trPr>
          <w:trHeight w:val="240"/>
        </w:trPr>
        <w:tc>
          <w:tcPr>
            <w:tcW w:w="909" w:type="dxa"/>
            <w:shd w:val="clear" w:color="auto" w:fill="auto"/>
          </w:tcPr>
          <w:p w:rsidR="00F360C2" w:rsidRPr="00DA0AC8" w:rsidRDefault="00F360C2" w:rsidP="00DA0AC8">
            <w:pPr>
              <w:tabs>
                <w:tab w:val="right" w:pos="454"/>
              </w:tabs>
              <w:spacing w:before="40" w:after="40"/>
              <w:rPr>
                <w:rFonts w:ascii="Calibri" w:hAnsi="Calibri"/>
                <w:bCs/>
                <w:sz w:val="18"/>
                <w:szCs w:val="22"/>
                <w:lang w:val="fr-FR"/>
              </w:rPr>
            </w:pPr>
            <w:r>
              <w:rPr>
                <w:rFonts w:ascii="Calibri" w:hAnsi="Calibri"/>
                <w:bCs/>
                <w:sz w:val="18"/>
                <w:szCs w:val="22"/>
                <w:lang w:val="fr-FR"/>
              </w:rPr>
              <w:t>7-110</w:t>
            </w:r>
          </w:p>
        </w:tc>
        <w:tc>
          <w:tcPr>
            <w:tcW w:w="8730" w:type="dxa"/>
            <w:shd w:val="clear" w:color="auto" w:fill="auto"/>
          </w:tcPr>
          <w:p w:rsidR="00F360C2" w:rsidRPr="00DA0AC8" w:rsidRDefault="00F360C2" w:rsidP="00DA0AC8">
            <w:pPr>
              <w:tabs>
                <w:tab w:val="right" w:pos="454"/>
              </w:tabs>
              <w:spacing w:before="40" w:after="40"/>
              <w:rPr>
                <w:rFonts w:ascii="Calibri" w:hAnsi="Calibri"/>
                <w:bCs/>
                <w:sz w:val="18"/>
                <w:szCs w:val="22"/>
                <w:lang w:val="fr-FR"/>
              </w:rPr>
            </w:pPr>
            <w:r w:rsidRPr="00F360C2">
              <w:rPr>
                <w:rFonts w:ascii="Calibri" w:hAnsi="Calibri"/>
                <w:bCs/>
                <w:sz w:val="18"/>
                <w:szCs w:val="22"/>
                <w:lang w:val="fr-FR"/>
              </w:rPr>
              <w:t>Colombia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7-150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Bolivia (Plurinational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7-151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Bolivia (Plurinational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7-152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Bolivia (Plurinational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7-153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Bolivia (Plurinational State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7-160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Peru</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7-161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Peru</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7-203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7-205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Luxembourg</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7-206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Poland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7-207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Sweden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7-210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Liechtenstein (Principality of)</w:t>
            </w:r>
          </w:p>
        </w:tc>
      </w:tr>
      <w:tr w:rsidR="00B53C52" w:rsidRPr="00DA0AC8" w:rsidTr="000740F8">
        <w:trPr>
          <w:trHeight w:val="240"/>
        </w:trPr>
        <w:tc>
          <w:tcPr>
            <w:tcW w:w="909" w:type="dxa"/>
            <w:shd w:val="clear" w:color="auto" w:fill="auto"/>
          </w:tcPr>
          <w:p w:rsidR="00B53C52" w:rsidRPr="00DA0AC8" w:rsidRDefault="00B53C52"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7-21</w:t>
            </w:r>
            <w:r>
              <w:rPr>
                <w:rFonts w:ascii="Calibri" w:hAnsi="Calibri"/>
                <w:bCs/>
                <w:sz w:val="18"/>
                <w:szCs w:val="22"/>
                <w:lang w:val="fr-FR"/>
              </w:rPr>
              <w:t>3</w:t>
            </w:r>
          </w:p>
        </w:tc>
        <w:tc>
          <w:tcPr>
            <w:tcW w:w="8730" w:type="dxa"/>
            <w:shd w:val="clear" w:color="auto" w:fill="auto"/>
          </w:tcPr>
          <w:p w:rsidR="00B53C52" w:rsidRPr="00DA0AC8" w:rsidRDefault="00B53C52"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Kosovo*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7-214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Kosovo*</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7-215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Croatia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7-216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Colombia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7-217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Norway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7-218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Romania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7-219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Albania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7-220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Luxembourg</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7-221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Bulgaria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7-222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Malta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7-223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7-224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7-225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Netherlands (Kingdom of the)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7-226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Greece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7-227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Serbia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7-228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7-229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7-230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Lithuania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7-231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Norway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7-232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7-233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Bosnia and Herzegovina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7-234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7-235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Croatia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7-236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7-237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7-238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France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7-239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Slovak Republic</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lastRenderedPageBreak/>
              <w:t>7-240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Norway</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7-241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7-242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Ukraine</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7-243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7-244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Poland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7-245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Latvia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7-246</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Poland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7-247</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Switzerland (Confederation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7-248</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Romania</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7-249</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Germany (Federal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7-250</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Latvia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7-251</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7-252</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Lithuania (Republic of)</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7-253</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United Kingdom of Great Britain and Northern Ireland</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7-254</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Spain</w:t>
            </w:r>
          </w:p>
        </w:tc>
      </w:tr>
      <w:tr w:rsidR="00DA0AC8" w:rsidRPr="00DA0AC8" w:rsidTr="000740F8">
        <w:trPr>
          <w:trHeight w:val="240"/>
        </w:trPr>
        <w:tc>
          <w:tcPr>
            <w:tcW w:w="909"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7-255</w:t>
            </w:r>
          </w:p>
        </w:tc>
        <w:tc>
          <w:tcPr>
            <w:tcW w:w="8730" w:type="dxa"/>
            <w:shd w:val="clear" w:color="auto" w:fill="auto"/>
          </w:tcPr>
          <w:p w:rsidR="00DA0AC8" w:rsidRPr="00DA0AC8" w:rsidRDefault="00DA0AC8" w:rsidP="00DA0AC8">
            <w:pPr>
              <w:tabs>
                <w:tab w:val="right" w:pos="454"/>
              </w:tabs>
              <w:spacing w:before="40" w:after="40"/>
              <w:rPr>
                <w:rFonts w:ascii="Calibri" w:hAnsi="Calibri"/>
                <w:bCs/>
                <w:sz w:val="18"/>
                <w:szCs w:val="22"/>
                <w:lang w:val="fr-FR"/>
              </w:rPr>
            </w:pPr>
            <w:r w:rsidRPr="00DA0AC8">
              <w:rPr>
                <w:rFonts w:ascii="Calibri" w:hAnsi="Calibri"/>
                <w:bCs/>
                <w:sz w:val="18"/>
                <w:szCs w:val="22"/>
                <w:lang w:val="fr-FR"/>
              </w:rPr>
              <w:t>Liechtenstein (Principality of)</w:t>
            </w:r>
          </w:p>
        </w:tc>
      </w:tr>
    </w:tbl>
    <w:p w:rsidR="00CE69F4" w:rsidRPr="00CE69F4" w:rsidRDefault="00CE69F4" w:rsidP="00CE69F4">
      <w:pPr>
        <w:rPr>
          <w:rFonts w:ascii="Calibri" w:hAnsi="Calibri"/>
          <w:sz w:val="20"/>
        </w:rPr>
      </w:pPr>
    </w:p>
    <w:p w:rsidR="00581AD8" w:rsidRPr="00CE69F4" w:rsidRDefault="00581AD8" w:rsidP="00581AD8">
      <w:pPr>
        <w:rPr>
          <w:rFonts w:ascii="Calibri" w:hAnsi="Calibri"/>
          <w:sz w:val="20"/>
        </w:rPr>
      </w:pPr>
    </w:p>
    <w:p w:rsidR="00A15D2E" w:rsidRDefault="00A15D2E">
      <w:pPr>
        <w:rPr>
          <w:rFonts w:ascii="Calibri" w:hAnsi="Calibri"/>
          <w:b/>
          <w:sz w:val="20"/>
        </w:rPr>
      </w:pPr>
      <w:r w:rsidRPr="00CE69F4">
        <w:rPr>
          <w:rFonts w:ascii="Calibri" w:hAnsi="Calibri"/>
          <w:b/>
          <w:sz w:val="20"/>
        </w:rPr>
        <w:br w:type="page"/>
      </w:r>
    </w:p>
    <w:p w:rsidR="00CE69F4" w:rsidRPr="00ED2E5A" w:rsidRDefault="00CE69F4">
      <w:pPr>
        <w:rPr>
          <w:rFonts w:ascii="Calibri" w:hAnsi="Calibri"/>
          <w:bCs/>
          <w:sz w:val="20"/>
        </w:rPr>
      </w:pPr>
    </w:p>
    <w:tbl>
      <w:tblPr>
        <w:tblW w:w="9288" w:type="dxa"/>
        <w:tblLayout w:type="fixed"/>
        <w:tblLook w:val="01E0" w:firstRow="1" w:lastRow="1" w:firstColumn="1" w:lastColumn="1" w:noHBand="0" w:noVBand="0"/>
      </w:tblPr>
      <w:tblGrid>
        <w:gridCol w:w="909"/>
        <w:gridCol w:w="8379"/>
      </w:tblGrid>
      <w:tr w:rsidR="00ED2E5A" w:rsidRPr="00ED2E5A" w:rsidTr="00CA486F">
        <w:trPr>
          <w:trHeight w:val="240"/>
          <w:tblHeader/>
        </w:trPr>
        <w:tc>
          <w:tcPr>
            <w:tcW w:w="909" w:type="dxa"/>
            <w:tcBorders>
              <w:bottom w:val="single" w:sz="4" w:space="0" w:color="auto"/>
            </w:tcBorders>
            <w:shd w:val="clear" w:color="auto" w:fill="auto"/>
          </w:tcPr>
          <w:p w:rsidR="00ED2E5A" w:rsidRPr="00ED2E5A" w:rsidRDefault="00ED2E5A" w:rsidP="00CA486F">
            <w:pPr>
              <w:keepNext/>
              <w:tabs>
                <w:tab w:val="left" w:pos="567"/>
                <w:tab w:val="right" w:pos="1021"/>
                <w:tab w:val="left" w:pos="1701"/>
                <w:tab w:val="left" w:pos="2268"/>
              </w:tabs>
              <w:spacing w:before="120" w:after="120"/>
              <w:jc w:val="both"/>
              <w:rPr>
                <w:rFonts w:ascii="Calibri" w:hAnsi="Calibri"/>
                <w:b/>
                <w:i/>
                <w:iCs/>
                <w:sz w:val="20"/>
                <w:lang w:val="en-GB"/>
              </w:rPr>
            </w:pPr>
            <w:r w:rsidRPr="00ED2E5A">
              <w:rPr>
                <w:rFonts w:ascii="Calibri" w:hAnsi="Calibri"/>
                <w:b/>
                <w:i/>
                <w:iCs/>
                <w:sz w:val="20"/>
                <w:lang w:val="en-GB"/>
              </w:rPr>
              <w:t>Code</w:t>
            </w:r>
          </w:p>
        </w:tc>
        <w:tc>
          <w:tcPr>
            <w:tcW w:w="8379" w:type="dxa"/>
            <w:tcBorders>
              <w:bottom w:val="single" w:sz="4" w:space="0" w:color="auto"/>
            </w:tcBorders>
            <w:shd w:val="clear" w:color="auto" w:fill="auto"/>
          </w:tcPr>
          <w:p w:rsidR="00ED2E5A" w:rsidRPr="00ED2E5A" w:rsidRDefault="00ED2E5A" w:rsidP="00CA486F">
            <w:pPr>
              <w:keepNext/>
              <w:tabs>
                <w:tab w:val="left" w:pos="567"/>
                <w:tab w:val="right" w:pos="1021"/>
                <w:tab w:val="left" w:pos="1701"/>
                <w:tab w:val="left" w:pos="2268"/>
              </w:tabs>
              <w:spacing w:before="120" w:after="120"/>
              <w:jc w:val="both"/>
              <w:rPr>
                <w:rFonts w:ascii="Calibri" w:hAnsi="Calibri"/>
                <w:b/>
                <w:i/>
                <w:iCs/>
                <w:sz w:val="20"/>
                <w:lang w:val="en-GB"/>
              </w:rPr>
            </w:pPr>
            <w:r w:rsidRPr="00ED2E5A">
              <w:rPr>
                <w:rFonts w:ascii="Calibri" w:hAnsi="Calibri"/>
                <w:b/>
                <w:i/>
                <w:iCs/>
                <w:sz w:val="20"/>
                <w:lang w:val="en-GB"/>
              </w:rPr>
              <w:t>Geographical Area or Signalling Network</w:t>
            </w:r>
            <w:r w:rsidR="00CA486F" w:rsidRPr="00CA486F">
              <w:rPr>
                <w:rFonts w:ascii="Calibri" w:hAnsi="Calibri"/>
                <w:b/>
                <w:i/>
                <w:iCs/>
                <w:sz w:val="20"/>
                <w:lang w:val="en-GB"/>
              </w:rPr>
              <w:t xml:space="preserve"> – alphabetical order    </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Afghanistan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Afghanistan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Afghanistan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Afghanistan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Afghanistan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Albania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Albania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Albania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Albania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7-219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Albania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6-006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Algeria (People's Democratic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6-007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Algeria (People's Democratic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6-180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Algeria (People's Democratic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5-088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American Samoa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2-196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Andorra (Principality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2-197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Andorra (Principality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6-062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Angola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6-063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Angola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Angola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3-168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Anguilla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3-169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Anguilla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3-088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Antigua and Barbuda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3-089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Antigua and Barbuda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Argentine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Argentine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Argentine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Argentine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Argentine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Argentine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Argentine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Argentine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2-200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Armenia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Armenia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Armenia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Armenia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3-164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Aruba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5-011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5-012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5-013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5-014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5-015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5-018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5-019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5-115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5-118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5-119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5-122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Australia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2-064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2-065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2-066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2-067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Austria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4-070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Azerbaijan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4-071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Azerbaijan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Bahamas (Commonwealth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Bahrain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Bahrain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4-088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Bahrain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4-089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Bahrain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Bangladesh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Bangladesh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Bangladesh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Bangladesh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Bangladesh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Bangladesh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3-084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Barbados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3-085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Barbados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3-086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Barbados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Belarus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2-012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Belgium</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2-013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Belgium</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2-014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Belgium</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2-015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Belgium</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2-097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Belgium</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2-098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Belgium</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2-099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Belgium</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Belize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Belize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Benin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Benin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3-100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Bermuda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4-072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Bhutan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7-072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Bolivia (Plurinational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7-073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Bolivia (Plurinational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7-074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Bolivia (Plurinational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7-075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Bolivia (Plurinational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7-150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Bolivia (Plurinational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7-151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Bolivia (Plurinational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7-152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Bolivia (Plurinational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7-153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Bolivia (Plurinational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2-218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Bosnia and Herzegovina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2-219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Bosnia and Herzegovina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Bosnia and Herzegovina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Bosnia and Herzegovina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Botswana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Botswana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Brazil (Federative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Brazil (Federative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Brazil (Federative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Brazil (Federative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Brazil (Federative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Brazil (Federative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Brazil (Federative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Brazil (Federative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7-056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Brazil (Federative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7-057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Brazil (Federative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3-096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British Virgin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3-097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British Virgin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5-056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Brunei Darussalam</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5-057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Brunei Darussalam</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2-168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Bulgaria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Bulgaria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Bulgaria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Bulgaria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Bulgaria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Bulgaria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Bulgaria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Burkina Faso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6-084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Burundi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6-085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Burundi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Cabo Verde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Cabo Verde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Cambodia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4-112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Cambodia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4-113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Cambodia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Cameroon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Cameroon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6-168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Cameroon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6-177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Cameroon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Canada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Canada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3-006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Canada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3-007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Canada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3-008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Canada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3-009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Canada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Canada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3-011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Canada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3-012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Canada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3-013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Canada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3-092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Cayman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3-093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Cayman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Central African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Central African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Chad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7-059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Chile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7-060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Chile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7-061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Chile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7-062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Chile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7-063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Chile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China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China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4-122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China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4-123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China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China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China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China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China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China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China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China (People's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7-064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Colombia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7-065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Colombia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7-066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Colombia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7-067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Colombia (Republic of)</w:t>
            </w:r>
          </w:p>
        </w:tc>
      </w:tr>
      <w:tr w:rsidR="00C41E0D" w:rsidRPr="00ED2E5A" w:rsidTr="009D2EB4">
        <w:trPr>
          <w:trHeight w:val="240"/>
        </w:trPr>
        <w:tc>
          <w:tcPr>
            <w:tcW w:w="909" w:type="dxa"/>
            <w:shd w:val="clear" w:color="auto" w:fill="auto"/>
          </w:tcPr>
          <w:p w:rsidR="00C41E0D" w:rsidRPr="00ED2E5A" w:rsidRDefault="00C41E0D" w:rsidP="00ED2E5A">
            <w:pPr>
              <w:tabs>
                <w:tab w:val="right" w:pos="454"/>
              </w:tabs>
              <w:spacing w:before="40" w:after="40"/>
              <w:rPr>
                <w:rFonts w:ascii="Calibri" w:hAnsi="Calibri"/>
                <w:bCs/>
                <w:sz w:val="18"/>
                <w:szCs w:val="22"/>
                <w:lang w:val="fr-FR"/>
              </w:rPr>
            </w:pPr>
            <w:r>
              <w:rPr>
                <w:rFonts w:ascii="Calibri" w:hAnsi="Calibri"/>
                <w:bCs/>
                <w:sz w:val="18"/>
                <w:szCs w:val="22"/>
                <w:lang w:val="fr-FR"/>
              </w:rPr>
              <w:t>7-110</w:t>
            </w:r>
          </w:p>
        </w:tc>
        <w:tc>
          <w:tcPr>
            <w:tcW w:w="8379" w:type="dxa"/>
            <w:shd w:val="clear" w:color="auto" w:fill="auto"/>
          </w:tcPr>
          <w:p w:rsidR="00C41E0D" w:rsidRPr="00ED2E5A" w:rsidRDefault="00C41E0D"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Colombia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Colombia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6-108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Comoros (Union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6-058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Congo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6-088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Congo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6-089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Congo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5-096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Cook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7-023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Costa 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Costa 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Costa 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Côte d'Ivoire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Côte d'Ivoire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2-180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Croatia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Croatia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4-249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Croatia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Croatia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7-215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Croatia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Croatia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Cuba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Cuba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Curaçao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Curaçao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Curaçao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2-160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Cyprus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Cyprus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5-215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Cyprus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Cyprus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Cyprus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2-060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Czech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Czech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Czech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Czech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Czech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Czech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Democratic People's Republic of Korea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6-059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Democratic Republic of the Congo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6-060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Democratic Republic of the Congo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6-061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Democratic Republic of the Congo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6-178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Democratic Republic of the Congo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6-179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Democratic Republic of the Congo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2-076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Denmark</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2-077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Denmark</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2-078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Denmark</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2-079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Denmark</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Denmark</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Diego Garcia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6-076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Djibouti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Dominica (Commonwealth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Dominican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Dominican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Dominican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7-080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Ecuador</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7-081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Ecuador</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7-082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Ecuador</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6-003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Egypt (Arab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Egypt (Arab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Egypt (Arab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7-012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El Salvador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7-013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El Salvador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7-014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El Salvador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7-015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El Salvador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6-054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Equatorial Guinea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6-175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Equatorial Guinea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6-176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Equatorial Guinea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6-114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Eritrea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2-092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Estonia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2-199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Estonia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Estonia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Estonia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Estonia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6-072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Ethiopia (Federal Democratic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7-099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Falkland Islands (Malvinas)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3-165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Faroe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3-179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Faroe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5-084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Fiji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5-085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Fiji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2-088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Finland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2-089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Finland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2-090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Finland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2-091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Finland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Finland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Finland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Finland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2-018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2-019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2-022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2-023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2-201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2-202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2-203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7-223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France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6-094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French Departments and Territories in the Indian Ocean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6-118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French Departments and Territories in the Indian Ocean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7-084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French Guiana (French Department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5-094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French Polynesia (Territoire français d'outre-mer)</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Gabonese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6-056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Gabonese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6-057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Gabonese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6-014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Gambia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6-015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Gambia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2-208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Georgia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2-213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Georgia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Georgia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Georgia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2-122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2-123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2-222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5-245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Germany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Ghana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6-160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Ghana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Gibraltar</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Greece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Greece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2-206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Greece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Greece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Greece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Greece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Greece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Greece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3-018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Greenland (Denmark)</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Grenada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3-156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Guadeloupe (French Department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5-070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Guam</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7-008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Guatemala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7-009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Guatemala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Guatemala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Guinea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6-022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Guinea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6-023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Guinea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6-064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Guinea-Bissau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7-076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Guyana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7-077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Guyana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Haiti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Honduras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Honduras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7-018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Honduras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4-106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4-107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4-108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4-109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4-111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4-176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4-177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4-178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4-179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4-180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4-181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4-182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4-183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4-184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4-185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Hong Kong,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Hungary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2-212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Hungary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Hungary</w:t>
            </w:r>
          </w:p>
        </w:tc>
      </w:tr>
      <w:tr w:rsidR="00FB7551" w:rsidRPr="00ED2E5A" w:rsidTr="009D2EB4">
        <w:trPr>
          <w:trHeight w:val="240"/>
        </w:trPr>
        <w:tc>
          <w:tcPr>
            <w:tcW w:w="909" w:type="dxa"/>
            <w:shd w:val="clear" w:color="auto" w:fill="auto"/>
          </w:tcPr>
          <w:p w:rsidR="00FB7551" w:rsidRPr="00ED2E5A" w:rsidRDefault="00FB7551" w:rsidP="00ED2E5A">
            <w:pPr>
              <w:tabs>
                <w:tab w:val="right" w:pos="454"/>
              </w:tabs>
              <w:spacing w:before="40" w:after="40"/>
              <w:rPr>
                <w:rFonts w:ascii="Calibri" w:hAnsi="Calibri"/>
                <w:bCs/>
                <w:sz w:val="18"/>
                <w:szCs w:val="22"/>
                <w:lang w:val="fr-FR"/>
              </w:rPr>
            </w:pPr>
            <w:r>
              <w:rPr>
                <w:rFonts w:ascii="Calibri" w:hAnsi="Calibri"/>
                <w:bCs/>
                <w:sz w:val="18"/>
                <w:szCs w:val="22"/>
                <w:lang w:val="fr-FR"/>
              </w:rPr>
              <w:t>5-218</w:t>
            </w:r>
          </w:p>
        </w:tc>
        <w:tc>
          <w:tcPr>
            <w:tcW w:w="8379" w:type="dxa"/>
            <w:shd w:val="clear" w:color="auto" w:fill="auto"/>
          </w:tcPr>
          <w:p w:rsidR="00FB7551" w:rsidRPr="00ED2E5A" w:rsidRDefault="00FB7551"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Hungary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Hungary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Iceland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Iceland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4-006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4-007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4-008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4-009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4-011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4-012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4-013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4-014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4-015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4-018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Indonesia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Indonesia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5-022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Indonesia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5-023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Indonesia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Indonesia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Indonesia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4-064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Iran (Islamic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4-065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Iran (Islamic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Iraq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4-003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Israel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Israel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Israel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Israel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2-001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2-003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2-042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2-093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2-094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2-095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2-157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2-158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2-159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2-181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2-183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2-207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2-215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Italy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3-076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Jamaica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3-077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Jamaica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3-078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Jamaica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3-079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Jamaica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4-080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Japan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4-081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Japan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4-082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Japan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4-083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Japan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4-084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Japan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4-085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Japan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4-086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Japan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4-087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Japan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4-090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Japan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Jordan (Hashemite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Jordan (Hashemite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Jordan (Hashemite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4-195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Jordan (Hashemite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4-196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Jordan (Hashemite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4-074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Kazakhstan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4-075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Kazakhstan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4-076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Kazakhstan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4-077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Kazakhstan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6-078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Kenya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6-079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Kenya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5-100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Kiribati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4-100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4-101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4-102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Korea (Republic of)</w:t>
            </w:r>
          </w:p>
        </w:tc>
      </w:tr>
      <w:tr w:rsidR="008D7900" w:rsidRPr="00ED2E5A" w:rsidTr="009D2EB4">
        <w:trPr>
          <w:trHeight w:val="240"/>
        </w:trPr>
        <w:tc>
          <w:tcPr>
            <w:tcW w:w="909" w:type="dxa"/>
            <w:shd w:val="clear" w:color="auto" w:fill="auto"/>
          </w:tcPr>
          <w:p w:rsidR="008D7900" w:rsidRPr="00ED2E5A" w:rsidRDefault="008D7900"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7-21</w:t>
            </w:r>
            <w:r>
              <w:rPr>
                <w:rFonts w:ascii="Calibri" w:hAnsi="Calibri"/>
                <w:bCs/>
                <w:sz w:val="18"/>
                <w:szCs w:val="22"/>
                <w:lang w:val="fr-FR"/>
              </w:rPr>
              <w:t>3</w:t>
            </w:r>
          </w:p>
        </w:tc>
        <w:tc>
          <w:tcPr>
            <w:tcW w:w="8379" w:type="dxa"/>
            <w:shd w:val="clear" w:color="auto" w:fill="auto"/>
          </w:tcPr>
          <w:p w:rsidR="008D7900" w:rsidRPr="00ED2E5A" w:rsidRDefault="008D7900"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Kosovo*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7-214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Kosovo*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Kuwait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4-200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Kuwait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4-078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Kyrgyz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4-079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Kyrgyz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4-167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Kyrgyz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4-114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Lao People's Democratic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2-096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Latvia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Latvia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Latvia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Latvia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Latvia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Latvia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Latvia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Latvia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Latvia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Lebanon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6-102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Lesotho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Liberia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6-011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Libya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6-012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Libya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6-013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Libya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2-000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Liechtenstein (Principality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Liechtenstein (Principality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Liechtenstein (Principality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Lithuania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Lithuania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Lithuania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Lithuania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Lithuania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Luxembourg</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2-140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Luxembourg</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Luxembourg</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Luxembourg</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Luxembourg</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Macao,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4-119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Macao,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6-092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Madagascar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6-093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Madagascar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6-100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Malawi</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5-001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Malaysia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5-002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Malaysia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5-003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Malaysia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Malaysia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Malaysia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5-006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Malaysia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5-007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Malaysia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5-008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Malaysia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5-009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Malaysia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Maldives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4-211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Maldives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Mali (Republic of)</w:t>
            </w:r>
          </w:p>
        </w:tc>
      </w:tr>
      <w:tr w:rsidR="00476069" w:rsidRPr="00ED2E5A" w:rsidTr="009D2EB4">
        <w:trPr>
          <w:trHeight w:val="240"/>
        </w:trPr>
        <w:tc>
          <w:tcPr>
            <w:tcW w:w="909" w:type="dxa"/>
            <w:shd w:val="clear" w:color="auto" w:fill="auto"/>
          </w:tcPr>
          <w:p w:rsidR="00476069" w:rsidRPr="00ED2E5A" w:rsidRDefault="00476069" w:rsidP="00ED2E5A">
            <w:pPr>
              <w:tabs>
                <w:tab w:val="right" w:pos="454"/>
              </w:tabs>
              <w:spacing w:before="40" w:after="40"/>
              <w:rPr>
                <w:rFonts w:ascii="Calibri" w:hAnsi="Calibri"/>
                <w:bCs/>
                <w:sz w:val="18"/>
                <w:szCs w:val="22"/>
                <w:lang w:val="fr-FR"/>
              </w:rPr>
            </w:pPr>
            <w:r w:rsidRPr="00476069">
              <w:rPr>
                <w:rFonts w:ascii="Calibri" w:hAnsi="Calibri"/>
                <w:bCs/>
                <w:sz w:val="18"/>
                <w:szCs w:val="22"/>
                <w:lang w:val="fr-FR"/>
              </w:rPr>
              <w:t>6-183</w:t>
            </w:r>
          </w:p>
        </w:tc>
        <w:tc>
          <w:tcPr>
            <w:tcW w:w="8379" w:type="dxa"/>
            <w:shd w:val="clear" w:color="auto" w:fill="auto"/>
          </w:tcPr>
          <w:p w:rsidR="00476069" w:rsidRPr="00ED2E5A" w:rsidRDefault="00476069"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Mali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2-156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Malta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Malta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7-222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Malta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Marshall Islands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3-160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Martinique (French Department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6-018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Mauritania (Islamic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6-019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Mauritania (Islamic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Mauritius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Mauritius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Mauritius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3-068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3-069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3-070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3-071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3-072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3-073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3-074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3-075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3-172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3-173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3-174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3-175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3-176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3-177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3-178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3-215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Mexico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5-107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Micronesia (Federated States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Moldova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Moldova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Monaco (Principality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Monaco (Principality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4-056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Mongolia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Montenegro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Montenegro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3-108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Montserrat</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6-008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Morocco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6-009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Morocco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Morocco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6-086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Mozambique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6-087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Mozambique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Myanmar (Republic of the Union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Myanmar (Republic of the Union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Myanmar (Republic of the Union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6-098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Namibia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6-099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Namibia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5-072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Nauru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4-057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Nepal (Federal Democratic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4-058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Nepal (Federal Democratic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4-059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Nepal (Federal Democratic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Nepal (Federal Democratic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2-002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2-006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2-007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2-008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2-009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2-011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2-198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7-203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Netherlands (Kingdom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5-092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New Caledonia (Territoire français d'outre-mer)</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5-060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New Zealand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5-061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New Zealand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5-062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New Zealand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5-063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New Zealand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5-065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New Zealand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5-067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New Zealand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Nicaragua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Nicaragua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Niger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Niger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Nigeria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Nigeria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Nigeria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Nigeria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5-090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Niue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5-113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Northern Mariana Islands (Commonwealth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2-084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Norway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2-085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Norway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2-086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Norway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2-087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Norway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Norway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Norway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Norway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Oman (Sultanate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Oman (Sultanate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4-019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Pakistan (Islamic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Pakistan (Islamic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Pakistan (Islamic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4-022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Pakistan (Islamic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4-023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Pakistan (Islamic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Palau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Panama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Panama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Panama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Panama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Panama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Panama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5-074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Papua New Guinea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5-075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Papua New Guinea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7-088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Paraguay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7-089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Paraguay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7-090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Paraguay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Peru</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Peru</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Peru</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Peru</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Peru</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Peru</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Peru</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Peru</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7-160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Peru</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7-161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Peru</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Philippines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Philippines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Philippines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Philippines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Philippines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Philippines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Philippines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Philippines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Philippines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Poland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Poland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Poland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Poland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Poland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Poland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Poland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Poland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7-206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Poland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Poland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Poland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Portugal</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Portugal</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Portugal</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Portugal</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2-223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Portugal</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Portugal</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3-060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Puerto Rico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Qatar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Qatar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4-175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Reserved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Romania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Romania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Romania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Romania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Romania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Romania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7-218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Romania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Romania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2-100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2-101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2-102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2-103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2-106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2-107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2-108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2-109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2-111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2-112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2-113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2-114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2-115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2-118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2-119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Russian Federation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6-070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Rwanda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6-071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Rwanda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6-073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Rwanda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6-077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Rwanda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Saint Helena, Ascension and Tristan da Cunha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Saint Helena, Ascension and Tristan da Cunha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3-112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Saint Kitts and Nevis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Saint Lucia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Saint Pierre and Miquelon (Collectivité territoriale de la République française)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Saint Vincent and the Grenadines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5-098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Samoa (Independent State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2-184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San Marino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Sao Tome and Principe (Democratic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Saudi Arabia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Saudi Arabia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Saudi Arabia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Saudi Arabia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6-016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Senegal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6-017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Senegal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Serbia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Serbia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Serbia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6-066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Seychelles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6-067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Seychelles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Sierra Leone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Sierra Leone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5-053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Singapore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Slovak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Slovak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Slovak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Slovak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Slovak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Slovak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2-182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Slovenia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Slovenia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Slovenia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Slovenia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Slovenia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Slovenia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5-080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Solomon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6-074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Somalia (Federal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6-109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South Africa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South Africa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6-111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South Africa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6-112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South Africa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6-113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South Africa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South Africa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6-173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South Sudan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6-174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South Sudan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Spain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Sri Lanka (Democratic Socialist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4-027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Sri Lanka (Democratic Socialist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4-190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Sri Lanka (Democratic Socialist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4-191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Sri Lanka (Democratic Socialist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6-068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Sudan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6-069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Sudan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6-170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Sudan (Republic of the)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7-092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Suriname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7-093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Suriname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6-106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Swaziland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2-080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2-081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2-082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2-083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2-192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2-193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2-194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2-195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7-207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Sweden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2-056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2-057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2-058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2-059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2-061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2-062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2-063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Switzerland (Confederation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Syrian Arab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4-170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Taiwan,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4-171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Taiwan,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4-172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Taiwan,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4-173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Taiwan,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4-174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Taiwan, China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4-157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Tajikistan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4-158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Tajikistan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4-159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Tajikistan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6-080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Tanzania (United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6-081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Tanzania (United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6-123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Tanzania (United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Thailand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Thailand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Thailand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Thailand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Thailand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Thailand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Thailand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The Former Yugoslav Republic of Macedonia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The Former Yugoslav Republic of Macedonia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The Former Yugoslav Republic of Macedonia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The Former Yugoslav Republic of Macedonia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The Former Yugoslav Republic of Macedonia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The Former Yugoslav Republic of Macedonia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Timor-Leste (Democratic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Timor-Leste (Democratic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Togolese Republic</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5-078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Tonga (Kingdom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Trinidad and Tobago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Trinidad and Tobago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Trinidad and Tobago</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Tunisia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2-171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Turkey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2-172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Turkey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2-173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Turkey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Turkey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Turkey</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4-160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Turkmenistan</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Turks and Caicos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Turks and Caicos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Turks and Caicos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5-102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Tuvalu</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6-082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Uganda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6-083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Uganda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Uganda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Uganda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6-132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Uganda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2-214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Ukraine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Ukraine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Ukraine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Ukraine</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Arab Emirates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Arab Emirates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4-060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Arab Emirates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4-061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Arab Emirates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4-062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Arab Emirates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2-068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2-069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2-070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2-071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2-072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2-073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2-074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2-075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2-161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2-162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2-163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2-164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2-165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2-166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2-167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2-169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2-170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2-174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2-175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2-176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2-177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2-178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2-179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2-185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2-186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2-187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2-188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2-189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2-190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2-191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2-209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2-210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2-211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4-254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5-248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6-255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7-253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Kingdom of Great Britain and Northern Ireland</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3-020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3-021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3-022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3-023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3-024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3-025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3-026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3-027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3-028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3-029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3-030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3-031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3-032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3-033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3-034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3-035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3-036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3-037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3-038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3-039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3-040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3-041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3-043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3-044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3-045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3-047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3-048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3-049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3-050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3-051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3-052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3-053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3-054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3-055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3-056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3-057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3-058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3-059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3-180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3-181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3-182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3-183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3-184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3-185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3-186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3-187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3-188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3-189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3-190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3-191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3-192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3-193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3-194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3-195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3-196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3-197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3-198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3-199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3-200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3-201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3-202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3-203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3-204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of America</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3-064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United States Virgin Islands</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7-096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Uruguay (Eastern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7-097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Uruguay (Eastern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4-164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Uzbekistan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4-165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Uzbekistan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5-082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Vanuatu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7-068</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Venezuela (Bolivarian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7-069</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Venezuela (Bolivarian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7-070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Venezuela (Bolivarian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7-071</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Venezuela (Bolivarian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7-100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Venezuela (Bolivarian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lastRenderedPageBreak/>
              <w:t>4-103</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Viet Nam (Socialist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4-104</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Viet Nam (Socialist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4-205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Viet Nam (Socialist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4-206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Viet Nam (Socialist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5-086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Wallis and Futuna (Territoire français d'outre-mer)</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4-042</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Yemen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4-046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Yemen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6-090</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Zambia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6-095</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Zimbabwe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6-096</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Zimbabwe (Republic of)</w:t>
            </w:r>
          </w:p>
        </w:tc>
      </w:tr>
      <w:tr w:rsidR="00ED2E5A" w:rsidRPr="00ED2E5A" w:rsidTr="009D2EB4">
        <w:trPr>
          <w:trHeight w:val="240"/>
        </w:trPr>
        <w:tc>
          <w:tcPr>
            <w:tcW w:w="90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6-097</w:t>
            </w:r>
          </w:p>
        </w:tc>
        <w:tc>
          <w:tcPr>
            <w:tcW w:w="8379" w:type="dxa"/>
            <w:shd w:val="clear" w:color="auto" w:fill="auto"/>
          </w:tcPr>
          <w:p w:rsidR="00ED2E5A" w:rsidRPr="00ED2E5A" w:rsidRDefault="00ED2E5A" w:rsidP="00ED2E5A">
            <w:pPr>
              <w:tabs>
                <w:tab w:val="right" w:pos="454"/>
              </w:tabs>
              <w:spacing w:before="40" w:after="40"/>
              <w:rPr>
                <w:rFonts w:ascii="Calibri" w:hAnsi="Calibri"/>
                <w:bCs/>
                <w:sz w:val="18"/>
                <w:szCs w:val="22"/>
                <w:lang w:val="fr-FR"/>
              </w:rPr>
            </w:pPr>
            <w:r w:rsidRPr="00ED2E5A">
              <w:rPr>
                <w:rFonts w:ascii="Calibri" w:hAnsi="Calibri"/>
                <w:bCs/>
                <w:sz w:val="18"/>
                <w:szCs w:val="22"/>
                <w:lang w:val="fr-FR"/>
              </w:rPr>
              <w:t>Zimbabwe (Republic of)</w:t>
            </w:r>
          </w:p>
        </w:tc>
      </w:tr>
    </w:tbl>
    <w:p w:rsidR="00CE69F4" w:rsidRDefault="00CE69F4">
      <w:pPr>
        <w:rPr>
          <w:rFonts w:ascii="Calibri" w:hAnsi="Calibri"/>
          <w:bCs/>
          <w:sz w:val="20"/>
        </w:rPr>
      </w:pPr>
    </w:p>
    <w:p w:rsidR="00ED2E5A" w:rsidRPr="00ED2E5A" w:rsidRDefault="00ED2E5A">
      <w:pPr>
        <w:rPr>
          <w:rFonts w:ascii="Calibri" w:hAnsi="Calibri"/>
          <w:bCs/>
          <w:sz w:val="20"/>
        </w:rPr>
      </w:pPr>
    </w:p>
    <w:p w:rsidR="00CE69F4" w:rsidRPr="00ED2E5A" w:rsidRDefault="00CE69F4">
      <w:pPr>
        <w:rPr>
          <w:rFonts w:ascii="Calibri" w:hAnsi="Calibri"/>
          <w:bCs/>
          <w:sz w:val="20"/>
        </w:rPr>
      </w:pPr>
    </w:p>
    <w:p w:rsidR="00984388" w:rsidRPr="00ED2E5A" w:rsidRDefault="00984388" w:rsidP="00FA2E48">
      <w:pPr>
        <w:rPr>
          <w:rFonts w:ascii="Calibri" w:hAnsi="Calibri"/>
          <w:bCs/>
          <w:sz w:val="20"/>
        </w:rPr>
      </w:pPr>
    </w:p>
    <w:p w:rsidR="00FA2E48" w:rsidRPr="00134CDA" w:rsidRDefault="00984388" w:rsidP="00FA2E48">
      <w:pPr>
        <w:rPr>
          <w:rFonts w:ascii="Calibri" w:hAnsi="Calibri"/>
          <w:sz w:val="20"/>
        </w:rPr>
      </w:pPr>
      <w:r w:rsidRPr="00134CDA">
        <w:rPr>
          <w:rFonts w:ascii="Calibri" w:hAnsi="Calibri"/>
          <w:sz w:val="20"/>
        </w:rPr>
        <w:br w:type="page"/>
      </w:r>
    </w:p>
    <w:p w:rsidR="00EC1C1A" w:rsidRPr="0002418B" w:rsidRDefault="00EC1C1A" w:rsidP="00CC67DB">
      <w:pPr>
        <w:keepNext/>
        <w:jc w:val="center"/>
        <w:rPr>
          <w:rFonts w:ascii="Calibri" w:hAnsi="Calibri"/>
          <w:b/>
          <w:sz w:val="20"/>
        </w:rPr>
      </w:pPr>
      <w:r w:rsidRPr="0002418B">
        <w:rPr>
          <w:rFonts w:ascii="Calibri" w:hAnsi="Calibri"/>
          <w:b/>
          <w:sz w:val="20"/>
        </w:rPr>
        <w:lastRenderedPageBreak/>
        <w:t>Notes common to Numerical and Alphabetical Lists of</w:t>
      </w:r>
      <w:r w:rsidR="00854A39">
        <w:rPr>
          <w:rFonts w:ascii="Calibri" w:hAnsi="Calibri"/>
          <w:b/>
          <w:sz w:val="20"/>
        </w:rPr>
        <w:t xml:space="preserve"> </w:t>
      </w:r>
      <w:r w:rsidR="00854A39">
        <w:rPr>
          <w:rFonts w:ascii="Calibri" w:hAnsi="Calibri"/>
          <w:b/>
          <w:sz w:val="20"/>
        </w:rPr>
        <w:br/>
      </w:r>
      <w:r w:rsidRPr="0002418B">
        <w:rPr>
          <w:rFonts w:ascii="Calibri" w:hAnsi="Calibri"/>
          <w:b/>
          <w:sz w:val="20"/>
        </w:rPr>
        <w:t>ITU-T Q.708 Sign</w:t>
      </w:r>
      <w:r w:rsidR="003435E7">
        <w:rPr>
          <w:rFonts w:ascii="Calibri" w:hAnsi="Calibri"/>
          <w:b/>
          <w:sz w:val="20"/>
        </w:rPr>
        <w:t>alling Area/Network Codes (SANC</w:t>
      </w:r>
      <w:r w:rsidR="00133A10">
        <w:rPr>
          <w:rFonts w:ascii="Calibri" w:hAnsi="Calibri"/>
          <w:b/>
          <w:sz w:val="20"/>
        </w:rPr>
        <w:t>s</w:t>
      </w:r>
      <w:r w:rsidRPr="0002418B">
        <w:rPr>
          <w:rFonts w:ascii="Calibri" w:hAnsi="Calibri"/>
          <w:b/>
          <w:sz w:val="20"/>
        </w:rPr>
        <w:t>)</w:t>
      </w:r>
    </w:p>
    <w:p w:rsidR="00EC1C1A" w:rsidRPr="0002418B" w:rsidRDefault="00EC1C1A" w:rsidP="00CC67DB">
      <w:pPr>
        <w:keepNext/>
        <w:rPr>
          <w:rFonts w:ascii="Calibri" w:hAnsi="Calibri"/>
          <w:sz w:val="20"/>
        </w:rPr>
      </w:pPr>
    </w:p>
    <w:p w:rsidR="00EC1C1A" w:rsidRPr="0002418B" w:rsidRDefault="00EC1C1A" w:rsidP="00CC67DB">
      <w:pPr>
        <w:keepNext/>
        <w:rPr>
          <w:rFonts w:ascii="Calibri" w:hAnsi="Calibri"/>
          <w:sz w:val="20"/>
        </w:rPr>
      </w:pPr>
      <w:r w:rsidRPr="0002418B">
        <w:rPr>
          <w:rFonts w:ascii="Calibri" w:hAnsi="Calibri"/>
          <w:sz w:val="20"/>
        </w:rPr>
        <w:t>Notes</w:t>
      </w:r>
    </w:p>
    <w:p w:rsidR="00EC1C1A" w:rsidRPr="0002418B" w:rsidRDefault="00EC1C1A" w:rsidP="00CC67DB">
      <w:pPr>
        <w:keepNext/>
        <w:rPr>
          <w:rFonts w:ascii="Calibri" w:hAnsi="Calibri"/>
          <w:sz w:val="20"/>
        </w:rPr>
      </w:pPr>
    </w:p>
    <w:p w:rsidR="00EC1C1A" w:rsidRPr="00847E97" w:rsidRDefault="00847E97" w:rsidP="00847E97">
      <w:pPr>
        <w:ind w:left="284" w:hanging="284"/>
        <w:rPr>
          <w:rFonts w:ascii="Calibri" w:hAnsi="Calibri"/>
          <w:sz w:val="20"/>
        </w:rPr>
      </w:pPr>
      <w:r w:rsidRPr="00847E97">
        <w:rPr>
          <w:rFonts w:ascii="Calibri" w:hAnsi="Calibri"/>
          <w:sz w:val="20"/>
        </w:rPr>
        <w:t>*</w:t>
      </w:r>
      <w:r>
        <w:rPr>
          <w:rFonts w:ascii="Calibri" w:hAnsi="Calibri"/>
          <w:sz w:val="20"/>
        </w:rPr>
        <w:tab/>
      </w:r>
      <w:r w:rsidR="00A630BD" w:rsidRPr="00847E97">
        <w:rPr>
          <w:rFonts w:ascii="Calibri" w:hAnsi="Calibri"/>
          <w:sz w:val="20"/>
        </w:rPr>
        <w:t>This designation is without prejudice to positions on status, and is in line with UN</w:t>
      </w:r>
      <w:r w:rsidR="002E53E2" w:rsidRPr="00847E97">
        <w:rPr>
          <w:rFonts w:ascii="Calibri" w:hAnsi="Calibri"/>
          <w:sz w:val="20"/>
        </w:rPr>
        <w:t xml:space="preserve">SCR 1244 and the ICJ Opinion on </w:t>
      </w:r>
      <w:r w:rsidR="00A630BD" w:rsidRPr="00847E97">
        <w:rPr>
          <w:rFonts w:ascii="Calibri" w:hAnsi="Calibri"/>
          <w:sz w:val="20"/>
        </w:rPr>
        <w:t>the Kosovo declaration of independence.</w:t>
      </w:r>
    </w:p>
    <w:p w:rsidR="00EC1C1A" w:rsidRDefault="00EC1C1A" w:rsidP="00CC67DB">
      <w:pPr>
        <w:pStyle w:val="Heading7"/>
      </w:pPr>
    </w:p>
    <w:p w:rsidR="00A630BD" w:rsidRDefault="00A630BD" w:rsidP="00CC67DB">
      <w:pPr>
        <w:pStyle w:val="Heading7"/>
      </w:pPr>
    </w:p>
    <w:p w:rsidR="00A630BD" w:rsidRDefault="00A630BD" w:rsidP="00CC67DB">
      <w:pPr>
        <w:pStyle w:val="Heading7"/>
      </w:pPr>
    </w:p>
    <w:p w:rsidR="00FA2E48" w:rsidRPr="008149B6" w:rsidRDefault="00FA2E48" w:rsidP="00FA2E48">
      <w:pPr>
        <w:pStyle w:val="Heading7"/>
        <w:keepNext/>
      </w:pPr>
      <w:r w:rsidRPr="00542D9D">
        <w:t xml:space="preserve">Number of spare </w:t>
      </w:r>
      <w:r w:rsidR="00656F66">
        <w:t xml:space="preserve">ITU-T </w:t>
      </w:r>
      <w:r w:rsidRPr="00542D9D">
        <w:t>Q.708 Signalling Area Network Codes (SANCs)</w:t>
      </w:r>
    </w:p>
    <w:p w:rsidR="00FA2E48" w:rsidRPr="00CC67DB" w:rsidRDefault="00FA2E48" w:rsidP="00FA2E48">
      <w:pPr>
        <w:keepNext/>
        <w:rPr>
          <w:rFonts w:ascii="Calibri" w:hAnsi="Calibri"/>
          <w:sz w:val="20"/>
        </w:rPr>
      </w:pPr>
    </w:p>
    <w:tbl>
      <w:tblPr>
        <w:tblStyle w:val="TableGrid"/>
        <w:tblW w:w="669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3348"/>
        <w:gridCol w:w="3348"/>
      </w:tblGrid>
      <w:tr w:rsidR="00E505D6" w:rsidRPr="00E505D6" w:rsidTr="0002418B">
        <w:trPr>
          <w:trHeight w:val="240"/>
          <w:jc w:val="center"/>
        </w:trPr>
        <w:tc>
          <w:tcPr>
            <w:tcW w:w="3348" w:type="dxa"/>
            <w:shd w:val="clear" w:color="auto" w:fill="auto"/>
          </w:tcPr>
          <w:p w:rsidR="008D5E03" w:rsidRPr="00E505D6" w:rsidRDefault="008D5E03" w:rsidP="00FA3370">
            <w:pPr>
              <w:pStyle w:val="Tablehead0"/>
              <w:rPr>
                <w:color w:val="000000" w:themeColor="text1"/>
                <w:lang w:val="en-US"/>
              </w:rPr>
            </w:pPr>
            <w:r w:rsidRPr="00E505D6">
              <w:rPr>
                <w:color w:val="000000" w:themeColor="text1"/>
                <w:lang w:val="en-US"/>
              </w:rPr>
              <w:t xml:space="preserve">Signalling Area Network Codes, </w:t>
            </w:r>
            <w:r w:rsidRPr="00E505D6">
              <w:rPr>
                <w:color w:val="000000" w:themeColor="text1"/>
                <w:lang w:val="en-US"/>
              </w:rPr>
              <w:br/>
              <w:t>numbering range</w:t>
            </w:r>
          </w:p>
        </w:tc>
        <w:tc>
          <w:tcPr>
            <w:tcW w:w="3348" w:type="dxa"/>
            <w:shd w:val="clear" w:color="auto" w:fill="auto"/>
          </w:tcPr>
          <w:p w:rsidR="008D5E03" w:rsidRPr="00E505D6" w:rsidRDefault="008D5E03" w:rsidP="00FA3370">
            <w:pPr>
              <w:pStyle w:val="Tablehead0"/>
              <w:rPr>
                <w:color w:val="000000" w:themeColor="text1"/>
              </w:rPr>
            </w:pPr>
            <w:r w:rsidRPr="00E505D6">
              <w:rPr>
                <w:color w:val="000000" w:themeColor="text1"/>
              </w:rPr>
              <w:t>Number of spare codes</w:t>
            </w:r>
          </w:p>
        </w:tc>
      </w:tr>
      <w:tr w:rsidR="00E505D6" w:rsidRPr="00E505D6" w:rsidTr="0002418B">
        <w:trPr>
          <w:trHeight w:val="240"/>
          <w:jc w:val="center"/>
        </w:trPr>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0-000 to 0-255</w:t>
            </w:r>
          </w:p>
        </w:tc>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reserved</w:t>
            </w:r>
          </w:p>
        </w:tc>
      </w:tr>
      <w:tr w:rsidR="00E505D6" w:rsidRPr="00E505D6" w:rsidTr="0002418B">
        <w:trPr>
          <w:trHeight w:val="240"/>
          <w:jc w:val="center"/>
        </w:trPr>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1-000 to 1-255</w:t>
            </w:r>
          </w:p>
        </w:tc>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reserved</w:t>
            </w:r>
          </w:p>
        </w:tc>
      </w:tr>
      <w:tr w:rsidR="00E505D6" w:rsidRPr="00E505D6" w:rsidTr="0002418B">
        <w:trPr>
          <w:trHeight w:val="240"/>
          <w:jc w:val="center"/>
        </w:trPr>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2-000 to 2-255</w:t>
            </w:r>
          </w:p>
        </w:tc>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0</w:t>
            </w:r>
          </w:p>
        </w:tc>
      </w:tr>
      <w:tr w:rsidR="00E505D6" w:rsidRPr="00E505D6" w:rsidTr="0002418B">
        <w:trPr>
          <w:trHeight w:val="240"/>
          <w:jc w:val="center"/>
        </w:trPr>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3-000 to 3-255</w:t>
            </w:r>
          </w:p>
        </w:tc>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86</w:t>
            </w:r>
          </w:p>
        </w:tc>
      </w:tr>
      <w:tr w:rsidR="00E505D6" w:rsidRPr="00E505D6" w:rsidTr="0002418B">
        <w:trPr>
          <w:trHeight w:val="240"/>
          <w:jc w:val="center"/>
        </w:trPr>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4-000 to 4-255</w:t>
            </w:r>
          </w:p>
        </w:tc>
        <w:tc>
          <w:tcPr>
            <w:tcW w:w="3348" w:type="dxa"/>
            <w:shd w:val="clear" w:color="auto" w:fill="auto"/>
          </w:tcPr>
          <w:p w:rsidR="008D5E03" w:rsidRPr="00E505D6" w:rsidRDefault="00E505D6" w:rsidP="00FA3370">
            <w:pPr>
              <w:pStyle w:val="StyleTabletextLeft"/>
              <w:keepNext/>
              <w:jc w:val="center"/>
              <w:rPr>
                <w:color w:val="000000" w:themeColor="text1"/>
              </w:rPr>
            </w:pPr>
            <w:r w:rsidRPr="00E505D6">
              <w:rPr>
                <w:color w:val="000000" w:themeColor="text1"/>
              </w:rPr>
              <w:t>67</w:t>
            </w:r>
          </w:p>
        </w:tc>
      </w:tr>
      <w:tr w:rsidR="00E505D6" w:rsidRPr="00E505D6" w:rsidTr="0002418B">
        <w:trPr>
          <w:trHeight w:val="240"/>
          <w:jc w:val="center"/>
        </w:trPr>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5-000 to 5-255</w:t>
            </w:r>
          </w:p>
        </w:tc>
        <w:tc>
          <w:tcPr>
            <w:tcW w:w="3348" w:type="dxa"/>
            <w:shd w:val="clear" w:color="auto" w:fill="auto"/>
          </w:tcPr>
          <w:p w:rsidR="008D5E03" w:rsidRPr="00E505D6" w:rsidRDefault="00D3141F" w:rsidP="00FA3370">
            <w:pPr>
              <w:pStyle w:val="StyleTabletextLeft"/>
              <w:keepNext/>
              <w:jc w:val="center"/>
              <w:rPr>
                <w:color w:val="000000" w:themeColor="text1"/>
              </w:rPr>
            </w:pPr>
            <w:r>
              <w:rPr>
                <w:color w:val="000000" w:themeColor="text1"/>
              </w:rPr>
              <w:t>122</w:t>
            </w:r>
          </w:p>
        </w:tc>
      </w:tr>
      <w:tr w:rsidR="00E505D6" w:rsidRPr="00E505D6" w:rsidTr="0002418B">
        <w:trPr>
          <w:trHeight w:val="240"/>
          <w:jc w:val="center"/>
        </w:trPr>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6-000 to 6-255</w:t>
            </w:r>
          </w:p>
        </w:tc>
        <w:tc>
          <w:tcPr>
            <w:tcW w:w="3348" w:type="dxa"/>
            <w:shd w:val="clear" w:color="auto" w:fill="auto"/>
          </w:tcPr>
          <w:p w:rsidR="008D5E03" w:rsidRPr="00E505D6" w:rsidRDefault="00D3141F" w:rsidP="00FA3370">
            <w:pPr>
              <w:pStyle w:val="StyleTabletextLeft"/>
              <w:keepNext/>
              <w:jc w:val="center"/>
              <w:rPr>
                <w:color w:val="000000" w:themeColor="text1"/>
              </w:rPr>
            </w:pPr>
            <w:r>
              <w:rPr>
                <w:color w:val="000000" w:themeColor="text1"/>
              </w:rPr>
              <w:t>97</w:t>
            </w:r>
          </w:p>
        </w:tc>
      </w:tr>
      <w:tr w:rsidR="00E505D6" w:rsidRPr="00E505D6" w:rsidTr="0002418B">
        <w:trPr>
          <w:trHeight w:val="240"/>
          <w:jc w:val="center"/>
        </w:trPr>
        <w:tc>
          <w:tcPr>
            <w:tcW w:w="3348" w:type="dxa"/>
            <w:shd w:val="clear" w:color="auto" w:fill="auto"/>
          </w:tcPr>
          <w:p w:rsidR="008D5E03" w:rsidRPr="00E505D6" w:rsidRDefault="008D5E03" w:rsidP="00FA3370">
            <w:pPr>
              <w:pStyle w:val="StyleTabletextLeft"/>
              <w:keepNext/>
              <w:jc w:val="center"/>
              <w:rPr>
                <w:color w:val="000000" w:themeColor="text1"/>
              </w:rPr>
            </w:pPr>
            <w:r w:rsidRPr="00E505D6">
              <w:rPr>
                <w:color w:val="000000" w:themeColor="text1"/>
              </w:rPr>
              <w:t>7-000 to 7-255</w:t>
            </w:r>
          </w:p>
        </w:tc>
        <w:tc>
          <w:tcPr>
            <w:tcW w:w="3348" w:type="dxa"/>
            <w:shd w:val="clear" w:color="auto" w:fill="auto"/>
          </w:tcPr>
          <w:p w:rsidR="008D5E03" w:rsidRPr="00E505D6" w:rsidRDefault="00D3141F" w:rsidP="00FA3370">
            <w:pPr>
              <w:pStyle w:val="StyleTabletextLeft"/>
              <w:keepNext/>
              <w:jc w:val="center"/>
              <w:rPr>
                <w:color w:val="000000" w:themeColor="text1"/>
              </w:rPr>
            </w:pPr>
            <w:r>
              <w:rPr>
                <w:color w:val="000000" w:themeColor="text1"/>
              </w:rPr>
              <w:t>120</w:t>
            </w:r>
          </w:p>
        </w:tc>
      </w:tr>
      <w:tr w:rsidR="00E505D6" w:rsidRPr="00E505D6" w:rsidTr="0002418B">
        <w:trPr>
          <w:trHeight w:val="240"/>
          <w:jc w:val="center"/>
        </w:trPr>
        <w:tc>
          <w:tcPr>
            <w:tcW w:w="6696" w:type="dxa"/>
            <w:gridSpan w:val="2"/>
            <w:tcBorders>
              <w:left w:val="nil"/>
              <w:bottom w:val="nil"/>
              <w:right w:val="nil"/>
            </w:tcBorders>
            <w:shd w:val="clear" w:color="auto" w:fill="auto"/>
          </w:tcPr>
          <w:p w:rsidR="008D5E03" w:rsidRPr="00E505D6" w:rsidRDefault="008D5E03" w:rsidP="00D3141F">
            <w:pPr>
              <w:pStyle w:val="StyleTabletextLeft"/>
              <w:rPr>
                <w:color w:val="000000" w:themeColor="text1"/>
              </w:rPr>
            </w:pPr>
            <w:r w:rsidRPr="00E505D6">
              <w:rPr>
                <w:color w:val="000000" w:themeColor="text1"/>
              </w:rPr>
              <w:t xml:space="preserve">Percentage of SANCs assigned = </w:t>
            </w:r>
            <w:r w:rsidR="00404248">
              <w:rPr>
                <w:color w:val="000000" w:themeColor="text1"/>
              </w:rPr>
              <w:t>67.</w:t>
            </w:r>
            <w:r w:rsidR="00D3141F">
              <w:rPr>
                <w:color w:val="000000" w:themeColor="text1"/>
              </w:rPr>
              <w:t>97</w:t>
            </w:r>
            <w:r w:rsidRPr="00E505D6">
              <w:rPr>
                <w:color w:val="000000" w:themeColor="text1"/>
              </w:rPr>
              <w:t xml:space="preserve"> %</w:t>
            </w:r>
          </w:p>
        </w:tc>
      </w:tr>
    </w:tbl>
    <w:p w:rsidR="00FA2E48" w:rsidRDefault="00FA2E48" w:rsidP="00FA2E48"/>
    <w:p w:rsidR="00D55FDF" w:rsidRDefault="00D55FDF">
      <w:pPr>
        <w:rPr>
          <w:lang w:val="en-GB"/>
        </w:rPr>
      </w:pPr>
    </w:p>
    <w:p w:rsidR="00927DD4" w:rsidRDefault="00927DD4">
      <w:pPr>
        <w:rPr>
          <w:lang w:val="en-GB"/>
        </w:rPr>
      </w:pPr>
    </w:p>
    <w:p w:rsidR="00927DD4" w:rsidRDefault="00927DD4" w:rsidP="00927DD4">
      <w:pPr>
        <w:jc w:val="center"/>
        <w:rPr>
          <w:b/>
          <w:sz w:val="18"/>
        </w:rPr>
      </w:pPr>
      <w:r>
        <w:rPr>
          <w:lang w:val="en-GB"/>
        </w:rPr>
        <w:br w:type="page"/>
      </w:r>
      <w:r>
        <w:rPr>
          <w:b/>
          <w:sz w:val="18"/>
        </w:rPr>
        <w:lastRenderedPageBreak/>
        <w:t>AMENDMENTS</w:t>
      </w:r>
    </w:p>
    <w:p w:rsidR="00927DD4" w:rsidRDefault="00927DD4" w:rsidP="00927DD4">
      <w:pPr>
        <w:rPr>
          <w:sz w:val="18"/>
        </w:rPr>
      </w:pPr>
    </w:p>
    <w:tbl>
      <w:tblPr>
        <w:tblW w:w="0" w:type="auto"/>
        <w:tblInd w:w="851" w:type="dxa"/>
        <w:tblLayout w:type="fixed"/>
        <w:tblLook w:val="0000" w:firstRow="0" w:lastRow="0" w:firstColumn="0" w:lastColumn="0" w:noHBand="0" w:noVBand="0"/>
      </w:tblPr>
      <w:tblGrid>
        <w:gridCol w:w="2268"/>
        <w:gridCol w:w="2835"/>
        <w:gridCol w:w="3402"/>
      </w:tblGrid>
      <w:tr w:rsidR="00927DD4" w:rsidTr="00927DD4">
        <w:trPr>
          <w:cantSplit/>
          <w:trHeight w:val="825"/>
        </w:trPr>
        <w:tc>
          <w:tcPr>
            <w:tcW w:w="2268" w:type="dxa"/>
            <w:tcBorders>
              <w:top w:val="single" w:sz="12"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b/>
                <w:sz w:val="18"/>
                <w:lang w:val="en-GB"/>
              </w:rPr>
            </w:pPr>
            <w:r>
              <w:rPr>
                <w:b/>
                <w:sz w:val="18"/>
              </w:rPr>
              <w:t>Amendment No.</w:t>
            </w:r>
          </w:p>
        </w:tc>
        <w:tc>
          <w:tcPr>
            <w:tcW w:w="2835" w:type="dxa"/>
            <w:tcBorders>
              <w:top w:val="single" w:sz="12" w:space="0" w:color="auto"/>
              <w:left w:val="single" w:sz="12" w:space="0" w:color="auto"/>
              <w:bottom w:val="single" w:sz="6" w:space="0" w:color="auto"/>
              <w:right w:val="single" w:sz="12" w:space="0" w:color="auto"/>
            </w:tcBorders>
            <w:vAlign w:val="center"/>
          </w:tcPr>
          <w:p w:rsidR="00927DD4" w:rsidRDefault="00927DD4" w:rsidP="00927DD4">
            <w:pPr>
              <w:spacing w:before="60" w:after="60"/>
              <w:jc w:val="center"/>
              <w:rPr>
                <w:b/>
                <w:sz w:val="18"/>
                <w:lang w:val="en-GB"/>
              </w:rPr>
            </w:pPr>
            <w:r>
              <w:rPr>
                <w:b/>
                <w:sz w:val="18"/>
              </w:rPr>
              <w:t>Operational Bulletin No.</w:t>
            </w:r>
          </w:p>
        </w:tc>
        <w:tc>
          <w:tcPr>
            <w:tcW w:w="3402" w:type="dxa"/>
            <w:tcBorders>
              <w:top w:val="single" w:sz="12" w:space="0" w:color="auto"/>
              <w:left w:val="single" w:sz="12" w:space="0" w:color="auto"/>
              <w:bottom w:val="single" w:sz="6" w:space="0" w:color="auto"/>
              <w:right w:val="single" w:sz="12" w:space="0" w:color="auto"/>
            </w:tcBorders>
            <w:vAlign w:val="center"/>
          </w:tcPr>
          <w:p w:rsidR="00927DD4" w:rsidRDefault="00927DD4" w:rsidP="00927DD4">
            <w:pPr>
              <w:spacing w:before="60" w:after="60"/>
              <w:jc w:val="center"/>
              <w:rPr>
                <w:b/>
                <w:sz w:val="18"/>
                <w:lang w:val="en-GB"/>
              </w:rPr>
            </w:pPr>
            <w:r>
              <w:rPr>
                <w:b/>
                <w:sz w:val="18"/>
              </w:rPr>
              <w:t>Country</w:t>
            </w: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1</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2</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3</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4</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5</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6</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7</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8</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9</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10</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11</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12</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13</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14</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15</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16</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17</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18</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19</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20</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21</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22</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23</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24</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25</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26</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27</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28</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29</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r w:rsidR="00927DD4" w:rsidTr="00A74A06">
        <w:trPr>
          <w:cantSplit/>
          <w:trHeight w:val="360"/>
        </w:trPr>
        <w:tc>
          <w:tcPr>
            <w:tcW w:w="2268"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r>
              <w:rPr>
                <w:sz w:val="18"/>
              </w:rPr>
              <w:t>30</w:t>
            </w:r>
          </w:p>
        </w:tc>
        <w:tc>
          <w:tcPr>
            <w:tcW w:w="2835"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c>
          <w:tcPr>
            <w:tcW w:w="3402" w:type="dxa"/>
            <w:tcBorders>
              <w:top w:val="single" w:sz="6" w:space="0" w:color="auto"/>
              <w:left w:val="single" w:sz="12" w:space="0" w:color="auto"/>
              <w:bottom w:val="single" w:sz="6" w:space="0" w:color="auto"/>
              <w:right w:val="single" w:sz="12" w:space="0" w:color="auto"/>
            </w:tcBorders>
            <w:vAlign w:val="center"/>
          </w:tcPr>
          <w:p w:rsidR="00927DD4" w:rsidRDefault="00927DD4" w:rsidP="00A74A06">
            <w:pPr>
              <w:spacing w:before="60" w:after="60"/>
              <w:jc w:val="center"/>
              <w:rPr>
                <w:sz w:val="18"/>
              </w:rPr>
            </w:pPr>
          </w:p>
        </w:tc>
      </w:tr>
    </w:tbl>
    <w:p w:rsidR="00927DD4" w:rsidRDefault="00927DD4">
      <w:pPr>
        <w:rPr>
          <w:lang w:val="en-GB"/>
        </w:rPr>
      </w:pPr>
    </w:p>
    <w:sectPr w:rsidR="00927DD4">
      <w:footerReference w:type="even" r:id="rId11"/>
      <w:footerReference w:type="default" r:id="rId12"/>
      <w:pgSz w:w="11907" w:h="16840"/>
      <w:pgMar w:top="1134" w:right="1134" w:bottom="1134" w:left="1134" w:header="720" w:footer="720" w:gutter="0"/>
      <w:paperSrc w:first="3678" w:other="3678"/>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6D4" w:rsidRDefault="00DB76D4">
      <w:r>
        <w:separator/>
      </w:r>
    </w:p>
  </w:endnote>
  <w:endnote w:type="continuationSeparator" w:id="0">
    <w:p w:rsidR="00DB76D4" w:rsidRDefault="00DB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FrugalSans">
    <w:altName w:val="Times New Roman"/>
    <w:charset w:val="00"/>
    <w:family w:val="auto"/>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AD8" w:rsidRDefault="00581A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581AD8" w:rsidRDefault="00581A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AD8" w:rsidRDefault="00581A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3BBD">
      <w:rPr>
        <w:rStyle w:val="PageNumber"/>
        <w:noProof/>
      </w:rPr>
      <w:t>3</w:t>
    </w:r>
    <w:r>
      <w:rPr>
        <w:rStyle w:val="PageNumber"/>
      </w:rPr>
      <w:fldChar w:fldCharType="end"/>
    </w:r>
  </w:p>
  <w:p w:rsidR="00581AD8" w:rsidRDefault="00581AD8" w:rsidP="00125004">
    <w:pPr>
      <w:pStyle w:val="Footer"/>
      <w:rPr>
        <w:sz w:val="20"/>
      </w:rPr>
    </w:pPr>
    <w:r>
      <w:rPr>
        <w:sz w:val="20"/>
      </w:rPr>
      <w:t>Annex to ITU</w:t>
    </w:r>
    <w:r w:rsidR="00BA636F">
      <w:rPr>
        <w:sz w:val="20"/>
      </w:rPr>
      <w:t xml:space="preserve"> OB </w:t>
    </w:r>
    <w:r w:rsidR="00411952">
      <w:rPr>
        <w:sz w:val="20"/>
      </w:rPr>
      <w:t>1125</w:t>
    </w:r>
    <w:r>
      <w:rPr>
        <w:sz w:val="20"/>
      </w:rPr>
      <w:t>-E</w:t>
    </w:r>
    <w:r>
      <w:rPr>
        <w:sz w:val="20"/>
      </w:rPr>
      <w:tab/>
      <w:t xml:space="preserve">                                        </w:t>
    </w:r>
    <w:r>
      <w:rPr>
        <w:rStyle w:val="PageNumber"/>
        <w:lang w:val="en-GB"/>
      </w:rPr>
      <w:t>–</w:t>
    </w:r>
    <w:r>
      <w:rPr>
        <w:sz w:val="20"/>
      </w:rPr>
      <w:t xml:space="preserve">         </w:t>
    </w:r>
    <w:r>
      <w:rPr>
        <w:rStyle w:val="PageNumber"/>
        <w:lang w:val="en-GB"/>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6D4" w:rsidRDefault="00DB76D4">
      <w:r>
        <w:separator/>
      </w:r>
    </w:p>
  </w:footnote>
  <w:footnote w:type="continuationSeparator" w:id="0">
    <w:p w:rsidR="00DB76D4" w:rsidRDefault="00DB7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43B70"/>
    <w:multiLevelType w:val="hybridMultilevel"/>
    <w:tmpl w:val="DE923D52"/>
    <w:lvl w:ilvl="0" w:tplc="10FE5038">
      <w:numFmt w:val="bullet"/>
      <w:lvlText w:val="–"/>
      <w:lvlJc w:val="left"/>
      <w:pPr>
        <w:tabs>
          <w:tab w:val="num" w:pos="2835"/>
        </w:tabs>
        <w:ind w:left="2835" w:hanging="570"/>
      </w:pPr>
      <w:rPr>
        <w:rFonts w:ascii="Times New Roman" w:eastAsia="Times New Roman" w:hAnsi="Times New Roman" w:cs="Times New Roman" w:hint="default"/>
      </w:rPr>
    </w:lvl>
    <w:lvl w:ilvl="1" w:tplc="04090003" w:tentative="1">
      <w:start w:val="1"/>
      <w:numFmt w:val="bullet"/>
      <w:lvlText w:val="o"/>
      <w:lvlJc w:val="left"/>
      <w:pPr>
        <w:tabs>
          <w:tab w:val="num" w:pos="3345"/>
        </w:tabs>
        <w:ind w:left="3345" w:hanging="360"/>
      </w:pPr>
      <w:rPr>
        <w:rFonts w:ascii="Courier New" w:hAnsi="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1">
    <w:nsid w:val="3AB87645"/>
    <w:multiLevelType w:val="hybridMultilevel"/>
    <w:tmpl w:val="CE680EF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3320BA"/>
    <w:multiLevelType w:val="hybridMultilevel"/>
    <w:tmpl w:val="C1A8E3A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AF0DAB"/>
    <w:multiLevelType w:val="hybridMultilevel"/>
    <w:tmpl w:val="06BE1A44"/>
    <w:lvl w:ilvl="0" w:tplc="04090001">
      <w:start w:val="1"/>
      <w:numFmt w:val="bullet"/>
      <w:lvlText w:val=""/>
      <w:lvlJc w:val="left"/>
      <w:pPr>
        <w:ind w:left="1851" w:hanging="360"/>
      </w:pPr>
      <w:rPr>
        <w:rFonts w:ascii="Symbol" w:hAnsi="Symbol"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4">
    <w:nsid w:val="717D0F2C"/>
    <w:multiLevelType w:val="hybridMultilevel"/>
    <w:tmpl w:val="3014ED7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5843E7"/>
    <w:multiLevelType w:val="hybridMultilevel"/>
    <w:tmpl w:val="BD9CC3E2"/>
    <w:lvl w:ilvl="0" w:tplc="0EF2D0FC">
      <w:numFmt w:val="bullet"/>
      <w:lvlText w:val="-"/>
      <w:lvlJc w:val="left"/>
      <w:pPr>
        <w:ind w:left="1500" w:hanging="360"/>
      </w:pPr>
      <w:rPr>
        <w:rFonts w:ascii="Helvetica" w:eastAsia="Times New Roman" w:hAnsi="Helvetica"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printFractionalCharacterWidth/>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F0"/>
    <w:rsid w:val="000102A8"/>
    <w:rsid w:val="0002418B"/>
    <w:rsid w:val="0003417E"/>
    <w:rsid w:val="000662FF"/>
    <w:rsid w:val="000740F8"/>
    <w:rsid w:val="00085A55"/>
    <w:rsid w:val="000A6E5C"/>
    <w:rsid w:val="000B55B1"/>
    <w:rsid w:val="000F03EC"/>
    <w:rsid w:val="000F2AC9"/>
    <w:rsid w:val="00112953"/>
    <w:rsid w:val="001232ED"/>
    <w:rsid w:val="00125004"/>
    <w:rsid w:val="00133A10"/>
    <w:rsid w:val="00134CDA"/>
    <w:rsid w:val="0017690C"/>
    <w:rsid w:val="00191FFC"/>
    <w:rsid w:val="001A6B26"/>
    <w:rsid w:val="001B5753"/>
    <w:rsid w:val="001C7789"/>
    <w:rsid w:val="001D0671"/>
    <w:rsid w:val="001F3CD9"/>
    <w:rsid w:val="00203FB1"/>
    <w:rsid w:val="00246C07"/>
    <w:rsid w:val="00272CC5"/>
    <w:rsid w:val="00295B01"/>
    <w:rsid w:val="002E53E2"/>
    <w:rsid w:val="00304ADA"/>
    <w:rsid w:val="00323E16"/>
    <w:rsid w:val="003245E5"/>
    <w:rsid w:val="003411B8"/>
    <w:rsid w:val="003435E7"/>
    <w:rsid w:val="0035592F"/>
    <w:rsid w:val="00362406"/>
    <w:rsid w:val="003658E5"/>
    <w:rsid w:val="003D3D59"/>
    <w:rsid w:val="003E6410"/>
    <w:rsid w:val="00404248"/>
    <w:rsid w:val="00411952"/>
    <w:rsid w:val="004151AC"/>
    <w:rsid w:val="00456595"/>
    <w:rsid w:val="00456D1F"/>
    <w:rsid w:val="00476069"/>
    <w:rsid w:val="004D4C31"/>
    <w:rsid w:val="004E52F7"/>
    <w:rsid w:val="004F30F0"/>
    <w:rsid w:val="0051132A"/>
    <w:rsid w:val="00520DF5"/>
    <w:rsid w:val="005333AC"/>
    <w:rsid w:val="00536E98"/>
    <w:rsid w:val="005430AA"/>
    <w:rsid w:val="0056271B"/>
    <w:rsid w:val="00571233"/>
    <w:rsid w:val="00581AD8"/>
    <w:rsid w:val="0059067B"/>
    <w:rsid w:val="0059229B"/>
    <w:rsid w:val="005933D0"/>
    <w:rsid w:val="005C13F0"/>
    <w:rsid w:val="005C46F7"/>
    <w:rsid w:val="005D3B5E"/>
    <w:rsid w:val="005E4528"/>
    <w:rsid w:val="006079E4"/>
    <w:rsid w:val="00625B7B"/>
    <w:rsid w:val="00656F66"/>
    <w:rsid w:val="006575BE"/>
    <w:rsid w:val="00684A96"/>
    <w:rsid w:val="00693107"/>
    <w:rsid w:val="006C5786"/>
    <w:rsid w:val="006C6681"/>
    <w:rsid w:val="00703F8E"/>
    <w:rsid w:val="007A21C8"/>
    <w:rsid w:val="007D39D9"/>
    <w:rsid w:val="007E0858"/>
    <w:rsid w:val="007F4396"/>
    <w:rsid w:val="007F6394"/>
    <w:rsid w:val="00800D39"/>
    <w:rsid w:val="00806025"/>
    <w:rsid w:val="00834FD7"/>
    <w:rsid w:val="00847E97"/>
    <w:rsid w:val="00854A39"/>
    <w:rsid w:val="00872823"/>
    <w:rsid w:val="00894C4D"/>
    <w:rsid w:val="008B37CA"/>
    <w:rsid w:val="008C027B"/>
    <w:rsid w:val="008D5E03"/>
    <w:rsid w:val="008D7900"/>
    <w:rsid w:val="008E15E2"/>
    <w:rsid w:val="00912F2F"/>
    <w:rsid w:val="00927DD4"/>
    <w:rsid w:val="0097678D"/>
    <w:rsid w:val="00976A7A"/>
    <w:rsid w:val="00984388"/>
    <w:rsid w:val="009A5BDB"/>
    <w:rsid w:val="009C7CB3"/>
    <w:rsid w:val="009D00F4"/>
    <w:rsid w:val="009E54AA"/>
    <w:rsid w:val="009E7366"/>
    <w:rsid w:val="009F1C23"/>
    <w:rsid w:val="00A00441"/>
    <w:rsid w:val="00A15D2E"/>
    <w:rsid w:val="00A26BAC"/>
    <w:rsid w:val="00A40357"/>
    <w:rsid w:val="00A630BD"/>
    <w:rsid w:val="00A6334E"/>
    <w:rsid w:val="00A658F7"/>
    <w:rsid w:val="00A6649B"/>
    <w:rsid w:val="00A70298"/>
    <w:rsid w:val="00A74A06"/>
    <w:rsid w:val="00A87204"/>
    <w:rsid w:val="00A92961"/>
    <w:rsid w:val="00AA06DC"/>
    <w:rsid w:val="00AC189C"/>
    <w:rsid w:val="00B15F1A"/>
    <w:rsid w:val="00B23BBD"/>
    <w:rsid w:val="00B53C52"/>
    <w:rsid w:val="00B61923"/>
    <w:rsid w:val="00B62B5B"/>
    <w:rsid w:val="00B92593"/>
    <w:rsid w:val="00BA636F"/>
    <w:rsid w:val="00BB3D4E"/>
    <w:rsid w:val="00BF562C"/>
    <w:rsid w:val="00C000C7"/>
    <w:rsid w:val="00C05BAE"/>
    <w:rsid w:val="00C2706E"/>
    <w:rsid w:val="00C41E0D"/>
    <w:rsid w:val="00C41F12"/>
    <w:rsid w:val="00C468D8"/>
    <w:rsid w:val="00C84868"/>
    <w:rsid w:val="00CA47B3"/>
    <w:rsid w:val="00CA486F"/>
    <w:rsid w:val="00CC5771"/>
    <w:rsid w:val="00CC67DB"/>
    <w:rsid w:val="00CE69F4"/>
    <w:rsid w:val="00CF387C"/>
    <w:rsid w:val="00D30678"/>
    <w:rsid w:val="00D3141F"/>
    <w:rsid w:val="00D454FA"/>
    <w:rsid w:val="00D47FB4"/>
    <w:rsid w:val="00D55FDF"/>
    <w:rsid w:val="00DA0AC8"/>
    <w:rsid w:val="00DB04F1"/>
    <w:rsid w:val="00DB76D4"/>
    <w:rsid w:val="00DD4416"/>
    <w:rsid w:val="00DE7A9A"/>
    <w:rsid w:val="00E12ED0"/>
    <w:rsid w:val="00E505D6"/>
    <w:rsid w:val="00E62900"/>
    <w:rsid w:val="00E65AF4"/>
    <w:rsid w:val="00EC1C1A"/>
    <w:rsid w:val="00EC753E"/>
    <w:rsid w:val="00ED2E5A"/>
    <w:rsid w:val="00F360C2"/>
    <w:rsid w:val="00F602B5"/>
    <w:rsid w:val="00F64210"/>
    <w:rsid w:val="00F86976"/>
    <w:rsid w:val="00F95CDC"/>
    <w:rsid w:val="00FA2E48"/>
    <w:rsid w:val="00FA4BF7"/>
    <w:rsid w:val="00FB7551"/>
    <w:rsid w:val="00FE30A6"/>
    <w:rsid w:val="00FF41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A26F1D3B-AFED-48DD-8530-BB4158CF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pPr>
      <w:spacing w:before="240"/>
      <w:outlineLvl w:val="0"/>
    </w:pPr>
    <w:rPr>
      <w:rFonts w:ascii="Times New Roman" w:hAnsi="Times New Roman"/>
      <w:b/>
      <w:sz w:val="28"/>
      <w:u w:val="single"/>
    </w:rPr>
  </w:style>
  <w:style w:type="paragraph" w:styleId="Heading2">
    <w:name w:val="heading 2"/>
    <w:basedOn w:val="Normal"/>
    <w:next w:val="Normal"/>
    <w:qFormat/>
    <w:pPr>
      <w:spacing w:before="120"/>
      <w:outlineLvl w:val="1"/>
    </w:pPr>
    <w:rPr>
      <w:rFonts w:ascii="Times New Roman" w:hAnsi="Times New Roman"/>
      <w:b/>
      <w:sz w:val="24"/>
    </w:rPr>
  </w:style>
  <w:style w:type="paragraph" w:styleId="Heading3">
    <w:name w:val="heading 3"/>
    <w:basedOn w:val="Normal"/>
    <w:next w:val="NormalIndent"/>
    <w:qFormat/>
    <w:pPr>
      <w:ind w:left="283"/>
      <w:outlineLvl w:val="2"/>
    </w:pPr>
    <w:rPr>
      <w:rFonts w:ascii="Times New Roman" w:hAnsi="Times New Roman"/>
      <w:b/>
      <w:sz w:val="24"/>
    </w:rPr>
  </w:style>
  <w:style w:type="paragraph" w:styleId="Heading4">
    <w:name w:val="heading 4"/>
    <w:basedOn w:val="Normal"/>
    <w:next w:val="Normal"/>
    <w:qFormat/>
    <w:pPr>
      <w:keepNext/>
      <w:outlineLvl w:val="3"/>
    </w:pPr>
    <w:rPr>
      <w:i/>
      <w:iCs/>
      <w:sz w:val="20"/>
    </w:rPr>
  </w:style>
  <w:style w:type="paragraph" w:styleId="Heading5">
    <w:name w:val="heading 5"/>
    <w:basedOn w:val="Normal"/>
    <w:next w:val="Normal"/>
    <w:link w:val="Heading5Char"/>
    <w:qFormat/>
    <w:rsid w:val="008C027B"/>
    <w:pPr>
      <w:tabs>
        <w:tab w:val="left" w:pos="567"/>
        <w:tab w:val="left" w:pos="1276"/>
        <w:tab w:val="left" w:pos="1843"/>
        <w:tab w:val="left" w:pos="5387"/>
        <w:tab w:val="left" w:pos="5954"/>
      </w:tabs>
      <w:spacing w:before="240" w:after="60"/>
      <w:jc w:val="both"/>
      <w:outlineLvl w:val="4"/>
    </w:pPr>
    <w:rPr>
      <w:rFonts w:ascii="Calibri" w:hAnsi="Calibri"/>
      <w:b/>
      <w:bCs/>
      <w:i/>
      <w:i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character" w:customStyle="1" w:styleId="Heading5Char">
    <w:name w:val="Heading 5 Char"/>
    <w:link w:val="Heading5"/>
    <w:rsid w:val="008C027B"/>
    <w:rPr>
      <w:rFonts w:ascii="Calibri" w:hAnsi="Calibri"/>
      <w:b/>
      <w:bCs/>
      <w:i/>
      <w:iCs/>
      <w:sz w:val="26"/>
      <w:szCs w:val="26"/>
      <w:lang w:val="en-GB" w:eastAsia="en-U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styleId="Title">
    <w:name w:val="Title"/>
    <w:basedOn w:val="Normal"/>
    <w:qFormat/>
    <w:pPr>
      <w:widowControl w:val="0"/>
      <w:tabs>
        <w:tab w:val="center" w:pos="4819"/>
      </w:tabs>
      <w:overflowPunct/>
      <w:jc w:val="center"/>
      <w:textAlignment w:val="auto"/>
    </w:pPr>
    <w:rPr>
      <w:rFonts w:cs="Arial"/>
      <w:b/>
      <w:bCs/>
      <w:color w:val="000000"/>
      <w:sz w:val="24"/>
      <w:szCs w:val="24"/>
    </w:rPr>
  </w:style>
  <w:style w:type="paragraph" w:styleId="Subtitle">
    <w:name w:val="Subtitle"/>
    <w:basedOn w:val="Normal"/>
    <w:qFormat/>
    <w:pPr>
      <w:widowControl w:val="0"/>
      <w:jc w:val="center"/>
    </w:pPr>
    <w:rPr>
      <w:rFonts w:cs="Arial"/>
      <w:b/>
      <w:bCs/>
      <w:color w:val="000000"/>
    </w:rPr>
  </w:style>
  <w:style w:type="character" w:styleId="FollowedHyperlink">
    <w:name w:val="FollowedHyperlink"/>
    <w:rPr>
      <w:color w:val="800080"/>
      <w:u w:val="single"/>
    </w:rPr>
  </w:style>
  <w:style w:type="paragraph" w:customStyle="1" w:styleId="Footnotesepar">
    <w:name w:val="Footnote separ"/>
    <w:basedOn w:val="FootnoteText"/>
    <w:link w:val="FootnoteseparChar"/>
    <w:rsid w:val="008C027B"/>
    <w:pPr>
      <w:tabs>
        <w:tab w:val="clear" w:pos="567"/>
        <w:tab w:val="clear" w:pos="5387"/>
        <w:tab w:val="clear" w:pos="5954"/>
        <w:tab w:val="left" w:pos="284"/>
      </w:tabs>
      <w:spacing w:before="136"/>
    </w:pPr>
    <w:rPr>
      <w:position w:val="6"/>
      <w:sz w:val="16"/>
      <w:szCs w:val="16"/>
    </w:rPr>
  </w:style>
  <w:style w:type="paragraph" w:styleId="FootnoteText">
    <w:name w:val="footnote text"/>
    <w:basedOn w:val="Normal"/>
    <w:link w:val="FootnoteTextChar"/>
    <w:rsid w:val="008C027B"/>
    <w:pPr>
      <w:tabs>
        <w:tab w:val="left" w:pos="567"/>
        <w:tab w:val="left" w:pos="1276"/>
        <w:tab w:val="left" w:pos="1843"/>
        <w:tab w:val="left" w:pos="5387"/>
        <w:tab w:val="left" w:pos="5954"/>
      </w:tabs>
      <w:spacing w:before="120"/>
      <w:jc w:val="both"/>
    </w:pPr>
    <w:rPr>
      <w:rFonts w:ascii="Calibri" w:hAnsi="Calibri"/>
      <w:sz w:val="20"/>
      <w:lang w:val="en-GB"/>
    </w:rPr>
  </w:style>
  <w:style w:type="character" w:customStyle="1" w:styleId="FootnoteTextChar">
    <w:name w:val="Footnote Text Char"/>
    <w:link w:val="FootnoteText"/>
    <w:rsid w:val="008C027B"/>
    <w:rPr>
      <w:rFonts w:ascii="Calibri" w:hAnsi="Calibri"/>
      <w:lang w:val="en-GB" w:eastAsia="en-US"/>
    </w:rPr>
  </w:style>
  <w:style w:type="character" w:customStyle="1" w:styleId="FootnoteseparChar">
    <w:name w:val="Footnote separ Char"/>
    <w:link w:val="Footnotesepar"/>
    <w:rsid w:val="008C027B"/>
    <w:rPr>
      <w:rFonts w:ascii="Calibri" w:hAnsi="Calibri"/>
      <w:position w:val="6"/>
      <w:sz w:val="16"/>
      <w:szCs w:val="16"/>
      <w:lang w:val="en-GB" w:eastAsia="en-US"/>
    </w:rPr>
  </w:style>
  <w:style w:type="paragraph" w:customStyle="1" w:styleId="Tabletext">
    <w:name w:val="Table_text"/>
    <w:basedOn w:val="Normal"/>
    <w:link w:val="TabletextChar"/>
    <w:rsid w:val="008C027B"/>
    <w:pPr>
      <w:tabs>
        <w:tab w:val="left" w:pos="1276"/>
        <w:tab w:val="left" w:pos="1843"/>
      </w:tabs>
      <w:spacing w:before="40" w:after="40"/>
    </w:pPr>
    <w:rPr>
      <w:rFonts w:ascii="Calibri" w:hAnsi="Calibri"/>
      <w:b/>
      <w:sz w:val="18"/>
      <w:szCs w:val="22"/>
      <w:lang w:val="fr-FR"/>
    </w:rPr>
  </w:style>
  <w:style w:type="character" w:customStyle="1" w:styleId="TabletextChar">
    <w:name w:val="Table_text Char"/>
    <w:link w:val="Tabletext"/>
    <w:rsid w:val="008C027B"/>
    <w:rPr>
      <w:rFonts w:ascii="Calibri" w:hAnsi="Calibri"/>
      <w:b/>
      <w:sz w:val="18"/>
      <w:szCs w:val="22"/>
      <w:lang w:val="fr-FR" w:eastAsia="en-US"/>
    </w:rPr>
  </w:style>
  <w:style w:type="paragraph" w:customStyle="1" w:styleId="Tablehead">
    <w:name w:val="Table_head"/>
    <w:basedOn w:val="Normal"/>
    <w:next w:val="Normal"/>
    <w:rsid w:val="008C027B"/>
    <w:pPr>
      <w:keepNext/>
      <w:tabs>
        <w:tab w:val="left" w:pos="1276"/>
        <w:tab w:val="left" w:pos="1843"/>
      </w:tabs>
      <w:spacing w:before="80" w:after="80"/>
      <w:jc w:val="center"/>
    </w:pPr>
    <w:rPr>
      <w:rFonts w:ascii="Calibri" w:hAnsi="Calibri"/>
      <w:b/>
      <w:bCs/>
      <w:i/>
      <w:sz w:val="18"/>
      <w:szCs w:val="22"/>
      <w:lang w:val="fr-FR"/>
    </w:rPr>
  </w:style>
  <w:style w:type="paragraph" w:customStyle="1" w:styleId="StyleHeading2Before0pt">
    <w:name w:val="Style Heading 2 + Before:  0 pt"/>
    <w:aliases w:val="Pattern: Clear (Pale Blue) + White"/>
    <w:basedOn w:val="Normal"/>
    <w:rsid w:val="008C027B"/>
    <w:pPr>
      <w:keepNext/>
      <w:shd w:val="clear" w:color="auto" w:fill="D9D9D9"/>
      <w:tabs>
        <w:tab w:val="left" w:pos="567"/>
        <w:tab w:val="left" w:pos="1276"/>
        <w:tab w:val="left" w:pos="1843"/>
        <w:tab w:val="left" w:pos="5387"/>
        <w:tab w:val="left" w:pos="5954"/>
      </w:tabs>
      <w:spacing w:after="60"/>
      <w:jc w:val="center"/>
      <w:outlineLvl w:val="1"/>
    </w:pPr>
    <w:rPr>
      <w:rFonts w:cs="Arial"/>
      <w:b/>
      <w:bCs/>
      <w:color w:val="FFFFFF"/>
      <w:sz w:val="28"/>
      <w:szCs w:val="28"/>
      <w:lang w:val="fr-FR"/>
    </w:rPr>
  </w:style>
  <w:style w:type="paragraph" w:customStyle="1" w:styleId="Normalaftertitle">
    <w:name w:val="Normal_after_title"/>
    <w:link w:val="NormalaftertitleChar"/>
    <w:rsid w:val="008C027B"/>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hAnsi="Calibri"/>
      <w:b/>
      <w:lang w:val="en-GB" w:eastAsia="en-US"/>
    </w:rPr>
  </w:style>
  <w:style w:type="character" w:customStyle="1" w:styleId="NormalaftertitleChar">
    <w:name w:val="Normal_after_title Char"/>
    <w:link w:val="Normalaftertitle"/>
    <w:rsid w:val="008C027B"/>
    <w:rPr>
      <w:rFonts w:ascii="Calibri" w:hAnsi="Calibri"/>
      <w:b/>
      <w:lang w:val="en-GB" w:eastAsia="en-US" w:bidi="ar-SA"/>
    </w:rPr>
  </w:style>
  <w:style w:type="paragraph" w:customStyle="1" w:styleId="Tablehead0">
    <w:name w:val="Table head"/>
    <w:basedOn w:val="Tablehead"/>
    <w:rsid w:val="008C027B"/>
    <w:pPr>
      <w:spacing w:before="60" w:after="60"/>
    </w:pPr>
    <w:rPr>
      <w:b w:val="0"/>
      <w:bCs w:val="0"/>
      <w:szCs w:val="20"/>
    </w:rPr>
  </w:style>
  <w:style w:type="paragraph" w:customStyle="1" w:styleId="StyleTabletextLeft">
    <w:name w:val="Style Table text + Left"/>
    <w:basedOn w:val="Normal"/>
    <w:rsid w:val="008C027B"/>
    <w:pPr>
      <w:tabs>
        <w:tab w:val="right" w:pos="454"/>
      </w:tabs>
      <w:spacing w:before="40" w:after="40"/>
    </w:pPr>
    <w:rPr>
      <w:rFonts w:ascii="Calibri" w:hAnsi="Calibri"/>
      <w:bCs/>
      <w:sz w:val="18"/>
      <w:szCs w:val="22"/>
      <w:lang w:val="fr-FR"/>
    </w:rPr>
  </w:style>
  <w:style w:type="paragraph" w:customStyle="1" w:styleId="Heading20">
    <w:name w:val="Heading_2"/>
    <w:basedOn w:val="StyleHeading2Before0pt"/>
    <w:rsid w:val="008C027B"/>
    <w:pPr>
      <w:spacing w:before="360"/>
    </w:pPr>
    <w:rPr>
      <w:color w:val="auto"/>
      <w:sz w:val="26"/>
    </w:rPr>
  </w:style>
  <w:style w:type="paragraph" w:customStyle="1" w:styleId="Heading7">
    <w:name w:val="Heading_7"/>
    <w:basedOn w:val="Normalaftertitle"/>
    <w:rsid w:val="008C027B"/>
    <w:pPr>
      <w:jc w:val="center"/>
    </w:pPr>
  </w:style>
  <w:style w:type="table" w:styleId="TableGrid">
    <w:name w:val="Table Grid"/>
    <w:basedOn w:val="TableNormal"/>
    <w:rsid w:val="00FA2E48"/>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CD9"/>
    <w:pPr>
      <w:ind w:left="720"/>
      <w:contextualSpacing/>
    </w:pPr>
  </w:style>
  <w:style w:type="paragraph" w:styleId="BalloonText">
    <w:name w:val="Balloon Text"/>
    <w:basedOn w:val="Normal"/>
    <w:link w:val="BalloonTextChar"/>
    <w:rsid w:val="00BA636F"/>
    <w:rPr>
      <w:rFonts w:ascii="Segoe UI" w:hAnsi="Segoe UI" w:cs="Segoe UI"/>
      <w:sz w:val="18"/>
      <w:szCs w:val="18"/>
    </w:rPr>
  </w:style>
  <w:style w:type="character" w:customStyle="1" w:styleId="BalloonTextChar">
    <w:name w:val="Balloon Text Char"/>
    <w:basedOn w:val="DefaultParagraphFont"/>
    <w:link w:val="BalloonText"/>
    <w:rsid w:val="00BA636F"/>
    <w:rPr>
      <w:rFonts w:ascii="Segoe UI" w:hAnsi="Segoe UI" w:cs="Segoe UI"/>
      <w:sz w:val="18"/>
      <w:szCs w:val="18"/>
      <w:lang w:eastAsia="en-US"/>
    </w:rPr>
  </w:style>
  <w:style w:type="numbering" w:customStyle="1" w:styleId="NoList1">
    <w:name w:val="No List1"/>
    <w:next w:val="NoList"/>
    <w:uiPriority w:val="99"/>
    <w:semiHidden/>
    <w:unhideWhenUsed/>
    <w:rsid w:val="00DA0AC8"/>
  </w:style>
  <w:style w:type="numbering" w:customStyle="1" w:styleId="NoList2">
    <w:name w:val="No List2"/>
    <w:next w:val="NoList"/>
    <w:uiPriority w:val="99"/>
    <w:semiHidden/>
    <w:unhideWhenUsed/>
    <w:rsid w:val="00ED2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5013">
      <w:bodyDiv w:val="1"/>
      <w:marLeft w:val="0"/>
      <w:marRight w:val="0"/>
      <w:marTop w:val="0"/>
      <w:marBottom w:val="0"/>
      <w:divBdr>
        <w:top w:val="none" w:sz="0" w:space="0" w:color="auto"/>
        <w:left w:val="none" w:sz="0" w:space="0" w:color="auto"/>
        <w:bottom w:val="none" w:sz="0" w:space="0" w:color="auto"/>
        <w:right w:val="none" w:sz="0" w:space="0" w:color="auto"/>
      </w:divBdr>
    </w:div>
    <w:div w:id="779380195">
      <w:bodyDiv w:val="1"/>
      <w:marLeft w:val="0"/>
      <w:marRight w:val="0"/>
      <w:marTop w:val="0"/>
      <w:marBottom w:val="0"/>
      <w:divBdr>
        <w:top w:val="none" w:sz="0" w:space="0" w:color="auto"/>
        <w:left w:val="none" w:sz="0" w:space="0" w:color="auto"/>
        <w:bottom w:val="none" w:sz="0" w:space="0" w:color="auto"/>
        <w:right w:val="none" w:sz="0" w:space="0" w:color="auto"/>
      </w:divBdr>
    </w:div>
    <w:div w:id="177367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tsbmail@itu.int" TargetMode="External"/><Relationship Id="rId4" Type="http://schemas.openxmlformats.org/officeDocument/2006/relationships/settings" Target="settings.xml"/><Relationship Id="rId9" Type="http://schemas.openxmlformats.org/officeDocument/2006/relationships/hyperlink" Target="http://www.itu.int/ITU-T/bulletin/ann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A022B-BD27-46FD-8765-14CE728F0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9491</Words>
  <Characters>54099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63464</CharactersWithSpaces>
  <SharedDoc>false</SharedDoc>
  <HLinks>
    <vt:vector size="12" baseType="variant">
      <vt:variant>
        <vt:i4>7864393</vt:i4>
      </vt:variant>
      <vt:variant>
        <vt:i4>3</vt:i4>
      </vt:variant>
      <vt:variant>
        <vt:i4>0</vt:i4>
      </vt:variant>
      <vt:variant>
        <vt:i4>5</vt:i4>
      </vt:variant>
      <vt:variant>
        <vt:lpwstr>mailto:tsbmail@itu.int</vt:lpwstr>
      </vt:variant>
      <vt:variant>
        <vt:lpwstr/>
      </vt:variant>
      <vt:variant>
        <vt:i4>5374028</vt:i4>
      </vt:variant>
      <vt:variant>
        <vt:i4>0</vt:i4>
      </vt:variant>
      <vt:variant>
        <vt:i4>0</vt:i4>
      </vt:variant>
      <vt:variant>
        <vt:i4>5</vt:i4>
      </vt:variant>
      <vt:variant>
        <vt:lpwstr>http://www.itu.int/ITU-T/bulletin/annex.html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Ranaivojoelina, Tiana</cp:lastModifiedBy>
  <cp:revision>5</cp:revision>
  <cp:lastPrinted>2017-02-08T14:22:00Z</cp:lastPrinted>
  <dcterms:created xsi:type="dcterms:W3CDTF">2017-05-17T14:47:00Z</dcterms:created>
  <dcterms:modified xsi:type="dcterms:W3CDTF">2017-05-17T16:45:00Z</dcterms:modified>
</cp:coreProperties>
</file>