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514" w:rsidRDefault="004B6514">
      <w:pPr>
        <w:jc w:val="center"/>
        <w:rPr>
          <w:i/>
          <w:sz w:val="20"/>
          <w:lang w:val="fr-FR"/>
        </w:rPr>
      </w:pPr>
      <w:r>
        <w:rPr>
          <w:i/>
          <w:sz w:val="20"/>
          <w:lang w:val="fr-FR"/>
        </w:rPr>
        <w:t>Annexe au Bulletin d'exploitation de l'UIT</w:t>
      </w:r>
    </w:p>
    <w:p w:rsidR="004B6514" w:rsidRPr="001561D2" w:rsidRDefault="001561D2" w:rsidP="005531E8">
      <w:pPr>
        <w:jc w:val="center"/>
        <w:rPr>
          <w:i/>
          <w:iCs/>
          <w:lang w:val="fr-FR"/>
        </w:rPr>
      </w:pPr>
      <w:r w:rsidRPr="001561D2">
        <w:rPr>
          <w:rFonts w:cs="Arial"/>
          <w:i/>
          <w:iCs/>
          <w:sz w:val="20"/>
          <w:lang w:val="fr-FR"/>
        </w:rPr>
        <w:t>N</w:t>
      </w:r>
      <w:r w:rsidRPr="001561D2">
        <w:rPr>
          <w:rFonts w:cs="Arial"/>
          <w:i/>
          <w:iCs/>
          <w:sz w:val="20"/>
          <w:vertAlign w:val="superscript"/>
          <w:lang w:val="fr-FR"/>
        </w:rPr>
        <w:t>o</w:t>
      </w:r>
      <w:r w:rsidR="00CB6DB1" w:rsidRPr="001561D2">
        <w:rPr>
          <w:i/>
          <w:iCs/>
          <w:sz w:val="20"/>
          <w:lang w:val="fr-FR"/>
        </w:rPr>
        <w:t xml:space="preserve"> </w:t>
      </w:r>
      <w:r w:rsidR="005531E8" w:rsidRPr="001561D2">
        <w:rPr>
          <w:i/>
          <w:iCs/>
          <w:sz w:val="20"/>
          <w:lang w:val="fr-FR"/>
        </w:rPr>
        <w:t>1125</w:t>
      </w:r>
      <w:r w:rsidR="00824A6B" w:rsidRPr="001561D2">
        <w:rPr>
          <w:i/>
          <w:iCs/>
          <w:sz w:val="20"/>
          <w:lang w:val="fr-FR"/>
        </w:rPr>
        <w:t xml:space="preserve"> – 1.</w:t>
      </w:r>
      <w:r w:rsidR="005531E8" w:rsidRPr="001561D2">
        <w:rPr>
          <w:i/>
          <w:iCs/>
          <w:sz w:val="20"/>
          <w:lang w:val="fr-FR"/>
        </w:rPr>
        <w:t>V</w:t>
      </w:r>
      <w:r w:rsidR="00BA05F2" w:rsidRPr="001561D2">
        <w:rPr>
          <w:i/>
          <w:iCs/>
          <w:sz w:val="20"/>
          <w:lang w:val="fr-FR"/>
        </w:rPr>
        <w:t>I</w:t>
      </w:r>
      <w:r w:rsidR="004B6514" w:rsidRPr="001561D2">
        <w:rPr>
          <w:i/>
          <w:iCs/>
          <w:sz w:val="20"/>
          <w:lang w:val="fr-FR"/>
        </w:rPr>
        <w:t>.20</w:t>
      </w:r>
      <w:r w:rsidR="00107D54" w:rsidRPr="001561D2">
        <w:rPr>
          <w:i/>
          <w:iCs/>
          <w:sz w:val="20"/>
          <w:lang w:val="fr-FR"/>
        </w:rPr>
        <w:t>1</w:t>
      </w:r>
      <w:r w:rsidRPr="001561D2">
        <w:rPr>
          <w:i/>
          <w:iCs/>
          <w:sz w:val="20"/>
          <w:lang w:val="fr-FR"/>
        </w:rPr>
        <w:t>7</w:t>
      </w:r>
    </w:p>
    <w:p w:rsidR="004B6514" w:rsidRPr="001561D2" w:rsidRDefault="004B6514">
      <w:pPr>
        <w:rPr>
          <w:i/>
          <w:iCs/>
          <w:lang w:val="fr-FR"/>
        </w:rPr>
      </w:pPr>
    </w:p>
    <w:p w:rsidR="004B6514" w:rsidRDefault="004B6514">
      <w:pPr>
        <w:rPr>
          <w:lang w:val="fr-FR"/>
        </w:rPr>
      </w:pPr>
    </w:p>
    <w:tbl>
      <w:tblPr>
        <w:tblW w:w="0" w:type="auto"/>
        <w:tblLayout w:type="fixed"/>
        <w:tblLook w:val="0000" w:firstRow="0" w:lastRow="0" w:firstColumn="0" w:lastColumn="0" w:noHBand="0" w:noVBand="0"/>
      </w:tblPr>
      <w:tblGrid>
        <w:gridCol w:w="1384"/>
        <w:gridCol w:w="8165"/>
      </w:tblGrid>
      <w:tr w:rsidR="004B6514">
        <w:trPr>
          <w:cantSplit/>
        </w:trPr>
        <w:tc>
          <w:tcPr>
            <w:tcW w:w="1384" w:type="dxa"/>
          </w:tcPr>
          <w:p w:rsidR="004B6514" w:rsidRDefault="00DD170A">
            <w:pPr>
              <w:pStyle w:val="ITUheader"/>
              <w:spacing w:before="0"/>
              <w:rPr>
                <w:lang w:val="fr-FR"/>
              </w:rPr>
            </w:pPr>
            <w:r>
              <w:rPr>
                <w:rFonts w:ascii="FrugalSans" w:hAnsi="FrugalSans"/>
                <w:iCs/>
                <w:noProof/>
                <w:lang w:eastAsia="zh-CN"/>
              </w:rPr>
              <w:drawing>
                <wp:inline distT="0" distB="0" distL="0" distR="0">
                  <wp:extent cx="588010" cy="662940"/>
                  <wp:effectExtent l="0" t="0" r="2540" b="381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010" cy="662940"/>
                          </a:xfrm>
                          <a:prstGeom prst="rect">
                            <a:avLst/>
                          </a:prstGeom>
                          <a:noFill/>
                          <a:ln>
                            <a:noFill/>
                          </a:ln>
                        </pic:spPr>
                      </pic:pic>
                    </a:graphicData>
                  </a:graphic>
                </wp:inline>
              </w:drawing>
            </w:r>
          </w:p>
        </w:tc>
        <w:tc>
          <w:tcPr>
            <w:tcW w:w="8165" w:type="dxa"/>
          </w:tcPr>
          <w:p w:rsidR="004B6514" w:rsidRDefault="004B6514">
            <w:pPr>
              <w:pStyle w:val="ITUheader"/>
              <w:rPr>
                <w:sz w:val="18"/>
                <w:lang w:val="fr-FR"/>
              </w:rPr>
            </w:pPr>
            <w:r>
              <w:rPr>
                <w:lang w:val="fr-FR"/>
              </w:rPr>
              <w:t>UNION  INTERNATIONALE  DES  TÉLÉCOMMUNICATIONS</w:t>
            </w:r>
          </w:p>
        </w:tc>
      </w:tr>
    </w:tbl>
    <w:p w:rsidR="004B6514" w:rsidRDefault="004B6514">
      <w:pPr>
        <w:rPr>
          <w:lang w:val="fr-FR"/>
        </w:rPr>
      </w:pPr>
    </w:p>
    <w:p w:rsidR="004B6514" w:rsidRDefault="004B6514">
      <w:pPr>
        <w:ind w:left="567"/>
        <w:rPr>
          <w:lang w:val="fr-FR"/>
        </w:rPr>
      </w:pPr>
    </w:p>
    <w:p w:rsidR="004B6514" w:rsidRDefault="004B6514">
      <w:pPr>
        <w:ind w:left="567"/>
        <w:rPr>
          <w:lang w:val="fr-FR"/>
        </w:rPr>
      </w:pPr>
    </w:p>
    <w:p w:rsidR="004B6514" w:rsidRDefault="004B6514">
      <w:pPr>
        <w:ind w:left="567"/>
        <w:rPr>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r>
        <w:rPr>
          <w:b/>
          <w:sz w:val="40"/>
          <w:lang w:val="fr-FR"/>
        </w:rPr>
        <w:t>UIT-T</w:t>
      </w:r>
    </w:p>
    <w:p w:rsidR="004B6514" w:rsidRDefault="004B6514">
      <w:pPr>
        <w:ind w:left="567"/>
        <w:rPr>
          <w:b/>
          <w:sz w:val="28"/>
          <w:lang w:val="fr-FR"/>
        </w:rPr>
      </w:pPr>
      <w:r>
        <w:rPr>
          <w:b/>
          <w:sz w:val="28"/>
          <w:lang w:val="fr-FR"/>
        </w:rPr>
        <w:t>SECTEUR DE LA NORMALISATION</w:t>
      </w:r>
    </w:p>
    <w:p w:rsidR="004B6514" w:rsidRDefault="004B6514">
      <w:pPr>
        <w:ind w:left="567"/>
        <w:rPr>
          <w:b/>
          <w:sz w:val="28"/>
          <w:lang w:val="fr-FR"/>
        </w:rPr>
      </w:pPr>
      <w:r>
        <w:rPr>
          <w:b/>
          <w:sz w:val="28"/>
          <w:lang w:val="fr-FR"/>
        </w:rPr>
        <w:t>DES TÉLÉCOMMUNICATIONS</w:t>
      </w:r>
    </w:p>
    <w:p w:rsidR="004B6514" w:rsidRDefault="004B6514">
      <w:pPr>
        <w:ind w:left="567"/>
        <w:rPr>
          <w:b/>
          <w:sz w:val="24"/>
          <w:lang w:val="fr-FR"/>
        </w:rPr>
      </w:pPr>
      <w:r>
        <w:rPr>
          <w:b/>
          <w:sz w:val="28"/>
          <w:lang w:val="fr-FR"/>
        </w:rPr>
        <w:t>DE L'UIT</w:t>
      </w: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r>
        <w:rPr>
          <w:b/>
          <w:sz w:val="24"/>
          <w:lang w:val="fr-FR"/>
        </w:rPr>
        <w:t>COMPLÉMENT À LA RECOMMANDATION UIT-T Q.708 (03/99)</w:t>
      </w:r>
    </w:p>
    <w:p w:rsidR="004B6514" w:rsidRDefault="004B6514">
      <w:pPr>
        <w:ind w:left="567"/>
        <w:rPr>
          <w:b/>
          <w:sz w:val="24"/>
          <w:lang w:val="fr-FR"/>
        </w:rPr>
      </w:pPr>
    </w:p>
    <w:p w:rsidR="004B6514" w:rsidRDefault="004B6514">
      <w:pPr>
        <w:ind w:left="567"/>
        <w:rPr>
          <w:b/>
          <w:sz w:val="24"/>
          <w:lang w:val="fr-FR"/>
        </w:rPr>
      </w:pPr>
      <w:r>
        <w:rPr>
          <w:b/>
          <w:sz w:val="24"/>
          <w:lang w:val="fr-FR"/>
        </w:rPr>
        <w:t>___________________________________________________________________</w:t>
      </w: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40"/>
          <w:lang w:val="fr-FR"/>
        </w:rPr>
      </w:pPr>
      <w:r>
        <w:rPr>
          <w:b/>
          <w:sz w:val="40"/>
          <w:lang w:val="fr-FR"/>
        </w:rPr>
        <w:t>LISTE DES CODES DE ZONE/RÉSEAU SÉMAPHORE (SANC)</w:t>
      </w:r>
    </w:p>
    <w:p w:rsidR="004B6514" w:rsidRDefault="004B6514">
      <w:pPr>
        <w:ind w:left="567"/>
        <w:rPr>
          <w:b/>
          <w:sz w:val="28"/>
          <w:lang w:val="fr-FR"/>
        </w:rPr>
      </w:pPr>
    </w:p>
    <w:p w:rsidR="004B6514" w:rsidRDefault="007C3F5F" w:rsidP="005531E8">
      <w:pPr>
        <w:ind w:left="567"/>
        <w:rPr>
          <w:b/>
          <w:sz w:val="24"/>
          <w:lang w:val="fr-FR"/>
        </w:rPr>
      </w:pPr>
      <w:r w:rsidRPr="007C3F5F">
        <w:rPr>
          <w:sz w:val="28"/>
          <w:lang w:val="fr-FR"/>
        </w:rPr>
        <w:t>(SITUATION AU</w:t>
      </w:r>
      <w:r w:rsidR="005531E8">
        <w:rPr>
          <w:sz w:val="28"/>
          <w:lang w:val="fr-FR"/>
        </w:rPr>
        <w:t xml:space="preserve"> 1</w:t>
      </w:r>
      <w:r>
        <w:rPr>
          <w:sz w:val="28"/>
          <w:lang w:val="fr-FR"/>
        </w:rPr>
        <w:t xml:space="preserve"> </w:t>
      </w:r>
      <w:r w:rsidR="005531E8">
        <w:rPr>
          <w:sz w:val="28"/>
          <w:lang w:val="fr-FR"/>
        </w:rPr>
        <w:t xml:space="preserve">JUIN </w:t>
      </w:r>
      <w:r w:rsidR="00CB6DB1">
        <w:rPr>
          <w:sz w:val="28"/>
          <w:lang w:val="fr-FR"/>
        </w:rPr>
        <w:t>201</w:t>
      </w:r>
      <w:r w:rsidR="005531E8">
        <w:rPr>
          <w:sz w:val="28"/>
          <w:lang w:val="fr-FR"/>
        </w:rPr>
        <w:t>7</w:t>
      </w:r>
      <w:r w:rsidR="004B6514">
        <w:rPr>
          <w:sz w:val="28"/>
          <w:lang w:val="fr-FR"/>
        </w:rPr>
        <w:t>)</w:t>
      </w: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p>
    <w:p w:rsidR="004B6514" w:rsidRDefault="004B6514">
      <w:pPr>
        <w:ind w:left="567"/>
        <w:rPr>
          <w:b/>
          <w:sz w:val="24"/>
          <w:lang w:val="fr-FR"/>
        </w:rPr>
      </w:pPr>
      <w:r>
        <w:rPr>
          <w:b/>
          <w:sz w:val="24"/>
          <w:lang w:val="fr-FR"/>
        </w:rPr>
        <w:t>___________________________________________________________________</w:t>
      </w:r>
    </w:p>
    <w:p w:rsidR="004B6514" w:rsidRDefault="004B6514">
      <w:pPr>
        <w:ind w:left="567"/>
        <w:rPr>
          <w:lang w:val="fr-FR"/>
        </w:rPr>
      </w:pPr>
    </w:p>
    <w:p w:rsidR="004B6514" w:rsidRDefault="004B6514">
      <w:pPr>
        <w:ind w:left="567"/>
        <w:rPr>
          <w:lang w:val="fr-FR"/>
        </w:rPr>
      </w:pPr>
    </w:p>
    <w:p w:rsidR="004B6514" w:rsidRDefault="004B6514">
      <w:pPr>
        <w:ind w:left="567"/>
        <w:rPr>
          <w:lang w:val="fr-FR"/>
        </w:rPr>
      </w:pPr>
    </w:p>
    <w:p w:rsidR="004B6514" w:rsidRDefault="004B6514">
      <w:pPr>
        <w:ind w:left="567"/>
        <w:rPr>
          <w:lang w:val="fr-FR"/>
        </w:rPr>
      </w:pPr>
    </w:p>
    <w:p w:rsidR="004B6514" w:rsidRDefault="004B6514">
      <w:pPr>
        <w:ind w:left="567"/>
        <w:rPr>
          <w:lang w:val="fr-FR"/>
        </w:rPr>
      </w:pPr>
    </w:p>
    <w:p w:rsidR="004B6514" w:rsidRDefault="004B6514">
      <w:pPr>
        <w:rPr>
          <w:lang w:val="fr-FR"/>
        </w:rPr>
      </w:pPr>
    </w:p>
    <w:p w:rsidR="004B6514" w:rsidRDefault="004B6514">
      <w:pPr>
        <w:rPr>
          <w:lang w:val="fr-FR"/>
        </w:rPr>
      </w:pPr>
      <w:r>
        <w:rPr>
          <w:b/>
          <w:sz w:val="24"/>
          <w:lang w:val="fr-FR"/>
        </w:rPr>
        <w:t>Genève, 20</w:t>
      </w:r>
      <w:r w:rsidR="007F751C">
        <w:rPr>
          <w:b/>
          <w:sz w:val="24"/>
          <w:lang w:val="fr-FR"/>
        </w:rPr>
        <w:t>1</w:t>
      </w:r>
      <w:r w:rsidR="005531E8">
        <w:rPr>
          <w:b/>
          <w:sz w:val="24"/>
          <w:lang w:val="fr-FR"/>
        </w:rPr>
        <w:t>7</w:t>
      </w:r>
    </w:p>
    <w:p w:rsidR="004B6514" w:rsidRDefault="004B6514">
      <w:pPr>
        <w:rPr>
          <w:lang w:val="fr-FR"/>
        </w:rPr>
      </w:pPr>
      <w:r>
        <w:rPr>
          <w:lang w:val="fr-FR"/>
        </w:rPr>
        <w:br w:type="page"/>
      </w:r>
    </w:p>
    <w:p w:rsidR="004B6514" w:rsidRDefault="004B6514">
      <w:pPr>
        <w:jc w:val="center"/>
        <w:rPr>
          <w:rFonts w:ascii="Helvetica" w:hAnsi="Helvetica"/>
          <w:b/>
          <w:sz w:val="32"/>
          <w:lang w:val="fr-FR"/>
        </w:rPr>
      </w:pPr>
      <w:r>
        <w:rPr>
          <w:rFonts w:ascii="Helvetica" w:hAnsi="Helvetica"/>
          <w:b/>
          <w:sz w:val="32"/>
          <w:lang w:val="fr-FR"/>
        </w:rPr>
        <w:lastRenderedPageBreak/>
        <w:t>Liste des codes de zone/réseau sémaphore (SANC)</w:t>
      </w:r>
    </w:p>
    <w:p w:rsidR="004B6514" w:rsidRDefault="004B6514">
      <w:pPr>
        <w:jc w:val="center"/>
        <w:rPr>
          <w:rFonts w:ascii="Helvetica" w:hAnsi="Helvetica"/>
          <w:b/>
          <w:sz w:val="32"/>
          <w:lang w:val="fr-FR"/>
        </w:rPr>
      </w:pPr>
    </w:p>
    <w:p w:rsidR="004B6514" w:rsidRDefault="004B6514">
      <w:pPr>
        <w:jc w:val="center"/>
        <w:rPr>
          <w:rFonts w:ascii="Helvetica" w:hAnsi="Helvetica"/>
          <w:b/>
          <w:sz w:val="32"/>
          <w:lang w:val="fr-FR"/>
        </w:rPr>
      </w:pPr>
    </w:p>
    <w:p w:rsidR="004B6514" w:rsidRDefault="004B6514">
      <w:pPr>
        <w:rPr>
          <w:rFonts w:ascii="Helvetica" w:hAnsi="Helvetica"/>
          <w:b/>
          <w:i/>
          <w:sz w:val="32"/>
          <w:lang w:val="fr-FR"/>
        </w:rPr>
      </w:pPr>
      <w:r>
        <w:rPr>
          <w:rFonts w:ascii="Helvetica" w:hAnsi="Helvetica"/>
          <w:b/>
          <w:i/>
          <w:sz w:val="32"/>
          <w:lang w:val="fr-FR"/>
        </w:rPr>
        <w:t>Note du TSB</w:t>
      </w:r>
    </w:p>
    <w:p w:rsidR="004B6514" w:rsidRDefault="004B6514">
      <w:pPr>
        <w:rPr>
          <w:rFonts w:ascii="Helvetica" w:hAnsi="Helvetica"/>
          <w:b/>
          <w:i/>
          <w:sz w:val="32"/>
          <w:lang w:val="fr-FR"/>
        </w:rPr>
      </w:pPr>
    </w:p>
    <w:p w:rsidR="004B6514" w:rsidRDefault="004B6514">
      <w:pPr>
        <w:rPr>
          <w:rFonts w:ascii="Helvetica" w:hAnsi="Helvetica"/>
          <w:b/>
          <w:i/>
          <w:sz w:val="32"/>
          <w:lang w:val="fr-FR"/>
        </w:rPr>
      </w:pPr>
    </w:p>
    <w:p w:rsidR="004B6514" w:rsidRDefault="004B6514" w:rsidP="005531E8">
      <w:pPr>
        <w:jc w:val="both"/>
        <w:rPr>
          <w:rFonts w:ascii="Helvetica" w:hAnsi="Helvetica"/>
          <w:lang w:val="fr-FR"/>
        </w:rPr>
      </w:pPr>
      <w:r>
        <w:rPr>
          <w:rFonts w:ascii="Helvetica" w:hAnsi="Helvetica"/>
          <w:lang w:val="fr-FR"/>
        </w:rPr>
        <w:t>1.</w:t>
      </w:r>
      <w:r>
        <w:rPr>
          <w:rFonts w:ascii="Helvetica" w:hAnsi="Helvetica"/>
          <w:lang w:val="fr-FR"/>
        </w:rPr>
        <w:tab/>
        <w:t>Cette Liste des codes de zone/réseau sémaphore (SANC) remplace celle qui avait été publiée dans l’Annexe au Bulletin d’exploitation N</w:t>
      </w:r>
      <w:r>
        <w:rPr>
          <w:rFonts w:ascii="Helvetica" w:hAnsi="Helvetica"/>
          <w:vertAlign w:val="superscript"/>
          <w:lang w:val="fr-FR"/>
        </w:rPr>
        <w:t>o</w:t>
      </w:r>
      <w:r w:rsidR="00CB6DB1">
        <w:rPr>
          <w:rFonts w:ascii="Helvetica" w:hAnsi="Helvetica"/>
          <w:lang w:val="fr-FR"/>
        </w:rPr>
        <w:t xml:space="preserve"> </w:t>
      </w:r>
      <w:r w:rsidR="005531E8">
        <w:rPr>
          <w:rFonts w:ascii="Helvetica" w:hAnsi="Helvetica"/>
          <w:lang w:val="fr-FR"/>
        </w:rPr>
        <w:t>1066 du 15.XII.2014</w:t>
      </w:r>
      <w:r>
        <w:rPr>
          <w:rFonts w:ascii="Helvetica" w:hAnsi="Helvetica"/>
          <w:lang w:val="fr-FR"/>
        </w:rPr>
        <w:t>. Depuis ce jour, différentes assignations nouvelles sont apparues et ont été publiées séparément dans différents numéros du Bulletin d'exploitation de l'UIT. La présente Liste contient tous les amendements qui ont été publiés jusqu’au Bulletin d’exploitation N</w:t>
      </w:r>
      <w:r>
        <w:rPr>
          <w:rFonts w:ascii="Helvetica" w:hAnsi="Helvetica"/>
          <w:vertAlign w:val="superscript"/>
          <w:lang w:val="fr-FR"/>
        </w:rPr>
        <w:t>o</w:t>
      </w:r>
      <w:r w:rsidR="00CB6DB1">
        <w:rPr>
          <w:rFonts w:ascii="Helvetica" w:hAnsi="Helvetica"/>
          <w:lang w:val="fr-FR"/>
        </w:rPr>
        <w:t xml:space="preserve"> </w:t>
      </w:r>
      <w:r w:rsidR="005531E8">
        <w:rPr>
          <w:rFonts w:ascii="Helvetica" w:hAnsi="Helvetica"/>
          <w:lang w:val="fr-FR"/>
        </w:rPr>
        <w:t>1125</w:t>
      </w:r>
      <w:r w:rsidR="00824A6B">
        <w:rPr>
          <w:rFonts w:ascii="Helvetica" w:hAnsi="Helvetica"/>
          <w:lang w:val="fr-FR"/>
        </w:rPr>
        <w:t xml:space="preserve"> du 1</w:t>
      </w:r>
      <w:r w:rsidR="005531E8">
        <w:rPr>
          <w:rFonts w:ascii="Helvetica" w:hAnsi="Helvetica"/>
          <w:lang w:val="fr-FR"/>
        </w:rPr>
        <w:t>.VI.2017</w:t>
      </w:r>
      <w:r>
        <w:rPr>
          <w:rFonts w:ascii="Helvetica" w:hAnsi="Helvetica"/>
          <w:lang w:val="fr-FR"/>
        </w:rPr>
        <w:t>.</w:t>
      </w:r>
    </w:p>
    <w:p w:rsidR="004B6514" w:rsidRDefault="004B6514">
      <w:pPr>
        <w:jc w:val="both"/>
        <w:rPr>
          <w:rFonts w:ascii="Helvetica" w:hAnsi="Helvetica"/>
          <w:lang w:val="fr-FR"/>
        </w:rPr>
      </w:pPr>
    </w:p>
    <w:p w:rsidR="004B6514" w:rsidRDefault="004B6514">
      <w:pPr>
        <w:jc w:val="both"/>
        <w:rPr>
          <w:rFonts w:ascii="Helvetica" w:hAnsi="Helvetica"/>
          <w:lang w:val="fr-FR"/>
        </w:rPr>
      </w:pPr>
      <w:r>
        <w:rPr>
          <w:rFonts w:ascii="Helvetica" w:hAnsi="Helvetica"/>
          <w:lang w:val="fr-FR"/>
        </w:rPr>
        <w:t>2.</w:t>
      </w:r>
      <w:r>
        <w:rPr>
          <w:rFonts w:ascii="Helvetica" w:hAnsi="Helvetica"/>
          <w:lang w:val="fr-FR"/>
        </w:rPr>
        <w:tab/>
        <w:t>La présente Liste comprend:</w:t>
      </w:r>
    </w:p>
    <w:p w:rsidR="004B6514" w:rsidRDefault="004B6514">
      <w:pPr>
        <w:jc w:val="both"/>
        <w:rPr>
          <w:rFonts w:ascii="Helvetica" w:hAnsi="Helvetica"/>
          <w:lang w:val="fr-FR"/>
        </w:rPr>
      </w:pPr>
      <w:r>
        <w:rPr>
          <w:rFonts w:ascii="Helvetica" w:hAnsi="Helvetica"/>
          <w:lang w:val="fr-FR"/>
        </w:rPr>
        <w:tab/>
        <w:t>- une liste des codes SANC par ordre numérique</w:t>
      </w:r>
    </w:p>
    <w:p w:rsidR="004B6514" w:rsidRDefault="004B6514">
      <w:pPr>
        <w:jc w:val="both"/>
        <w:rPr>
          <w:rFonts w:ascii="Helvetica" w:hAnsi="Helvetica"/>
          <w:lang w:val="fr-FR"/>
        </w:rPr>
      </w:pPr>
      <w:r>
        <w:rPr>
          <w:rFonts w:ascii="Helvetica" w:hAnsi="Helvetica"/>
          <w:lang w:val="fr-FR"/>
        </w:rPr>
        <w:tab/>
        <w:t>- une liste des codes SANC par ordre alphabétique des noms de pays/zones géographiques.</w:t>
      </w:r>
    </w:p>
    <w:p w:rsidR="004B6514" w:rsidRDefault="004B6514">
      <w:pPr>
        <w:jc w:val="both"/>
        <w:rPr>
          <w:rFonts w:ascii="Helvetica" w:hAnsi="Helvetica"/>
          <w:lang w:val="fr-FR"/>
        </w:rPr>
      </w:pPr>
    </w:p>
    <w:p w:rsidR="004B6514" w:rsidRDefault="004B6514">
      <w:pPr>
        <w:jc w:val="both"/>
        <w:rPr>
          <w:rFonts w:ascii="Helvetica" w:hAnsi="Helvetica"/>
          <w:lang w:val="fr-FR"/>
        </w:rPr>
      </w:pPr>
      <w:r>
        <w:rPr>
          <w:rFonts w:ascii="Helvetica" w:hAnsi="Helvetica"/>
          <w:lang w:val="fr-FR"/>
        </w:rPr>
        <w:t>3.</w:t>
      </w:r>
      <w:r>
        <w:rPr>
          <w:rFonts w:ascii="Helvetica" w:hAnsi="Helvetica"/>
          <w:lang w:val="fr-FR"/>
        </w:rPr>
        <w:tab/>
        <w:t>La Recommandation UIT-T Q.708 (03/99) mentionne que l'attribution des codes de zone/réseau sémaphore (SANC) doit être régie par le TSB. L'attribution ou le retrait des codes de points sémaphores internationaux (ISPC) sera fait par chaque pays qui en avisera le TSB.</w:t>
      </w:r>
    </w:p>
    <w:p w:rsidR="004B6514" w:rsidRDefault="004B6514">
      <w:pPr>
        <w:jc w:val="both"/>
        <w:rPr>
          <w:rFonts w:ascii="Helvetica" w:hAnsi="Helvetica"/>
          <w:lang w:val="fr-FR"/>
        </w:rPr>
      </w:pPr>
    </w:p>
    <w:p w:rsidR="004B6514" w:rsidRDefault="004B6514">
      <w:pPr>
        <w:jc w:val="both"/>
        <w:rPr>
          <w:rFonts w:ascii="Helvetica" w:hAnsi="Helvetica"/>
          <w:lang w:val="fr-FR"/>
        </w:rPr>
      </w:pPr>
      <w:r>
        <w:rPr>
          <w:rFonts w:ascii="Helvetica" w:hAnsi="Helvetica"/>
          <w:lang w:val="fr-FR"/>
        </w:rPr>
        <w:t>4.</w:t>
      </w:r>
      <w:r>
        <w:rPr>
          <w:rFonts w:ascii="Helvetica" w:hAnsi="Helvetica"/>
          <w:lang w:val="fr-FR"/>
        </w:rPr>
        <w:tab/>
        <w:t xml:space="preserve">L’Administration doit présenter toute demande d’attribution d’un code SANC par écrit et l’adresser au Directeur du TSB. Pour demander un code SANC supplémentaire, une Administration doit informer le Directeur du TSB de la situation actuelle en ce qui concerne les attributions de codes ISPC par cette Administration. </w:t>
      </w:r>
    </w:p>
    <w:p w:rsidR="004B6514" w:rsidRDefault="004B6514">
      <w:pPr>
        <w:jc w:val="both"/>
        <w:rPr>
          <w:rFonts w:ascii="Helvetica" w:hAnsi="Helvetica"/>
          <w:lang w:val="fr-FR"/>
        </w:rPr>
      </w:pPr>
    </w:p>
    <w:p w:rsidR="004B6514" w:rsidRDefault="004B6514">
      <w:pPr>
        <w:jc w:val="both"/>
        <w:rPr>
          <w:rFonts w:ascii="Helvetica" w:hAnsi="Helvetica"/>
          <w:lang w:val="fr-FR"/>
        </w:rPr>
      </w:pPr>
      <w:r>
        <w:rPr>
          <w:rFonts w:ascii="Helvetica" w:hAnsi="Helvetica"/>
          <w:lang w:val="fr-FR"/>
        </w:rPr>
        <w:t>5.</w:t>
      </w:r>
      <w:r>
        <w:rPr>
          <w:rFonts w:ascii="Helvetica" w:hAnsi="Helvetica"/>
          <w:lang w:val="fr-FR"/>
        </w:rPr>
        <w:tab/>
        <w:t>Pour information, la mise à jour de cette Liste se fera sous la forme d'amendements numérotés publiés dans le Bulletin d'exploitation de l'UIT. D'autre part, les informations contenues dans cette Annexe sont disp</w:t>
      </w:r>
      <w:r w:rsidR="00AE6F58">
        <w:rPr>
          <w:rFonts w:ascii="Helvetica" w:hAnsi="Helvetica"/>
          <w:lang w:val="fr-FR"/>
        </w:rPr>
        <w:t>onibles,</w:t>
      </w:r>
      <w:r>
        <w:rPr>
          <w:rFonts w:ascii="Helvetica" w:hAnsi="Helvetica"/>
          <w:lang w:val="fr-FR"/>
        </w:rPr>
        <w:t xml:space="preserve"> </w:t>
      </w:r>
      <w:r w:rsidR="00824A6B">
        <w:rPr>
          <w:rFonts w:ascii="Helvetica" w:hAnsi="Helvetica"/>
          <w:lang w:val="fr-FR"/>
        </w:rPr>
        <w:t>sur le</w:t>
      </w:r>
      <w:r>
        <w:rPr>
          <w:lang w:val="fr-FR"/>
        </w:rPr>
        <w:t xml:space="preserve"> site</w:t>
      </w:r>
      <w:r w:rsidR="00824A6B">
        <w:rPr>
          <w:lang w:val="fr-FR"/>
        </w:rPr>
        <w:t xml:space="preserve"> web de </w:t>
      </w:r>
      <w:r>
        <w:rPr>
          <w:lang w:val="fr-FR"/>
        </w:rPr>
        <w:t xml:space="preserve"> </w:t>
      </w:r>
      <w:r w:rsidR="00824A6B">
        <w:rPr>
          <w:lang w:val="fr-FR"/>
        </w:rPr>
        <w:t>l’</w:t>
      </w:r>
      <w:r>
        <w:rPr>
          <w:lang w:val="fr-FR"/>
        </w:rPr>
        <w:t xml:space="preserve">UIT (à l'adresse </w:t>
      </w:r>
      <w:hyperlink r:id="rId7" w:history="1">
        <w:r w:rsidR="00824A6B" w:rsidRPr="001D4DD6">
          <w:rPr>
            <w:rStyle w:val="Hyperlink"/>
            <w:lang w:val="fr-FR"/>
          </w:rPr>
          <w:t>www.itu.int/itu-t/bulletin/annex.html</w:t>
        </w:r>
      </w:hyperlink>
      <w:r>
        <w:rPr>
          <w:lang w:val="fr-FR"/>
        </w:rPr>
        <w:t>).</w:t>
      </w:r>
    </w:p>
    <w:p w:rsidR="004B6514" w:rsidRDefault="004B6514">
      <w:pPr>
        <w:jc w:val="both"/>
        <w:rPr>
          <w:rFonts w:ascii="Helvetica" w:hAnsi="Helvetica"/>
          <w:lang w:val="fr-FR"/>
        </w:rPr>
      </w:pPr>
    </w:p>
    <w:p w:rsidR="004B6514" w:rsidRDefault="004B6514">
      <w:pPr>
        <w:jc w:val="both"/>
        <w:rPr>
          <w:rFonts w:ascii="Helvetica" w:hAnsi="Helvetica"/>
          <w:lang w:val="fr-FR"/>
        </w:rPr>
      </w:pPr>
      <w:r>
        <w:rPr>
          <w:rFonts w:ascii="Helvetica" w:hAnsi="Helvetica"/>
          <w:lang w:val="fr-FR"/>
        </w:rPr>
        <w:t>6.</w:t>
      </w:r>
      <w:r>
        <w:rPr>
          <w:rFonts w:ascii="Helvetica" w:hAnsi="Helvetica"/>
          <w:lang w:val="fr-FR"/>
        </w:rPr>
        <w:tab/>
        <w:t>Les pays qui désirent faire partie du réseau sémaphore international ou qui désirent un ou plusieurs codes de zone/réseau sémaphore (SANC) supplémentaires doivent demander au Directeur du TSB l'attribution d'un code SANC disponible. Dans leur demande, ils peuvent indiquer le code SANC disponible qu'ils préfèrent. Veuillez adresser vos commentaires au Directeur du TSB:</w:t>
      </w:r>
    </w:p>
    <w:p w:rsidR="004B6514" w:rsidRDefault="004B6514">
      <w:pPr>
        <w:jc w:val="both"/>
        <w:rPr>
          <w:rFonts w:ascii="Helvetica" w:hAnsi="Helvetica"/>
          <w:lang w:val="fr-FR"/>
        </w:rPr>
      </w:pPr>
    </w:p>
    <w:p w:rsidR="004B6514" w:rsidRDefault="004B6514">
      <w:pPr>
        <w:jc w:val="both"/>
        <w:rPr>
          <w:rFonts w:ascii="Helvetica" w:hAnsi="Helvetica"/>
          <w:lang w:val="fr-FR"/>
        </w:rPr>
      </w:pPr>
      <w:r>
        <w:rPr>
          <w:rFonts w:ascii="Helvetica" w:hAnsi="Helvetica"/>
          <w:lang w:val="fr-FR"/>
        </w:rPr>
        <w:tab/>
      </w:r>
      <w:r>
        <w:rPr>
          <w:rFonts w:ascii="Helvetica" w:hAnsi="Helvetica"/>
          <w:lang w:val="fr-FR"/>
        </w:rPr>
        <w:tab/>
        <w:t>Union internationale des télécommunications</w:t>
      </w:r>
    </w:p>
    <w:p w:rsidR="004B6514" w:rsidRDefault="004B6514">
      <w:pPr>
        <w:jc w:val="both"/>
        <w:rPr>
          <w:rFonts w:ascii="Helvetica" w:hAnsi="Helvetica"/>
          <w:lang w:val="fr-FR"/>
        </w:rPr>
      </w:pPr>
      <w:r>
        <w:rPr>
          <w:rFonts w:ascii="Helvetica" w:hAnsi="Helvetica"/>
          <w:lang w:val="fr-FR"/>
        </w:rPr>
        <w:tab/>
      </w:r>
      <w:r>
        <w:rPr>
          <w:rFonts w:ascii="Helvetica" w:hAnsi="Helvetica"/>
          <w:lang w:val="fr-FR"/>
        </w:rPr>
        <w:tab/>
        <w:t>Directeur du TSB</w:t>
      </w:r>
    </w:p>
    <w:p w:rsidR="004B6514" w:rsidRDefault="004B6514">
      <w:pPr>
        <w:jc w:val="both"/>
        <w:rPr>
          <w:rFonts w:ascii="Helvetica" w:hAnsi="Helvetica"/>
          <w:lang w:val="fr-FR"/>
        </w:rPr>
      </w:pPr>
      <w:r>
        <w:rPr>
          <w:rFonts w:ascii="Helvetica" w:hAnsi="Helvetica"/>
          <w:lang w:val="fr-FR"/>
        </w:rPr>
        <w:tab/>
      </w:r>
      <w:r>
        <w:rPr>
          <w:rFonts w:ascii="Helvetica" w:hAnsi="Helvetica"/>
          <w:lang w:val="fr-FR"/>
        </w:rPr>
        <w:tab/>
        <w:t>Place des Nations</w:t>
      </w:r>
    </w:p>
    <w:p w:rsidR="004B6514" w:rsidRDefault="004B6514">
      <w:pPr>
        <w:jc w:val="both"/>
        <w:rPr>
          <w:rFonts w:ascii="Helvetica" w:hAnsi="Helvetica"/>
          <w:lang w:val="fr-FR"/>
        </w:rPr>
      </w:pPr>
      <w:r>
        <w:rPr>
          <w:rFonts w:ascii="Helvetica" w:hAnsi="Helvetica"/>
          <w:lang w:val="fr-FR"/>
        </w:rPr>
        <w:tab/>
      </w:r>
      <w:r>
        <w:rPr>
          <w:rFonts w:ascii="Helvetica" w:hAnsi="Helvetica"/>
          <w:lang w:val="fr-FR"/>
        </w:rPr>
        <w:tab/>
        <w:t>CH-1211 GENÈVE 20</w:t>
      </w:r>
    </w:p>
    <w:p w:rsidR="004B6514" w:rsidRDefault="004B6514">
      <w:pPr>
        <w:jc w:val="both"/>
        <w:rPr>
          <w:rFonts w:ascii="Helvetica" w:hAnsi="Helvetica"/>
          <w:lang w:val="fr-FR"/>
        </w:rPr>
      </w:pPr>
      <w:r>
        <w:rPr>
          <w:rFonts w:ascii="Helvetica" w:hAnsi="Helvetica"/>
          <w:lang w:val="fr-FR"/>
        </w:rPr>
        <w:tab/>
      </w:r>
      <w:r>
        <w:rPr>
          <w:rFonts w:ascii="Helvetica" w:hAnsi="Helvetica"/>
          <w:lang w:val="fr-FR"/>
        </w:rPr>
        <w:tab/>
        <w:t>Suisse</w:t>
      </w:r>
    </w:p>
    <w:p w:rsidR="004B6514" w:rsidRDefault="00B709CE">
      <w:pPr>
        <w:jc w:val="both"/>
        <w:rPr>
          <w:rFonts w:ascii="Helvetica" w:hAnsi="Helvetica"/>
          <w:lang w:val="fr-FR"/>
        </w:rPr>
      </w:pPr>
      <w:r>
        <w:rPr>
          <w:rFonts w:ascii="Helvetica" w:hAnsi="Helvetica"/>
          <w:lang w:val="fr-FR"/>
        </w:rPr>
        <w:tab/>
      </w:r>
      <w:r>
        <w:rPr>
          <w:rFonts w:ascii="Helvetica" w:hAnsi="Helvetica"/>
          <w:lang w:val="fr-FR"/>
        </w:rPr>
        <w:tab/>
        <w:t>Tél:</w:t>
      </w:r>
      <w:r>
        <w:rPr>
          <w:rFonts w:ascii="Helvetica" w:hAnsi="Helvetica"/>
          <w:lang w:val="fr-FR"/>
        </w:rPr>
        <w:tab/>
      </w:r>
      <w:r>
        <w:rPr>
          <w:rFonts w:ascii="Helvetica" w:hAnsi="Helvetica"/>
          <w:lang w:val="fr-FR"/>
        </w:rPr>
        <w:tab/>
        <w:t>+41 22 730 5887</w:t>
      </w:r>
    </w:p>
    <w:p w:rsidR="004B6514" w:rsidRDefault="004B6514">
      <w:pPr>
        <w:jc w:val="both"/>
        <w:rPr>
          <w:rFonts w:ascii="Helvetica" w:hAnsi="Helvetica"/>
          <w:lang w:val="fr-FR"/>
        </w:rPr>
      </w:pPr>
      <w:r>
        <w:rPr>
          <w:rFonts w:ascii="Helvetica" w:hAnsi="Helvetica"/>
          <w:lang w:val="fr-FR"/>
        </w:rPr>
        <w:tab/>
      </w:r>
      <w:r>
        <w:rPr>
          <w:rFonts w:ascii="Helvetica" w:hAnsi="Helvetica"/>
          <w:lang w:val="fr-FR"/>
        </w:rPr>
        <w:tab/>
        <w:t>Fax:</w:t>
      </w:r>
      <w:r>
        <w:rPr>
          <w:rFonts w:ascii="Helvetica" w:hAnsi="Helvetica"/>
          <w:lang w:val="fr-FR"/>
        </w:rPr>
        <w:tab/>
      </w:r>
      <w:r>
        <w:rPr>
          <w:rFonts w:ascii="Helvetica" w:hAnsi="Helvetica"/>
          <w:lang w:val="fr-FR"/>
        </w:rPr>
        <w:tab/>
        <w:t>+41 22 730 5853</w:t>
      </w:r>
    </w:p>
    <w:p w:rsidR="004B6514" w:rsidRPr="00376C20" w:rsidRDefault="004B6514">
      <w:pPr>
        <w:rPr>
          <w:lang w:val="fr-CH"/>
        </w:rPr>
      </w:pPr>
      <w:r>
        <w:rPr>
          <w:lang w:val="en-GB"/>
        </w:rPr>
        <w:tab/>
      </w:r>
      <w:r>
        <w:rPr>
          <w:lang w:val="en-GB"/>
        </w:rPr>
        <w:tab/>
      </w:r>
      <w:r w:rsidRPr="00376C20">
        <w:rPr>
          <w:lang w:val="fr-CH"/>
        </w:rPr>
        <w:t>E-mail:</w:t>
      </w:r>
      <w:r w:rsidRPr="00376C20">
        <w:rPr>
          <w:lang w:val="fr-CH"/>
        </w:rPr>
        <w:tab/>
      </w:r>
      <w:hyperlink r:id="rId8" w:history="1">
        <w:r w:rsidRPr="00376C20">
          <w:rPr>
            <w:rStyle w:val="Hyperlink"/>
            <w:lang w:val="fr-CH"/>
          </w:rPr>
          <w:t>tsbmail@itu.int</w:t>
        </w:r>
      </w:hyperlink>
    </w:p>
    <w:p w:rsidR="004B6514" w:rsidRPr="00376C20" w:rsidRDefault="004B6514">
      <w:pPr>
        <w:rPr>
          <w:lang w:val="fr-CH"/>
        </w:rPr>
      </w:pPr>
    </w:p>
    <w:p w:rsidR="004B6514" w:rsidRDefault="004B6514">
      <w:pPr>
        <w:jc w:val="both"/>
        <w:rPr>
          <w:lang w:val="fr-FR"/>
        </w:rPr>
      </w:pPr>
      <w:r>
        <w:rPr>
          <w:lang w:val="fr-FR"/>
        </w:rPr>
        <w:t>7.</w:t>
      </w:r>
      <w:r>
        <w:rPr>
          <w:lang w:val="fr-FR"/>
        </w:rPr>
        <w:tab/>
        <w:t>Les appellations employées dans cette Liste et la présentation des données qui y figurent n'impliquent, de la part de l'UIT, aucune prise de position quant au statut juridique des pays ou zones géographiques ou de leurs autorités.</w:t>
      </w:r>
    </w:p>
    <w:p w:rsidR="00376C20" w:rsidRDefault="00376C20" w:rsidP="00376C20">
      <w:pPr>
        <w:overflowPunct/>
        <w:autoSpaceDE/>
        <w:autoSpaceDN/>
        <w:adjustRightInd/>
        <w:textAlignment w:val="auto"/>
        <w:rPr>
          <w:lang w:val="fr-FR"/>
        </w:rPr>
      </w:pPr>
      <w:r>
        <w:rPr>
          <w:lang w:val="fr-FR"/>
        </w:rPr>
        <w:br w:type="page"/>
      </w:r>
    </w:p>
    <w:p w:rsidR="00A247CC" w:rsidRPr="00542D9D" w:rsidRDefault="00A247CC" w:rsidP="005531E8">
      <w:pPr>
        <w:pStyle w:val="Heading20"/>
        <w:keepNext w:val="0"/>
      </w:pPr>
      <w:bookmarkStart w:id="0" w:name="_Toc236568475"/>
      <w:bookmarkStart w:id="1" w:name="_Toc240772455"/>
      <w:r w:rsidRPr="008149B6">
        <w:lastRenderedPageBreak/>
        <w:t>Liste des codes de zone/réseau sémaphore (SANC</w:t>
      </w:r>
      <w:proofErr w:type="gramStart"/>
      <w:r w:rsidRPr="008149B6">
        <w:t>)</w:t>
      </w:r>
      <w:proofErr w:type="gramEnd"/>
      <w:r w:rsidRPr="008149B6">
        <w:br/>
        <w:t>(Complément à la Recommandation UIT-T Q.708 (03/1999))</w:t>
      </w:r>
      <w:r w:rsidRPr="008149B6">
        <w:br/>
        <w:t>(</w:t>
      </w:r>
      <w:r w:rsidR="005531E8">
        <w:t>Situation au 1</w:t>
      </w:r>
      <w:r w:rsidR="003D6B2E" w:rsidRPr="008149B6">
        <w:t xml:space="preserve"> </w:t>
      </w:r>
      <w:r w:rsidR="005531E8">
        <w:t>juin 2017</w:t>
      </w:r>
      <w:r w:rsidRPr="008149B6">
        <w:t>)</w:t>
      </w:r>
      <w:bookmarkEnd w:id="0"/>
      <w:bookmarkEnd w:id="1"/>
    </w:p>
    <w:p w:rsidR="00A247CC" w:rsidRPr="00B84493" w:rsidRDefault="00A247CC" w:rsidP="005531E8">
      <w:pPr>
        <w:pStyle w:val="Heading70"/>
        <w:keepNext/>
        <w:rPr>
          <w:lang w:val="fr-CH"/>
        </w:rPr>
      </w:pPr>
      <w:r w:rsidRPr="00B84493">
        <w:rPr>
          <w:lang w:val="fr-CH"/>
        </w:rPr>
        <w:t>(</w:t>
      </w:r>
      <w:r w:rsidR="003D6B2E" w:rsidRPr="003D6B2E">
        <w:rPr>
          <w:lang w:val="fr-CH"/>
        </w:rPr>
        <w:t xml:space="preserve">Annexe au Bulletin d'exploitation de l'UIT No. </w:t>
      </w:r>
      <w:r w:rsidR="005531E8">
        <w:rPr>
          <w:lang w:val="fr-CH"/>
        </w:rPr>
        <w:t>1125 - 1.VI.2017</w:t>
      </w:r>
      <w:r w:rsidRPr="00B84493">
        <w:rPr>
          <w:lang w:val="fr-CH"/>
        </w:rPr>
        <w:t>)</w:t>
      </w:r>
    </w:p>
    <w:p w:rsidR="00A247CC" w:rsidRDefault="00A247CC" w:rsidP="00A247CC">
      <w:pPr>
        <w:keepNext/>
        <w:rPr>
          <w:lang w:val="fr-CH"/>
        </w:rPr>
      </w:pPr>
    </w:p>
    <w:tbl>
      <w:tblPr>
        <w:tblW w:w="9288" w:type="dxa"/>
        <w:tblLayout w:type="fixed"/>
        <w:tblLook w:val="01E0" w:firstRow="1" w:lastRow="1" w:firstColumn="1" w:lastColumn="1" w:noHBand="0" w:noVBand="0"/>
      </w:tblPr>
      <w:tblGrid>
        <w:gridCol w:w="909"/>
        <w:gridCol w:w="8379"/>
      </w:tblGrid>
      <w:tr w:rsidR="00931B63" w:rsidRPr="00931B63" w:rsidTr="00931B63">
        <w:trPr>
          <w:trHeight w:val="240"/>
          <w:tblHeader/>
        </w:trPr>
        <w:tc>
          <w:tcPr>
            <w:tcW w:w="909" w:type="dxa"/>
            <w:tcBorders>
              <w:bottom w:val="single" w:sz="4" w:space="0" w:color="auto"/>
            </w:tcBorders>
            <w:shd w:val="clear" w:color="auto" w:fill="auto"/>
          </w:tcPr>
          <w:p w:rsidR="00931B63" w:rsidRPr="00931B63" w:rsidRDefault="00931B63" w:rsidP="00931B63">
            <w:pPr>
              <w:keepNext/>
              <w:tabs>
                <w:tab w:val="left" w:pos="567"/>
                <w:tab w:val="right" w:pos="1021"/>
                <w:tab w:val="left" w:pos="1701"/>
                <w:tab w:val="left" w:pos="2268"/>
              </w:tabs>
              <w:spacing w:before="240"/>
              <w:jc w:val="both"/>
              <w:rPr>
                <w:rFonts w:ascii="Calibri" w:hAnsi="Calibri"/>
                <w:b/>
                <w:i/>
                <w:iCs/>
                <w:sz w:val="20"/>
                <w:lang w:val="en-GB"/>
              </w:rPr>
            </w:pPr>
            <w:r w:rsidRPr="00931B63">
              <w:rPr>
                <w:rFonts w:ascii="Calibri" w:hAnsi="Calibri"/>
                <w:b/>
                <w:i/>
                <w:iCs/>
                <w:sz w:val="20"/>
                <w:lang w:val="en-GB"/>
              </w:rPr>
              <w:t>Code</w:t>
            </w:r>
          </w:p>
        </w:tc>
        <w:tc>
          <w:tcPr>
            <w:tcW w:w="8379" w:type="dxa"/>
            <w:tcBorders>
              <w:bottom w:val="single" w:sz="4" w:space="0" w:color="auto"/>
            </w:tcBorders>
            <w:shd w:val="clear" w:color="auto" w:fill="auto"/>
          </w:tcPr>
          <w:p w:rsidR="00931B63" w:rsidRPr="00931B63" w:rsidRDefault="00931B63" w:rsidP="00931B63">
            <w:pPr>
              <w:keepNext/>
              <w:tabs>
                <w:tab w:val="left" w:pos="567"/>
                <w:tab w:val="right" w:pos="1021"/>
                <w:tab w:val="left" w:pos="1701"/>
                <w:tab w:val="left" w:pos="2268"/>
              </w:tabs>
              <w:spacing w:before="240"/>
              <w:jc w:val="both"/>
              <w:rPr>
                <w:rFonts w:ascii="Calibri" w:hAnsi="Calibri"/>
                <w:b/>
                <w:i/>
                <w:iCs/>
                <w:sz w:val="20"/>
                <w:lang w:val="en-GB"/>
              </w:rPr>
            </w:pPr>
            <w:r w:rsidRPr="00931B63">
              <w:rPr>
                <w:rFonts w:ascii="Calibri" w:hAnsi="Calibri"/>
                <w:b/>
                <w:i/>
                <w:iCs/>
                <w:sz w:val="20"/>
                <w:lang w:val="en-GB"/>
              </w:rPr>
              <w:t xml:space="preserve">Zone </w:t>
            </w:r>
            <w:proofErr w:type="spellStart"/>
            <w:r w:rsidRPr="00931B63">
              <w:rPr>
                <w:rFonts w:ascii="Calibri" w:hAnsi="Calibri"/>
                <w:b/>
                <w:i/>
                <w:iCs/>
                <w:sz w:val="20"/>
                <w:lang w:val="en-GB"/>
              </w:rPr>
              <w:t>géographique</w:t>
            </w:r>
            <w:proofErr w:type="spellEnd"/>
            <w:r w:rsidRPr="00931B63">
              <w:rPr>
                <w:rFonts w:ascii="Calibri" w:hAnsi="Calibri"/>
                <w:b/>
                <w:i/>
                <w:iCs/>
                <w:sz w:val="20"/>
                <w:lang w:val="en-GB"/>
              </w:rPr>
              <w:t xml:space="preserve"> </w:t>
            </w:r>
            <w:proofErr w:type="spellStart"/>
            <w:r w:rsidRPr="00931B63">
              <w:rPr>
                <w:rFonts w:ascii="Calibri" w:hAnsi="Calibri"/>
                <w:b/>
                <w:i/>
                <w:iCs/>
                <w:sz w:val="20"/>
                <w:lang w:val="en-GB"/>
              </w:rPr>
              <w:t>ou</w:t>
            </w:r>
            <w:proofErr w:type="spellEnd"/>
            <w:r w:rsidRPr="00931B63">
              <w:rPr>
                <w:rFonts w:ascii="Calibri" w:hAnsi="Calibri"/>
                <w:b/>
                <w:i/>
                <w:iCs/>
                <w:sz w:val="20"/>
                <w:lang w:val="en-GB"/>
              </w:rPr>
              <w:t xml:space="preserve"> </w:t>
            </w:r>
            <w:proofErr w:type="spellStart"/>
            <w:r w:rsidRPr="00931B63">
              <w:rPr>
                <w:rFonts w:ascii="Calibri" w:hAnsi="Calibri"/>
                <w:b/>
                <w:i/>
                <w:iCs/>
                <w:sz w:val="20"/>
                <w:lang w:val="en-GB"/>
              </w:rPr>
              <w:t>réseau</w:t>
            </w:r>
            <w:proofErr w:type="spellEnd"/>
            <w:r w:rsidRPr="00931B63">
              <w:rPr>
                <w:rFonts w:ascii="Calibri" w:hAnsi="Calibri"/>
                <w:b/>
                <w:i/>
                <w:iCs/>
                <w:sz w:val="20"/>
                <w:lang w:val="en-GB"/>
              </w:rPr>
              <w:t xml:space="preserve"> </w:t>
            </w:r>
            <w:proofErr w:type="spellStart"/>
            <w:r w:rsidRPr="00931B63">
              <w:rPr>
                <w:rFonts w:ascii="Calibri" w:hAnsi="Calibri"/>
                <w:b/>
                <w:i/>
                <w:iCs/>
                <w:sz w:val="20"/>
                <w:lang w:val="en-GB"/>
              </w:rPr>
              <w:t>sémaphore</w:t>
            </w:r>
            <w:proofErr w:type="spellEnd"/>
            <w:r w:rsidRPr="00931B63">
              <w:rPr>
                <w:rFonts w:ascii="Calibri" w:hAnsi="Calibri"/>
                <w:b/>
                <w:i/>
                <w:iCs/>
                <w:sz w:val="20"/>
                <w:lang w:val="en-GB"/>
              </w:rPr>
              <w:t xml:space="preserve"> – </w:t>
            </w:r>
            <w:proofErr w:type="spellStart"/>
            <w:r w:rsidRPr="00931B63">
              <w:rPr>
                <w:rFonts w:ascii="Calibri" w:hAnsi="Calibri"/>
                <w:b/>
                <w:i/>
                <w:iCs/>
                <w:sz w:val="20"/>
                <w:lang w:val="en-GB"/>
              </w:rPr>
              <w:t>ordre</w:t>
            </w:r>
            <w:proofErr w:type="spellEnd"/>
            <w:r w:rsidRPr="00931B63">
              <w:rPr>
                <w:rFonts w:ascii="Calibri" w:hAnsi="Calibri"/>
                <w:b/>
                <w:i/>
                <w:iCs/>
                <w:sz w:val="20"/>
                <w:lang w:val="en-GB"/>
              </w:rPr>
              <w:t xml:space="preserve"> </w:t>
            </w:r>
            <w:proofErr w:type="spellStart"/>
            <w:r w:rsidRPr="00931B63">
              <w:rPr>
                <w:rFonts w:ascii="Calibri" w:hAnsi="Calibri"/>
                <w:b/>
                <w:i/>
                <w:iCs/>
                <w:sz w:val="20"/>
                <w:lang w:val="en-GB"/>
              </w:rPr>
              <w:t>numérique</w:t>
            </w:r>
            <w:proofErr w:type="spellEnd"/>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Liechtenstein (Principauté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Belgique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Belgique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Belgique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Belgique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Monaco (Principauté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Autriche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Autriche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Hongrie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Serbie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2-041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2-059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tchèque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Autriche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Autriche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Autriche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Autriche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2-069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Danemark</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Danemark</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Danemark</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Danemark</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Norvège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Norvège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Norvège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Norvège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2-088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Finlande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2-089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Finlande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Finlande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Finlande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Estonie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Belgique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Belgique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2-099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Belgique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Russie (Fédération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Gibraltar</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Autriche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2-135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Luxembourg</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Portugal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Portugal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Portugal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Portugal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Luxembourg</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Luxembourg</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Islande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Albanie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Malte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2-159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Chypre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Bulgarie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2-169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Turquie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Turquie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Turquie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Croatie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2-182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Slovénie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Saint-Marin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2-189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Andorre (Principauté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Andorre (Principauté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2-199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Estonie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Arménie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Bélarus</w:t>
            </w:r>
            <w:proofErr w:type="spellEnd"/>
            <w:r w:rsidRPr="00931B63">
              <w:rPr>
                <w:rFonts w:ascii="Calibri" w:hAnsi="Calibri"/>
                <w:bCs/>
                <w:sz w:val="18"/>
                <w:szCs w:val="22"/>
                <w:lang w:val="fr-FR"/>
              </w:rPr>
              <w:t xml:space="preserv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Géorgie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Hongrie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Géorgie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Ukraine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Danemark</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Bosnie-Herzégovine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Bosnie-Herzégovine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L'ex-République yougoslave de Macédoine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Portugal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Moldova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tchèque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2-229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tchèque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tchèque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tchèque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slovaque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slovaque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slovaque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slovaque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Lituanie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Finlande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2-255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Finlande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Canada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Saint-Pierre-et-Miquelon (Collectivité territoriale de la République française)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Moldova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Groenland (Danemark)</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3-027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3-059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Puerto</w:t>
            </w:r>
            <w:proofErr w:type="spellEnd"/>
            <w:r w:rsidRPr="00931B63">
              <w:rPr>
                <w:rFonts w:ascii="Calibri" w:hAnsi="Calibri"/>
                <w:bCs/>
                <w:sz w:val="18"/>
                <w:szCs w:val="22"/>
                <w:lang w:val="fr-FR"/>
              </w:rPr>
              <w:t xml:space="preserve"> Rico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Vierges américaines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3-068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3-069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Jamaïque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Jamaïque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Jamaïque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Jamaïque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3-084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Barbade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Barbade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3-086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Barbade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Antigua-et-Barbuda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3-089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Antigua-et-Barbuda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3-092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Caïmanes</w:t>
            </w:r>
            <w:proofErr w:type="spellEnd"/>
            <w:r w:rsidRPr="00931B63">
              <w:rPr>
                <w:rFonts w:ascii="Calibri" w:hAnsi="Calibri"/>
                <w:bCs/>
                <w:sz w:val="18"/>
                <w:szCs w:val="22"/>
                <w:lang w:val="fr-FR"/>
              </w:rPr>
              <w:t xml:space="preserve">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3-093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Caïmanes</w:t>
            </w:r>
            <w:proofErr w:type="spellEnd"/>
            <w:r w:rsidRPr="00931B63">
              <w:rPr>
                <w:rFonts w:ascii="Calibri" w:hAnsi="Calibri"/>
                <w:bCs/>
                <w:sz w:val="18"/>
                <w:szCs w:val="22"/>
                <w:lang w:val="fr-FR"/>
              </w:rPr>
              <w:t xml:space="preserve">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Vierges britanniques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3-097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Vierges britanniques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Bermudes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Grenade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Montserrat</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Saint-Kitts-et-Nevis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Sainte-Lucie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Saint-Vincent-et-les Grenadines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Curaçao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Curaçao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Curaçao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Bahamas (Commonwealth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Dominique (Commonwealth de la)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Cuba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Cuba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Dominicaine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Dominicaine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Dominicaine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Haïti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Trinité-et-Tobago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Trinité-et-Tobago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Trinité-et-Tobago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Turks-et-</w:t>
            </w:r>
            <w:proofErr w:type="spellStart"/>
            <w:r w:rsidRPr="00931B63">
              <w:rPr>
                <w:rFonts w:ascii="Calibri" w:hAnsi="Calibri"/>
                <w:bCs/>
                <w:sz w:val="18"/>
                <w:szCs w:val="22"/>
                <w:lang w:val="fr-FR"/>
              </w:rPr>
              <w:t>Caïcos</w:t>
            </w:r>
            <w:proofErr w:type="spellEnd"/>
            <w:r w:rsidRPr="00931B63">
              <w:rPr>
                <w:rFonts w:ascii="Calibri" w:hAnsi="Calibri"/>
                <w:bCs/>
                <w:sz w:val="18"/>
                <w:szCs w:val="22"/>
                <w:lang w:val="fr-FR"/>
              </w:rPr>
              <w:t xml:space="preserve">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Turks-et-</w:t>
            </w:r>
            <w:proofErr w:type="spellStart"/>
            <w:r w:rsidRPr="00931B63">
              <w:rPr>
                <w:rFonts w:ascii="Calibri" w:hAnsi="Calibri"/>
                <w:bCs/>
                <w:sz w:val="18"/>
                <w:szCs w:val="22"/>
                <w:lang w:val="fr-FR"/>
              </w:rPr>
              <w:t>Caïcos</w:t>
            </w:r>
            <w:proofErr w:type="spellEnd"/>
            <w:r w:rsidRPr="00931B63">
              <w:rPr>
                <w:rFonts w:ascii="Calibri" w:hAnsi="Calibri"/>
                <w:bCs/>
                <w:sz w:val="18"/>
                <w:szCs w:val="22"/>
                <w:lang w:val="fr-FR"/>
              </w:rPr>
              <w:t xml:space="preserve">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Turks-et-</w:t>
            </w:r>
            <w:proofErr w:type="spellStart"/>
            <w:r w:rsidRPr="00931B63">
              <w:rPr>
                <w:rFonts w:ascii="Calibri" w:hAnsi="Calibri"/>
                <w:bCs/>
                <w:sz w:val="18"/>
                <w:szCs w:val="22"/>
                <w:lang w:val="fr-FR"/>
              </w:rPr>
              <w:t>Caïcos</w:t>
            </w:r>
            <w:proofErr w:type="spellEnd"/>
            <w:r w:rsidRPr="00931B63">
              <w:rPr>
                <w:rFonts w:ascii="Calibri" w:hAnsi="Calibri"/>
                <w:bCs/>
                <w:sz w:val="18"/>
                <w:szCs w:val="22"/>
                <w:lang w:val="fr-FR"/>
              </w:rPr>
              <w:t xml:space="preserve">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Guadeloupe (Département français de la)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Martinique (Département français de la)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Aruba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3-165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Féroé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3-168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Anguilla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3-169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Anguilla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Féroé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3-181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3-189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3-199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3-201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Etats-Unis d'Amérique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Sainte-Hélène, Ascension et Tristan da Cunha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Mexique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Albanie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Bulgarie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Albanie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Bosnie-Herzégovine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Cambodge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Monténégro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Estonie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Croatie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Géorgie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3-247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Turquie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Chypre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Portugal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3-255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Israël (Etat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Israël (Etat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Pakistan (République islamique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Pakistan (République islamique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Pakistan (République islamique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Pakistan (République islamique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Pakistan (République islamique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Afghanistan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Afghanistan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Sri Lanka (République socialiste démocratique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Sri Lanka (République socialiste démocratique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Myanmar (République de l'Union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Bangladesh (République populaire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Liban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Jordanie (Royaume hachémite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Jordanie (Royaume hachémite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Jordanie (Royaume hachémite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arabe syrienne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Iraq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Koweït (Etat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Arabie saoudite (Royaume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Arabie saoudite (Royaume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Arabie saoudite (Royaume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Yémen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4-043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Arabie saoudite (Royaume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Oman (Sultanat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Oman (Sultanat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Yémen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Emirats arabes unis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Emirats arabes unis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Israël (Etat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Israël (Etat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Bahreïn (Royaume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Bahreïn (Royaume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Qatar (Etat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Qatar (Etat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Mongolie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Népal (République fédérale démocratique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Népal (République fédérale démocratique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4-059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Népal (République fédérale démocratique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Emirats arabes unis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4-061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Emirats arabes unis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4-062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Emirats arabes unis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Iran (République islamique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4-065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Iran (République islamique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Azerbaïdjan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Azerbaïdjan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Bhoutan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Kazakhstan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Kazakhstan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Kazakhstan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Kazakhstan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kirghize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kirghize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Bahreïn (Royaume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4-089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Bahreïn (Royaume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4-090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Japon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Viet Nam (République socialiste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Viet Nam (République socialiste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4-106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Macao,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Cambodge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Cambodge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Lao (République démocratique populaire)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Macao,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Chine (République populaire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populaire démocratique de Corée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Afghanistan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Afghanistan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Afghanistan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Bangladesh (République populaire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Bangladesh (République populaire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Bangladesh (République populaire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Bangladesh (République populaire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Bangladesh (République populaire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Maldives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Corée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Tadjikistan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Tadjikistan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4-159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Tadjikistan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Turkménistan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Ouzbékistan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4-165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Ouzbékistan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4-167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kirghize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4-170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Taiwan,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Taiwan,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Taiwan,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Taiwan,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Taiwan,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Réservé</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4-181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4-183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 Kong, Chine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Sri Lanka (République socialiste démocratique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4-191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Sri Lanka (République socialiste démocratique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4-195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Jordanie (Royaume hachémite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4-196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Jordanie (Royaume hachémite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Koweït (Etat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Viet Nam (République socialiste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Viet Nam (République socialiste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Maldives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Népal (République fédérale démocratique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Inde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Myanmar (République de l'Union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Myanmar (République de l'Union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Albanie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Finlande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Slovénie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Arménie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Lituanie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Ukraine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Hongrie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4-246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Serbie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Croatie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slovaque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4-255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Indonésie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Indonésie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Indonésie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Indonésie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Indonésie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Indonésie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Philippines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Thaïlande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Thaïlande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Thaïlande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5-042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Thaïlande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Thaïlande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Thaïlande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Brunéi</w:t>
            </w:r>
            <w:proofErr w:type="spellEnd"/>
            <w:r w:rsidRPr="00931B63">
              <w:rPr>
                <w:rFonts w:ascii="Calibri" w:hAnsi="Calibri"/>
                <w:bCs/>
                <w:sz w:val="18"/>
                <w:szCs w:val="22"/>
                <w:lang w:val="fr-FR"/>
              </w:rPr>
              <w:t xml:space="preserve"> Darussalam</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Brunéi</w:t>
            </w:r>
            <w:proofErr w:type="spellEnd"/>
            <w:r w:rsidRPr="00931B63">
              <w:rPr>
                <w:rFonts w:ascii="Calibri" w:hAnsi="Calibri"/>
                <w:bCs/>
                <w:sz w:val="18"/>
                <w:szCs w:val="22"/>
                <w:lang w:val="fr-FR"/>
              </w:rPr>
              <w:t xml:space="preserve"> Darussalam</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Nouvelle-Zélande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5-061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Nouvelle-Zélande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5-062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Nouvelle-Zélande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5-063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Nouvelle-Zélande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5-065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Nouvelle-Zélande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5-067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Nouvelle-Zélande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Guam</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Nauru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Papouasie-Nouvelle-Guinée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Papouasie-Nouvelle-Guinée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Tonga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Salomon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Vanuatu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Fidji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Fidji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5-086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Wallis-et-Futuna (Territoire français d'outre-mer)</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Samoa américaines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5-092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Nouvelle-Calédonie (Territoire français d'outre-mer)</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5-094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Polynésie française (Territoire français d'outre-mer)</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Cook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5-098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Samoa (Etat indépendant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Kiribati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Tuvalu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Marshall (République des Iles)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Micronésie (Etats fédérés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Palaos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Mariannes du Nord (Iles) (Commonwealth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5-118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Australie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Timor-Leste (République démocratique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Timor-Leste (République démocratique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Thaïlande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5-144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Singapour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Chypre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Bulgarie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Hongrie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L'ex-République yougoslave de Macédoine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L'ex-République yougoslave de Macédoine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Estonie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L'ex-République yougoslave de Macédoine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Croatie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Géorgie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Arménie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Malte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Chypre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Monténégro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Turquie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Slovénie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Slovénie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5-253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5-255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Egypte (République arabe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Egypte (République arabe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Egypte (République arabe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Algérie (République algérienne démocratique et populaire)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Algérie (République algérienne démocratique et populaire)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Maroc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Maroc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Tunisie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Libye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Libye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Libye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Gambie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Gambie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Sénégal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Sénégal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Mauritanie (République islamique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Mauritanie (République islamique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Mali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Guinée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Guinée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Guinée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Côte d'Ivoire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Côte d'Ivoire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Burkina Faso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Niger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Niger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Togolaise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Bénin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Bénin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Maurice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Maurice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Maurice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Libéria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Sierra Leone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Sierra Leone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Ghana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Nigéria (République fédérale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Nigéria (République fédérale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Nigéria (République fédérale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Tchad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Centrafricaine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Centrafricaine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Cameroun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Cameroun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6-050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Cabo Verde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Cabo Verde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Sao Tomé-et-Principe (République démocratique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Guinée équatoriale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Gabonaise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Gabonaise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Gabonaise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Congo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6-059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démocratique du Congo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démocratique du Congo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démocratique du Congo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Angola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Angola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Guinée-Bissau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Seychelles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Seychelles (République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Soudan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6-069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Soudan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Rwanda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Rwanda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Ethiopie (République fédérale démocratique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Rwanda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Somalie (République fédérale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Djibouti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Rwanda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Kenya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Kenya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Tanzanie (République-Unie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Tanzanie (République-Unie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Ouganda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Ouganda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Burundi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Burundi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Mozambique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Mozambique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Congo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6-089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Congo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Zambie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Madagascar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Madagascar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 de l'Océan indien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Zimbabwe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Zimbabwe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Zimbabwe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Namibie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6-099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Namibie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Malawi</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6-102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Lesotho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Botswana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Botswana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Swaziland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Comores (Union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Sudafricaine</w:t>
            </w:r>
            <w:proofErr w:type="spellEnd"/>
            <w:r w:rsidRPr="00931B63">
              <w:rPr>
                <w:rFonts w:ascii="Calibri" w:hAnsi="Calibri"/>
                <w:bCs/>
                <w:sz w:val="18"/>
                <w:szCs w:val="22"/>
                <w:lang w:val="fr-FR"/>
              </w:rPr>
              <w:t xml:space="preserv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Sudafricaine</w:t>
            </w:r>
            <w:proofErr w:type="spellEnd"/>
            <w:r w:rsidRPr="00931B63">
              <w:rPr>
                <w:rFonts w:ascii="Calibri" w:hAnsi="Calibri"/>
                <w:bCs/>
                <w:sz w:val="18"/>
                <w:szCs w:val="22"/>
                <w:lang w:val="fr-FR"/>
              </w:rPr>
              <w:t xml:space="preserv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6-111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Sudafricaine</w:t>
            </w:r>
            <w:proofErr w:type="spellEnd"/>
            <w:r w:rsidRPr="00931B63">
              <w:rPr>
                <w:rFonts w:ascii="Calibri" w:hAnsi="Calibri"/>
                <w:bCs/>
                <w:sz w:val="18"/>
                <w:szCs w:val="22"/>
                <w:lang w:val="fr-FR"/>
              </w:rPr>
              <w:t xml:space="preserv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Sudafricaine</w:t>
            </w:r>
            <w:proofErr w:type="spellEnd"/>
            <w:r w:rsidRPr="00931B63">
              <w:rPr>
                <w:rFonts w:ascii="Calibri" w:hAnsi="Calibri"/>
                <w:bCs/>
                <w:sz w:val="18"/>
                <w:szCs w:val="22"/>
                <w:lang w:val="fr-FR"/>
              </w:rPr>
              <w:t xml:space="preserv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Sudafricaine</w:t>
            </w:r>
            <w:proofErr w:type="spellEnd"/>
            <w:r w:rsidRPr="00931B63">
              <w:rPr>
                <w:rFonts w:ascii="Calibri" w:hAnsi="Calibri"/>
                <w:bCs/>
                <w:sz w:val="18"/>
                <w:szCs w:val="22"/>
                <w:lang w:val="fr-FR"/>
              </w:rPr>
              <w:t xml:space="preserv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Erythrée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Sainte-Hélène, Ascension et Tristan da Cunha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 de l'Océan indien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Diego Garcia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Tanzanie (République-Unie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Ouganda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Ouganda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Ouganda (République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Nigéria (République fédérale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Angola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proofErr w:type="spellStart"/>
            <w:r w:rsidRPr="00931B63">
              <w:rPr>
                <w:rFonts w:ascii="Calibri" w:hAnsi="Calibri"/>
                <w:bCs/>
                <w:sz w:val="18"/>
                <w:szCs w:val="22"/>
                <w:lang w:val="fr-FR"/>
              </w:rPr>
              <w:t>Sudafricaine</w:t>
            </w:r>
            <w:proofErr w:type="spellEnd"/>
            <w:r w:rsidRPr="00931B63">
              <w:rPr>
                <w:rFonts w:ascii="Calibri" w:hAnsi="Calibri"/>
                <w:bCs/>
                <w:sz w:val="18"/>
                <w:szCs w:val="22"/>
                <w:lang w:val="fr-FR"/>
              </w:rPr>
              <w:t xml:space="preserv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Maroc (Royaume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Ghana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6-168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Cameroun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Soudan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Soudan du Sud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Soudan du Sud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Guinée équatoriale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Guinée équatoriale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Cameroun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démocratique du Congo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6-179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démocratique du Congo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Algérie (République algérienne démocratique et populaire)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6-183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Mali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L'ex-République yougoslave de Macédoine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L'ex-République yougoslave de Macédoine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Arménie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Estonie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Lituanie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Chypre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tchèque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6-235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Slovénie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Bulgarie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Monaco (Principauté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Ukraine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Islande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Italie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Irlande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Bulgarie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Bulgarie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Hongrie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Slovénie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6-255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7-004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Belize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Belize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7-008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Guatemala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7-009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Guatemala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Guatemala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El Salvador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El Salvador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El Salvador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El Salvador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Honduras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Honduras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Honduras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Nicaragua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Nicaragua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Costa Rica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Costa Rica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Costa Rica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Panama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Panama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Panama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Panama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Panama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Panama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7-035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Argentine (République)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Brésil (République fédérative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7-059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Chili</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Chili</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Chili</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Chili</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Chili</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Colombie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Colombie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Colombie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Colombie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Venezuela (République bolivarienne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7-069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Venezuela (République bolivarienne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Venezuela (République bolivarienne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Venezuela (République bolivarienne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Guyana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7-077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Guyana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7-080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Equateur</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7-081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Equateur</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7-082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Equateur</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7-084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Guyane française (Département français de la)</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7-088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Paraguay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7-089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Paraguay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7-090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Paraguay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7-092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Suriname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7-093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Suriname (République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7-096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Uruguay (République orientale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7-097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Uruguay (République orientale de l')</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7-099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Falkland (Iles) (Malvinas)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7-100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Venezuela (République bolivarienne du)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Colombie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Bolivie (État plurinational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7-160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7-161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Pérou</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7-203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7-205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Luxembourg</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7-206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7-207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Suède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Liechtenstein (Principauté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Kosovo*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Kosovo*</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Croatie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Colombie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Norvège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7-219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Albanie (République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Luxembourg</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Bulgarie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Malte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Pays-Bas (Royaume des)</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Grèce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Serbie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7-229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Lituanie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Norvège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Bosnie-Herzégovine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Croatie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France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7-239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République slovaque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lastRenderedPageBreak/>
              <w:t>7-240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Norvège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Ukraine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7-246</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Pologne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7-247</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Suisse (Confédération)</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7-248</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Roumanie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7-249</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Allemagne (République fédérale 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7-250</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Lettonie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7-251</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7-252</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Lituanie (République de)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7-253</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Royaume-Uni de Grande-Bretagne et d'Irlande du Nord</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7-254</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Espagne</w:t>
            </w:r>
          </w:p>
        </w:tc>
      </w:tr>
      <w:tr w:rsidR="00931B63" w:rsidRPr="00931B63" w:rsidTr="00CE0E47">
        <w:trPr>
          <w:trHeight w:val="240"/>
        </w:trPr>
        <w:tc>
          <w:tcPr>
            <w:tcW w:w="90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7-255</w:t>
            </w:r>
          </w:p>
        </w:tc>
        <w:tc>
          <w:tcPr>
            <w:tcW w:w="8379" w:type="dxa"/>
            <w:shd w:val="clear" w:color="auto" w:fill="auto"/>
          </w:tcPr>
          <w:p w:rsidR="00931B63" w:rsidRPr="00931B63" w:rsidRDefault="00931B63" w:rsidP="00931B63">
            <w:pPr>
              <w:tabs>
                <w:tab w:val="right" w:pos="454"/>
              </w:tabs>
              <w:spacing w:before="40" w:after="40"/>
              <w:rPr>
                <w:rFonts w:ascii="Calibri" w:hAnsi="Calibri"/>
                <w:bCs/>
                <w:sz w:val="18"/>
                <w:szCs w:val="22"/>
                <w:lang w:val="fr-FR"/>
              </w:rPr>
            </w:pPr>
            <w:r w:rsidRPr="00931B63">
              <w:rPr>
                <w:rFonts w:ascii="Calibri" w:hAnsi="Calibri"/>
                <w:bCs/>
                <w:sz w:val="18"/>
                <w:szCs w:val="22"/>
                <w:lang w:val="fr-FR"/>
              </w:rPr>
              <w:t>Liechtenstein (Principauté de)</w:t>
            </w:r>
          </w:p>
        </w:tc>
      </w:tr>
    </w:tbl>
    <w:p w:rsidR="00931B63" w:rsidRDefault="00931B63" w:rsidP="008D1DAA"/>
    <w:p w:rsidR="00931B63" w:rsidRDefault="00931B63" w:rsidP="008D1DAA"/>
    <w:p w:rsidR="00A247CC" w:rsidRDefault="00006A24" w:rsidP="00313FBC">
      <w:r>
        <w:br w:type="page"/>
      </w:r>
    </w:p>
    <w:p w:rsidR="00056D08" w:rsidRDefault="00056D08" w:rsidP="00A247CC">
      <w:pPr>
        <w:rPr>
          <w:rFonts w:ascii="Calibri" w:hAnsi="Calibri"/>
        </w:rPr>
      </w:pPr>
    </w:p>
    <w:tbl>
      <w:tblPr>
        <w:tblW w:w="9288" w:type="dxa"/>
        <w:tblLayout w:type="fixed"/>
        <w:tblLook w:val="01E0" w:firstRow="1" w:lastRow="1" w:firstColumn="1" w:lastColumn="1" w:noHBand="0" w:noVBand="0"/>
      </w:tblPr>
      <w:tblGrid>
        <w:gridCol w:w="909"/>
        <w:gridCol w:w="8379"/>
      </w:tblGrid>
      <w:tr w:rsidR="00CE0E47" w:rsidRPr="00CE0E47" w:rsidTr="0060220A">
        <w:trPr>
          <w:trHeight w:val="240"/>
          <w:tblHeader/>
        </w:trPr>
        <w:tc>
          <w:tcPr>
            <w:tcW w:w="909" w:type="dxa"/>
            <w:tcBorders>
              <w:bottom w:val="single" w:sz="4" w:space="0" w:color="auto"/>
            </w:tcBorders>
            <w:shd w:val="clear" w:color="auto" w:fill="auto"/>
          </w:tcPr>
          <w:p w:rsidR="00CE0E47" w:rsidRPr="0060220A" w:rsidRDefault="00CE0E47" w:rsidP="00CE0E47">
            <w:pPr>
              <w:keepNext/>
              <w:tabs>
                <w:tab w:val="left" w:pos="567"/>
                <w:tab w:val="right" w:pos="1021"/>
                <w:tab w:val="left" w:pos="1701"/>
                <w:tab w:val="left" w:pos="2268"/>
              </w:tabs>
              <w:spacing w:before="240"/>
              <w:jc w:val="both"/>
              <w:rPr>
                <w:rFonts w:ascii="Calibri" w:hAnsi="Calibri"/>
                <w:b/>
                <w:i/>
                <w:iCs/>
                <w:sz w:val="20"/>
                <w:lang w:val="en-GB"/>
              </w:rPr>
            </w:pPr>
            <w:r w:rsidRPr="0060220A">
              <w:rPr>
                <w:rFonts w:ascii="Calibri" w:hAnsi="Calibri"/>
                <w:b/>
                <w:i/>
                <w:iCs/>
                <w:sz w:val="20"/>
                <w:lang w:val="en-GB"/>
              </w:rPr>
              <w:t>Code</w:t>
            </w:r>
          </w:p>
        </w:tc>
        <w:tc>
          <w:tcPr>
            <w:tcW w:w="8379" w:type="dxa"/>
            <w:tcBorders>
              <w:bottom w:val="single" w:sz="4" w:space="0" w:color="auto"/>
            </w:tcBorders>
            <w:shd w:val="clear" w:color="auto" w:fill="auto"/>
          </w:tcPr>
          <w:p w:rsidR="00CE0E47" w:rsidRPr="0060220A" w:rsidRDefault="00CE0E47" w:rsidP="00CE0E47">
            <w:pPr>
              <w:keepNext/>
              <w:tabs>
                <w:tab w:val="left" w:pos="567"/>
                <w:tab w:val="right" w:pos="1021"/>
                <w:tab w:val="left" w:pos="1701"/>
                <w:tab w:val="left" w:pos="2268"/>
              </w:tabs>
              <w:spacing w:before="240"/>
              <w:jc w:val="both"/>
              <w:rPr>
                <w:rFonts w:ascii="Calibri" w:hAnsi="Calibri"/>
                <w:b/>
                <w:i/>
                <w:iCs/>
                <w:sz w:val="20"/>
                <w:lang w:val="en-GB"/>
              </w:rPr>
            </w:pPr>
            <w:r w:rsidRPr="0060220A">
              <w:rPr>
                <w:rFonts w:ascii="Calibri" w:hAnsi="Calibri"/>
                <w:b/>
                <w:i/>
                <w:iCs/>
                <w:sz w:val="20"/>
                <w:lang w:val="en-GB"/>
              </w:rPr>
              <w:t xml:space="preserve">Zone </w:t>
            </w:r>
            <w:proofErr w:type="spellStart"/>
            <w:r w:rsidRPr="0060220A">
              <w:rPr>
                <w:rFonts w:ascii="Calibri" w:hAnsi="Calibri"/>
                <w:b/>
                <w:i/>
                <w:iCs/>
                <w:sz w:val="20"/>
                <w:lang w:val="en-GB"/>
              </w:rPr>
              <w:t>géographique</w:t>
            </w:r>
            <w:proofErr w:type="spellEnd"/>
            <w:r w:rsidRPr="0060220A">
              <w:rPr>
                <w:rFonts w:ascii="Calibri" w:hAnsi="Calibri"/>
                <w:b/>
                <w:i/>
                <w:iCs/>
                <w:sz w:val="20"/>
                <w:lang w:val="en-GB"/>
              </w:rPr>
              <w:t xml:space="preserve"> </w:t>
            </w:r>
            <w:proofErr w:type="spellStart"/>
            <w:r w:rsidRPr="0060220A">
              <w:rPr>
                <w:rFonts w:ascii="Calibri" w:hAnsi="Calibri"/>
                <w:b/>
                <w:i/>
                <w:iCs/>
                <w:sz w:val="20"/>
                <w:lang w:val="en-GB"/>
              </w:rPr>
              <w:t>ou</w:t>
            </w:r>
            <w:proofErr w:type="spellEnd"/>
            <w:r w:rsidRPr="0060220A">
              <w:rPr>
                <w:rFonts w:ascii="Calibri" w:hAnsi="Calibri"/>
                <w:b/>
                <w:i/>
                <w:iCs/>
                <w:sz w:val="20"/>
                <w:lang w:val="en-GB"/>
              </w:rPr>
              <w:t xml:space="preserve"> </w:t>
            </w:r>
            <w:proofErr w:type="spellStart"/>
            <w:r w:rsidRPr="0060220A">
              <w:rPr>
                <w:rFonts w:ascii="Calibri" w:hAnsi="Calibri"/>
                <w:b/>
                <w:i/>
                <w:iCs/>
                <w:sz w:val="20"/>
                <w:lang w:val="en-GB"/>
              </w:rPr>
              <w:t>réseau</w:t>
            </w:r>
            <w:proofErr w:type="spellEnd"/>
            <w:r w:rsidRPr="0060220A">
              <w:rPr>
                <w:rFonts w:ascii="Calibri" w:hAnsi="Calibri"/>
                <w:b/>
                <w:i/>
                <w:iCs/>
                <w:sz w:val="20"/>
                <w:lang w:val="en-GB"/>
              </w:rPr>
              <w:t xml:space="preserve"> </w:t>
            </w:r>
            <w:proofErr w:type="spellStart"/>
            <w:r w:rsidRPr="0060220A">
              <w:rPr>
                <w:rFonts w:ascii="Calibri" w:hAnsi="Calibri"/>
                <w:b/>
                <w:i/>
                <w:iCs/>
                <w:sz w:val="20"/>
                <w:lang w:val="en-GB"/>
              </w:rPr>
              <w:t>sémaphore</w:t>
            </w:r>
            <w:proofErr w:type="spellEnd"/>
            <w:r w:rsidR="0060220A" w:rsidRPr="0060220A">
              <w:rPr>
                <w:rFonts w:ascii="Calibri" w:hAnsi="Calibri"/>
                <w:b/>
                <w:i/>
                <w:iCs/>
                <w:sz w:val="20"/>
                <w:lang w:val="en-GB"/>
              </w:rPr>
              <w:t xml:space="preserve"> – </w:t>
            </w:r>
            <w:proofErr w:type="spellStart"/>
            <w:r w:rsidR="0060220A" w:rsidRPr="0060220A">
              <w:rPr>
                <w:rFonts w:ascii="Calibri" w:hAnsi="Calibri"/>
                <w:b/>
                <w:i/>
                <w:iCs/>
                <w:sz w:val="20"/>
                <w:lang w:val="en-GB"/>
              </w:rPr>
              <w:t>ordre</w:t>
            </w:r>
            <w:proofErr w:type="spellEnd"/>
            <w:r w:rsidR="0060220A" w:rsidRPr="0060220A">
              <w:rPr>
                <w:rFonts w:ascii="Calibri" w:hAnsi="Calibri"/>
                <w:b/>
                <w:i/>
                <w:iCs/>
                <w:sz w:val="20"/>
                <w:lang w:val="en-GB"/>
              </w:rPr>
              <w:t xml:space="preserve"> </w:t>
            </w:r>
            <w:proofErr w:type="spellStart"/>
            <w:r w:rsidR="0060220A" w:rsidRPr="0060220A">
              <w:rPr>
                <w:rFonts w:ascii="Calibri" w:hAnsi="Calibri"/>
                <w:b/>
                <w:i/>
                <w:iCs/>
                <w:sz w:val="20"/>
                <w:lang w:val="en-GB"/>
              </w:rPr>
              <w:t>alphabétique</w:t>
            </w:r>
            <w:proofErr w:type="spellEnd"/>
            <w:r w:rsidR="0060220A" w:rsidRPr="0060220A">
              <w:rPr>
                <w:rFonts w:ascii="Calibri" w:hAnsi="Calibri"/>
                <w:b/>
                <w:i/>
                <w:iCs/>
                <w:sz w:val="20"/>
                <w:lang w:val="en-GB"/>
              </w:rPr>
              <w:t xml:space="preserve">    </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Afghanistan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Afghanistan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Afghanistan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Afghanistan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Afghanistan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Albanie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Albanie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Albanie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Albanie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Albanie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Algérie (République algérienne démocratique et populaire)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Algérie (République algérienne démocratique et populaire)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Algérie (République algérienne démocratique et populaire)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3-252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Allemagne (République fédérale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Andorre (Principauté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Andorre (Principauté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Angola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Angola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Angola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3-168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Anguilla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3-169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Anguilla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Antigua-et-Barbuda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3-089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Antigua-et-Barbuda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Arabie saoudite (Royaume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Arabie saoudite (Royaume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Arabie saoudite (Royaume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Arabie saoudite (Royaume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Argentine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Arménie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Arménie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Arménie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Arménie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Aruba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5-116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Australie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Autriche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Autriche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Autriche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Autriche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Autriche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Autriche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Autriche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Azerbaïdjan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Azerbaïdjan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Bahamas (Commonwealth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Bahreïn (Royaume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Bahreïn (Royaume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Bahreïn (Royaume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Bahreïn (Royaume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Bangladesh (République populaire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Bangladesh (République populaire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Bangladesh (République populaire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Bangladesh (République populaire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Bangladesh (République populaire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Bangladesh (République populaire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Barbade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Barbade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3-086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Barbade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Bélarus</w:t>
            </w:r>
            <w:proofErr w:type="spellEnd"/>
            <w:r w:rsidRPr="00CE0E47">
              <w:rPr>
                <w:rFonts w:ascii="Calibri" w:hAnsi="Calibri"/>
                <w:bCs/>
                <w:sz w:val="18"/>
                <w:szCs w:val="22"/>
                <w:lang w:val="fr-FR"/>
              </w:rPr>
              <w:t xml:space="preserve">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Belgique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Belgique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Belgique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Belgique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Belgique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Belgique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Belgique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Belize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Belize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Bénin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Bénin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Bermudes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Bhoutan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7-075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Bolivie (État plurinational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Bosnie-Herzégovine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Bosnie-Herzégovine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Bosnie-Herzégovine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Bosnie-Herzégovine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Botswana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Botswana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Brésil (République fédérative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Brunéi</w:t>
            </w:r>
            <w:proofErr w:type="spellEnd"/>
            <w:r w:rsidRPr="00CE0E47">
              <w:rPr>
                <w:rFonts w:ascii="Calibri" w:hAnsi="Calibri"/>
                <w:bCs/>
                <w:sz w:val="18"/>
                <w:szCs w:val="22"/>
                <w:lang w:val="fr-FR"/>
              </w:rPr>
              <w:t xml:space="preserve"> Darussalam</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Brunéi</w:t>
            </w:r>
            <w:proofErr w:type="spellEnd"/>
            <w:r w:rsidRPr="00CE0E47">
              <w:rPr>
                <w:rFonts w:ascii="Calibri" w:hAnsi="Calibri"/>
                <w:bCs/>
                <w:sz w:val="18"/>
                <w:szCs w:val="22"/>
                <w:lang w:val="fr-FR"/>
              </w:rPr>
              <w:t xml:space="preserve"> Darussalam</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Bulgarie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Bulgarie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Bulgarie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Bulgarie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Bulgarie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Bulgarie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Bulgarie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Burkina Faso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Burundi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Burundi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Cabo Verde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Cabo Verde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3-092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Caïmanes</w:t>
            </w:r>
            <w:proofErr w:type="spellEnd"/>
            <w:r w:rsidRPr="00CE0E47">
              <w:rPr>
                <w:rFonts w:ascii="Calibri" w:hAnsi="Calibri"/>
                <w:bCs/>
                <w:sz w:val="18"/>
                <w:szCs w:val="22"/>
                <w:lang w:val="fr-FR"/>
              </w:rPr>
              <w:t xml:space="preserve">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3-093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Caïmanes</w:t>
            </w:r>
            <w:proofErr w:type="spellEnd"/>
            <w:r w:rsidRPr="00CE0E47">
              <w:rPr>
                <w:rFonts w:ascii="Calibri" w:hAnsi="Calibri"/>
                <w:bCs/>
                <w:sz w:val="18"/>
                <w:szCs w:val="22"/>
                <w:lang w:val="fr-FR"/>
              </w:rPr>
              <w:t xml:space="preserve">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Cambodge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Cambodge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Cambodge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Cameroun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Cameroun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6-168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Cameroun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Cameroun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3-007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Canada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Centrafricaine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Centrafricaine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7-059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Chili</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Chili</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Chili</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Chili</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Chili</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Chine (République populaire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Chypre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Chypre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Chypre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Chypre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Chypre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Colombie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Colombie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Colombie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Colombie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Colombie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Colombie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Comores (Union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Congo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Congo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Congo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Cook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4-149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Corée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Costa Rica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Costa Rica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Costa Rica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Côte d'Ivoire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Côte d'Ivoire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Croatie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Croatie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Croatie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Croatie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Croatie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Croatie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Cuba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Cuba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Curaçao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Curaçao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Curaçao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Danemark</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Danemark</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Danemark</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Danemark</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Danemark</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Diego Garcia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Djibouti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Dominicaine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Dominicaine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Dominicaine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Dominique (Commonwealth de la)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Egypte (République arabe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Egypte (République arabe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Egypte (République arabe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El Salvador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El Salvador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El Salvador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El Salvador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Emirats arabes unis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Emirats arabes unis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Emirats arabes unis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4-061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Emirats arabes unis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4-062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Emirats arabes unis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Equateur</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7-081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Equateur</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7-082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Equateur</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Erythrée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Espagne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Estonie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Estonie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Estonie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Estonie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Estonie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3-044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3-059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3-189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3-199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3-201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Etats-Unis d'Amérique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Ethiopie (République fédérale démocratique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7-099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Falkland (Iles) (Malvinas)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3-165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Féroé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Féroé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Fidji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Fidji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2-088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Finlande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Finlande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Finlande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Finlande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Finlande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Finlande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Finlande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 de l'Océan indien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France de l'Océan indien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Gabonaise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Gabonaise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Gabonaise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Gambie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Gambie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Géorgie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Géorgie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Géorgie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Géorgie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Ghana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Ghana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Gibraltar</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5-254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Grèce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Grenade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Groenland (Danemark)</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Guadeloupe (Département français de la)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Guam</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Guatemala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Guatemala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Guatemala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Guinée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Guinée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Guinée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Guinée équatoriale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Guinée équatoriale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Guinée équatoriale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Guinée-Bissau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Guyana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Guyana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Guyane française (Département français de la)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Haïti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Honduras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Honduras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Honduras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4-181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4-183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 Kong,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Hongrie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Hongrie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Hongrie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Hongrie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Hongrie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4-008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Inde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Indonésie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Indonésie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Indonésie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Indonésie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Indonésie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Indonésie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Iran (République islamique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4-065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Iran (République islamique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Iraq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Irlande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Islande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Islande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Israël (Etat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Israël (Etat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Israël (Etat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Israël (Etat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2-051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2-095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Italie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Jamaïque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Jamaïque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Jamaïque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Jamaïque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4-087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Japon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Jordanie (Royaume hachémite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Jordanie (Royaume hachémite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Jordanie (Royaume hachémite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4-195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Jordanie (Royaume hachémite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Jordanie (Royaume hachémite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Kazakhstan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Kazakhstan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Kazakhstan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Kazakhstan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Kenya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Kenya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Kiribati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Kosovo*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Kosovo*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Koweït (Etat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Koweït (Etat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Lao (République démocratique populaire)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Lesotho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2-096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Lettonie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L'ex-République yougoslave de Macédoine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L'ex-République yougoslave de Macédoine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L'ex-République yougoslave de Macédoine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L'ex-République yougoslave de Macédoine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L'ex-République yougoslave de Macédoine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L'ex-République yougoslave de Macédoine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Liban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Libéria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Libye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Libye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Libye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Liechtenstein (Principauté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Liechtenstein (Principauté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Liechtenstein (Principauté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Lituanie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Lituanie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Lituanie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Lituanie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Lituanie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Luxembourg</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Luxembourg</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Luxembourg</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Luxembourg</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Luxembourg</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Macao,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Macao,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Madagascar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Madagascar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Malawi</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4-144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Maldives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Maldives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Mali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6-183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Mali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Malte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Malte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Malte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Mariannes du Nord (Iles) (Commonwealth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Maroc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Maroc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Maroc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Marshall (République des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Martinique (Département français de la)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Maurice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Maurice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Maurice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Mauritanie (République islamique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Mauritanie (République islamique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3-068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3-069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Mexique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Micronésie (Etats fédérés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Moldova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Moldova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Monaco (Principauté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Monaco (Principauté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Mongolie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Monténégro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Monténégro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Montserrat</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Mozambique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Mozambique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Myanmar (République de l'Union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4-225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Myanmar (République de l'Union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Myanmar (République de l'Union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Namibie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Namibie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Nauru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Népal (République fédérale démocratique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Népal (République fédérale démocratique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Népal (République fédérale démocratique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Népal (République fédérale démocratique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Nicaragua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Nicaragua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Niger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Niger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Nigéria (République fédérale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Nigéria (République fédérale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Nigéria (République fédérale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Nigéria (République fédérale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Niue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Norvège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Norvège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Norvège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Norvège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Norvège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Norvège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Norvège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5-092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Nouvelle-Calédonie (Territoire français d'outre-mer)</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Nouvelle-Zélande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5-061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Nouvelle-Zélande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5-062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Nouvelle-Zélande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5-063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Nouvelle-Zélande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5-065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Nouvelle-Zélande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5-067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Nouvelle-Zélande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Oman (Sultanat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Oman (Sultanat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Ouganda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Ouganda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Ouganda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Ouganda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Ouganda (République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Ouzbékistan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4-165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Ouzbékistan (République 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Pakistan (République islamique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Pakistan (République islamique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Pakistan (République islamique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Pakistan (République islamique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Pakistan (République islamique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Palaos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7-026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Panama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Panama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Panama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Panama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Panama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Panama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Papouasie-Nouvelle-Guinée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Papouasie-Nouvelle-Guinée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Paraguay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7-089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Paraguay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Paraguay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Pays-Bas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7-161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Pérou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Philippines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2-120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Pologne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5-094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Polynésie française (Territoire français d'outre-mer)</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Portugal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Portugal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Portugal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Portugal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Portugal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Portugal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Puerto</w:t>
            </w:r>
            <w:proofErr w:type="spellEnd"/>
            <w:r w:rsidRPr="00CE0E47">
              <w:rPr>
                <w:rFonts w:ascii="Calibri" w:hAnsi="Calibri"/>
                <w:bCs/>
                <w:sz w:val="18"/>
                <w:szCs w:val="22"/>
                <w:lang w:val="fr-FR"/>
              </w:rPr>
              <w:t xml:space="preserve"> Rico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Qatar (Etat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Qatar (Etat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arabe syrienne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démocratique du Congo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démocratique du Congo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démocratique du Congo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démocratique du Congo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démocratique du Congo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kirghize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kirghize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4-167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kirghize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populaire démocratique de Corée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slovaque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slovaque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slovaque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slovaque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slovaque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slovaque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tchèque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tchèque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tchèque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tchèque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tchèque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République tchèque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Réservé</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3-250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Roumanie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2-169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4-239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7-237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Royaume-Uni de Grande-Bretagne et d'Irlande du Nord</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2-119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Russie (Fédération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Rwanda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Rwanda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Rwanda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Rwanda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Sainte-Hélène, Ascension et Tristan da Cunha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6-116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Sainte-Hélène, Ascension et Tristan da Cunha</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Sainte-Lucie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Saint-Kitts-et-Nevis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Saint-Marin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Saint-Pierre-et-Miquelon (Collectivité territoriale de la République française)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3-120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Saint-Vincent-et-les Grenadines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Salomon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5-098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Samoa (Etat indépendant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5-088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Samoa américaines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Sao Tomé-et-Principe (République démocratique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Sénégal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Sénégal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Serbie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Serbie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Serbie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Seychelles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Seychelles (République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Sierra Leone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Sierra Leone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Singapour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Slovénie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Slovénie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Slovénie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Slovénie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Slovénie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Slovénie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Somalie (République fédérale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Soudan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6-069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Soudan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Soudan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Soudan du Sud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Soudan du Sud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4-026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Sri Lanka (République socialiste démocratique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4-027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Sri Lanka (République socialiste démocratique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Sri Lanka (République socialiste démocratique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4-191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Sri Lanka (République socialiste démocratique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6-109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Sudafricaine</w:t>
            </w:r>
            <w:proofErr w:type="spellEnd"/>
            <w:r w:rsidRPr="00CE0E47">
              <w:rPr>
                <w:rFonts w:ascii="Calibri" w:hAnsi="Calibri"/>
                <w:bCs/>
                <w:sz w:val="18"/>
                <w:szCs w:val="22"/>
                <w:lang w:val="fr-FR"/>
              </w:rPr>
              <w:t xml:space="preserv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Sudafricaine</w:t>
            </w:r>
            <w:proofErr w:type="spellEnd"/>
            <w:r w:rsidRPr="00CE0E47">
              <w:rPr>
                <w:rFonts w:ascii="Calibri" w:hAnsi="Calibri"/>
                <w:bCs/>
                <w:sz w:val="18"/>
                <w:szCs w:val="22"/>
                <w:lang w:val="fr-FR"/>
              </w:rPr>
              <w:t xml:space="preserv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6-111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Sudafricaine</w:t>
            </w:r>
            <w:proofErr w:type="spellEnd"/>
            <w:r w:rsidRPr="00CE0E47">
              <w:rPr>
                <w:rFonts w:ascii="Calibri" w:hAnsi="Calibri"/>
                <w:bCs/>
                <w:sz w:val="18"/>
                <w:szCs w:val="22"/>
                <w:lang w:val="fr-FR"/>
              </w:rPr>
              <w:t xml:space="preserv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6-112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Sudafricaine</w:t>
            </w:r>
            <w:proofErr w:type="spellEnd"/>
            <w:r w:rsidRPr="00CE0E47">
              <w:rPr>
                <w:rFonts w:ascii="Calibri" w:hAnsi="Calibri"/>
                <w:bCs/>
                <w:sz w:val="18"/>
                <w:szCs w:val="22"/>
                <w:lang w:val="fr-FR"/>
              </w:rPr>
              <w:t xml:space="preserv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6-113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Sudafricaine</w:t>
            </w:r>
            <w:proofErr w:type="spellEnd"/>
            <w:r w:rsidRPr="00CE0E47">
              <w:rPr>
                <w:rFonts w:ascii="Calibri" w:hAnsi="Calibri"/>
                <w:bCs/>
                <w:sz w:val="18"/>
                <w:szCs w:val="22"/>
                <w:lang w:val="fr-FR"/>
              </w:rPr>
              <w:t xml:space="preserv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6-145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proofErr w:type="spellStart"/>
            <w:r w:rsidRPr="00CE0E47">
              <w:rPr>
                <w:rFonts w:ascii="Calibri" w:hAnsi="Calibri"/>
                <w:bCs/>
                <w:sz w:val="18"/>
                <w:szCs w:val="22"/>
                <w:lang w:val="fr-FR"/>
              </w:rPr>
              <w:t>Sudafricaine</w:t>
            </w:r>
            <w:proofErr w:type="spellEnd"/>
            <w:r w:rsidRPr="00CE0E47">
              <w:rPr>
                <w:rFonts w:ascii="Calibri" w:hAnsi="Calibri"/>
                <w:bCs/>
                <w:sz w:val="18"/>
                <w:szCs w:val="22"/>
                <w:lang w:val="fr-FR"/>
              </w:rPr>
              <w:t xml:space="preserv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2-083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2-195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6-229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6-238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7-207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Suède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2-059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2-063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7-228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Suisse (Confédération)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7-092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Suriname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7-093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Suriname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Swaziland (Royaume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Tadjikistan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Tadjikistan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4-159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Tadjikistan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Taiwan,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Taiwan,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4-172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Taiwan,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Taiwan,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4-174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Taiwan, Chine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Tanzanie (République-Unie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6-081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Tanzanie (République-Unie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6-123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Tanzanie (République-Unie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Tchad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5-039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Thaïlande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Thaïlande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Thaïlande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Thaïlande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Thaïlande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5-044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Thaïlande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5-135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Thaïlande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Timor-Leste (République démocratique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5-131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Timor-Leste (République démocratique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6-030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Togolaise (République)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5-078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Tonga (Royaume des)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3-148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Trinité-et-Tobago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3-149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Trinité-et-Tobago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3-150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Trinité-et-Tobago</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6-010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Tunisie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4-160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Turkménistan</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3-152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Turks-et-</w:t>
            </w:r>
            <w:proofErr w:type="spellStart"/>
            <w:r w:rsidRPr="00CE0E47">
              <w:rPr>
                <w:rFonts w:ascii="Calibri" w:hAnsi="Calibri"/>
                <w:bCs/>
                <w:sz w:val="18"/>
                <w:szCs w:val="22"/>
                <w:lang w:val="fr-FR"/>
              </w:rPr>
              <w:t>Caïcos</w:t>
            </w:r>
            <w:proofErr w:type="spellEnd"/>
            <w:r w:rsidRPr="00CE0E47">
              <w:rPr>
                <w:rFonts w:ascii="Calibri" w:hAnsi="Calibri"/>
                <w:bCs/>
                <w:sz w:val="18"/>
                <w:szCs w:val="22"/>
                <w:lang w:val="fr-FR"/>
              </w:rPr>
              <w:t xml:space="preserve">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3-153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Turks-et-</w:t>
            </w:r>
            <w:proofErr w:type="spellStart"/>
            <w:r w:rsidRPr="00CE0E47">
              <w:rPr>
                <w:rFonts w:ascii="Calibri" w:hAnsi="Calibri"/>
                <w:bCs/>
                <w:sz w:val="18"/>
                <w:szCs w:val="22"/>
                <w:lang w:val="fr-FR"/>
              </w:rPr>
              <w:t>Caïcos</w:t>
            </w:r>
            <w:proofErr w:type="spellEnd"/>
            <w:r w:rsidRPr="00CE0E47">
              <w:rPr>
                <w:rFonts w:ascii="Calibri" w:hAnsi="Calibri"/>
                <w:bCs/>
                <w:sz w:val="18"/>
                <w:szCs w:val="22"/>
                <w:lang w:val="fr-FR"/>
              </w:rPr>
              <w:t xml:space="preserve">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3-154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Turks-et-</w:t>
            </w:r>
            <w:proofErr w:type="spellStart"/>
            <w:r w:rsidRPr="00CE0E47">
              <w:rPr>
                <w:rFonts w:ascii="Calibri" w:hAnsi="Calibri"/>
                <w:bCs/>
                <w:sz w:val="18"/>
                <w:szCs w:val="22"/>
                <w:lang w:val="fr-FR"/>
              </w:rPr>
              <w:t>Caïcos</w:t>
            </w:r>
            <w:proofErr w:type="spellEnd"/>
            <w:r w:rsidRPr="00CE0E47">
              <w:rPr>
                <w:rFonts w:ascii="Calibri" w:hAnsi="Calibri"/>
                <w:bCs/>
                <w:sz w:val="18"/>
                <w:szCs w:val="22"/>
                <w:lang w:val="fr-FR"/>
              </w:rPr>
              <w:t xml:space="preserve">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Turquie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Turquie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2-173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Turquie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3-247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Turquie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5-241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Turquie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5-102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Tuvalu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2-214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Ukraine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Ukraine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6-241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Ukraine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7-242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Ukraine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Uruguay (République orientale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7-097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Uruguay (République orientale de l')</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5-082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Vanuatu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7-068</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Venezuela (République bolivarienne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7-069</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Venezuela (République bolivarienne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7-070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Venezuela (République bolivarienne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7-071</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Venezuela (République bolivarienne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7-100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Venezuela (République bolivarienne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3-064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Vierges américaines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Vierges britanniques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3-097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Vierges britanniques (Iles)</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lastRenderedPageBreak/>
              <w:t>4-103</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Viet Nam (République socialiste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4-104</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Viet Nam (République socialiste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4-205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Viet Nam (République socialiste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4-206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Viet Nam (République socialiste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5-086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Wallis-et-Futuna (Territoire français d'outre-mer)</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4-042</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Yémen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4-046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Yémen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6-090</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Zambie (République de)</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6-095</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Zimbabwe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6-096</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Zimbabwe (République du)</w:t>
            </w:r>
          </w:p>
        </w:tc>
      </w:tr>
      <w:tr w:rsidR="00CE0E47" w:rsidRPr="00CE0E47" w:rsidTr="00CE0E47">
        <w:trPr>
          <w:trHeight w:val="240"/>
        </w:trPr>
        <w:tc>
          <w:tcPr>
            <w:tcW w:w="90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6-097</w:t>
            </w:r>
          </w:p>
        </w:tc>
        <w:tc>
          <w:tcPr>
            <w:tcW w:w="8379" w:type="dxa"/>
            <w:shd w:val="clear" w:color="auto" w:fill="auto"/>
          </w:tcPr>
          <w:p w:rsidR="00CE0E47" w:rsidRPr="00CE0E47" w:rsidRDefault="00CE0E47" w:rsidP="00CE0E47">
            <w:pPr>
              <w:tabs>
                <w:tab w:val="right" w:pos="454"/>
              </w:tabs>
              <w:spacing w:before="40" w:after="40"/>
              <w:rPr>
                <w:rFonts w:ascii="Calibri" w:hAnsi="Calibri"/>
                <w:bCs/>
                <w:sz w:val="18"/>
                <w:szCs w:val="22"/>
                <w:lang w:val="fr-FR"/>
              </w:rPr>
            </w:pPr>
            <w:r w:rsidRPr="00CE0E47">
              <w:rPr>
                <w:rFonts w:ascii="Calibri" w:hAnsi="Calibri"/>
                <w:bCs/>
                <w:sz w:val="18"/>
                <w:szCs w:val="22"/>
                <w:lang w:val="fr-FR"/>
              </w:rPr>
              <w:t>Zimbabwe (République du)</w:t>
            </w:r>
          </w:p>
        </w:tc>
      </w:tr>
    </w:tbl>
    <w:p w:rsidR="007C20A9" w:rsidRDefault="007C20A9" w:rsidP="00A247CC">
      <w:pPr>
        <w:rPr>
          <w:rFonts w:ascii="Calibri" w:hAnsi="Calibri"/>
        </w:rPr>
      </w:pPr>
    </w:p>
    <w:p w:rsidR="007C20A9" w:rsidRPr="00056D08" w:rsidRDefault="007C20A9" w:rsidP="00A247CC">
      <w:pPr>
        <w:rPr>
          <w:rFonts w:ascii="Calibri" w:hAnsi="Calibri"/>
        </w:rPr>
      </w:pPr>
    </w:p>
    <w:p w:rsidR="0024384F" w:rsidRDefault="00056D08" w:rsidP="007A00B8">
      <w:pPr>
        <w:jc w:val="center"/>
        <w:rPr>
          <w:rFonts w:ascii="Calibri" w:hAnsi="Calibri"/>
          <w:b/>
          <w:sz w:val="20"/>
          <w:lang w:val="fr-FR"/>
        </w:rPr>
      </w:pPr>
      <w:r w:rsidRPr="00056D08">
        <w:rPr>
          <w:rFonts w:ascii="Calibri" w:hAnsi="Calibri"/>
          <w:lang w:val="fr-CH"/>
        </w:rPr>
        <w:br w:type="page"/>
      </w:r>
    </w:p>
    <w:p w:rsidR="0024384F" w:rsidRPr="0024384F" w:rsidRDefault="002B0E06" w:rsidP="002B0E06">
      <w:pPr>
        <w:keepNext/>
        <w:jc w:val="center"/>
        <w:rPr>
          <w:rFonts w:ascii="Calibri" w:hAnsi="Calibri"/>
          <w:b/>
          <w:sz w:val="20"/>
        </w:rPr>
      </w:pPr>
      <w:r>
        <w:rPr>
          <w:rFonts w:ascii="Calibri" w:hAnsi="Calibri"/>
          <w:b/>
          <w:sz w:val="20"/>
        </w:rPr>
        <w:lastRenderedPageBreak/>
        <w:t xml:space="preserve">Notes communes aux </w:t>
      </w:r>
      <w:proofErr w:type="spellStart"/>
      <w:r>
        <w:rPr>
          <w:rFonts w:ascii="Calibri" w:hAnsi="Calibri"/>
          <w:b/>
          <w:sz w:val="20"/>
        </w:rPr>
        <w:t>L</w:t>
      </w:r>
      <w:r w:rsidRPr="002B0E06">
        <w:rPr>
          <w:rFonts w:ascii="Calibri" w:hAnsi="Calibri"/>
          <w:b/>
          <w:sz w:val="20"/>
        </w:rPr>
        <w:t>istes</w:t>
      </w:r>
      <w:proofErr w:type="spellEnd"/>
      <w:r w:rsidRPr="002B0E06">
        <w:rPr>
          <w:rFonts w:ascii="Calibri" w:hAnsi="Calibri"/>
          <w:b/>
          <w:sz w:val="20"/>
        </w:rPr>
        <w:t xml:space="preserve"> </w:t>
      </w:r>
      <w:proofErr w:type="spellStart"/>
      <w:r w:rsidRPr="002B0E06">
        <w:rPr>
          <w:rFonts w:ascii="Calibri" w:hAnsi="Calibri"/>
          <w:b/>
          <w:sz w:val="20"/>
        </w:rPr>
        <w:t>numérique</w:t>
      </w:r>
      <w:proofErr w:type="spellEnd"/>
      <w:r w:rsidRPr="002B0E06">
        <w:rPr>
          <w:rFonts w:ascii="Calibri" w:hAnsi="Calibri"/>
          <w:b/>
          <w:sz w:val="20"/>
        </w:rPr>
        <w:t xml:space="preserve"> </w:t>
      </w:r>
      <w:proofErr w:type="gramStart"/>
      <w:r w:rsidRPr="002B0E06">
        <w:rPr>
          <w:rFonts w:ascii="Calibri" w:hAnsi="Calibri"/>
          <w:b/>
          <w:sz w:val="20"/>
        </w:rPr>
        <w:t>et</w:t>
      </w:r>
      <w:proofErr w:type="gramEnd"/>
      <w:r w:rsidRPr="002B0E06">
        <w:rPr>
          <w:rFonts w:ascii="Calibri" w:hAnsi="Calibri"/>
          <w:b/>
          <w:sz w:val="20"/>
        </w:rPr>
        <w:t xml:space="preserve"> </w:t>
      </w:r>
      <w:proofErr w:type="spellStart"/>
      <w:r w:rsidRPr="002B0E06">
        <w:rPr>
          <w:rFonts w:ascii="Calibri" w:hAnsi="Calibri"/>
          <w:b/>
          <w:sz w:val="20"/>
        </w:rPr>
        <w:t>alphabétique</w:t>
      </w:r>
      <w:proofErr w:type="spellEnd"/>
      <w:r w:rsidRPr="002B0E06">
        <w:rPr>
          <w:rFonts w:ascii="Calibri" w:hAnsi="Calibri"/>
          <w:b/>
          <w:sz w:val="20"/>
        </w:rPr>
        <w:t xml:space="preserve"> des</w:t>
      </w:r>
      <w:r w:rsidR="0024384F" w:rsidRPr="0024384F">
        <w:rPr>
          <w:rFonts w:ascii="Calibri" w:hAnsi="Calibri"/>
          <w:b/>
          <w:sz w:val="20"/>
        </w:rPr>
        <w:br/>
      </w:r>
      <w:r w:rsidRPr="002B0E06">
        <w:rPr>
          <w:rFonts w:ascii="Calibri" w:hAnsi="Calibri"/>
          <w:b/>
          <w:sz w:val="20"/>
        </w:rPr>
        <w:t>codes de zone/</w:t>
      </w:r>
      <w:proofErr w:type="spellStart"/>
      <w:r w:rsidRPr="002B0E06">
        <w:rPr>
          <w:rFonts w:ascii="Calibri" w:hAnsi="Calibri"/>
          <w:b/>
          <w:sz w:val="20"/>
        </w:rPr>
        <w:t>réseau</w:t>
      </w:r>
      <w:proofErr w:type="spellEnd"/>
      <w:r w:rsidRPr="002B0E06">
        <w:rPr>
          <w:rFonts w:ascii="Calibri" w:hAnsi="Calibri"/>
          <w:b/>
          <w:sz w:val="20"/>
        </w:rPr>
        <w:t xml:space="preserve"> </w:t>
      </w:r>
      <w:proofErr w:type="spellStart"/>
      <w:r w:rsidRPr="002B0E06">
        <w:rPr>
          <w:rFonts w:ascii="Calibri" w:hAnsi="Calibri"/>
          <w:b/>
          <w:sz w:val="20"/>
        </w:rPr>
        <w:t>sémaphore</w:t>
      </w:r>
      <w:proofErr w:type="spellEnd"/>
      <w:r w:rsidRPr="002B0E06">
        <w:rPr>
          <w:rFonts w:ascii="Calibri" w:hAnsi="Calibri"/>
          <w:b/>
          <w:sz w:val="20"/>
        </w:rPr>
        <w:t xml:space="preserve"> UIT-T Q.708 (SANCs)</w:t>
      </w:r>
    </w:p>
    <w:p w:rsidR="0024384F" w:rsidRPr="0024384F" w:rsidRDefault="0024384F" w:rsidP="0024384F">
      <w:pPr>
        <w:keepNext/>
        <w:rPr>
          <w:rFonts w:ascii="Calibri" w:hAnsi="Calibri"/>
          <w:sz w:val="20"/>
        </w:rPr>
      </w:pPr>
    </w:p>
    <w:p w:rsidR="0024384F" w:rsidRPr="0024384F" w:rsidRDefault="0024384F" w:rsidP="0024384F">
      <w:pPr>
        <w:keepNext/>
        <w:rPr>
          <w:rFonts w:ascii="Calibri" w:hAnsi="Calibri"/>
          <w:sz w:val="20"/>
        </w:rPr>
      </w:pPr>
      <w:r w:rsidRPr="0024384F">
        <w:rPr>
          <w:rFonts w:ascii="Calibri" w:hAnsi="Calibri"/>
          <w:sz w:val="20"/>
        </w:rPr>
        <w:t>Notes</w:t>
      </w:r>
    </w:p>
    <w:p w:rsidR="0024384F" w:rsidRPr="0024384F" w:rsidRDefault="0024384F" w:rsidP="0024384F">
      <w:pPr>
        <w:keepNext/>
        <w:rPr>
          <w:rFonts w:ascii="Calibri" w:hAnsi="Calibri"/>
          <w:sz w:val="20"/>
        </w:rPr>
      </w:pPr>
    </w:p>
    <w:p w:rsidR="0024384F" w:rsidRPr="0024384F" w:rsidRDefault="0024384F" w:rsidP="002B0E06">
      <w:pPr>
        <w:ind w:left="284" w:hanging="284"/>
        <w:jc w:val="both"/>
        <w:rPr>
          <w:rFonts w:ascii="Calibri" w:hAnsi="Calibri"/>
          <w:sz w:val="20"/>
        </w:rPr>
      </w:pPr>
      <w:r w:rsidRPr="0024384F">
        <w:rPr>
          <w:rFonts w:ascii="Calibri" w:hAnsi="Calibri"/>
          <w:sz w:val="20"/>
        </w:rPr>
        <w:t>*</w:t>
      </w:r>
      <w:r w:rsidRPr="0024384F">
        <w:rPr>
          <w:rFonts w:ascii="Calibri" w:hAnsi="Calibri"/>
          <w:sz w:val="20"/>
        </w:rPr>
        <w:tab/>
      </w:r>
      <w:proofErr w:type="spellStart"/>
      <w:r w:rsidR="002B0E06" w:rsidRPr="002B0E06">
        <w:rPr>
          <w:rFonts w:ascii="Calibri" w:hAnsi="Calibri"/>
          <w:sz w:val="20"/>
        </w:rPr>
        <w:t>Cette</w:t>
      </w:r>
      <w:proofErr w:type="spellEnd"/>
      <w:r w:rsidR="002B0E06" w:rsidRPr="002B0E06">
        <w:rPr>
          <w:rFonts w:ascii="Calibri" w:hAnsi="Calibri"/>
          <w:sz w:val="20"/>
        </w:rPr>
        <w:t xml:space="preserve"> </w:t>
      </w:r>
      <w:proofErr w:type="spellStart"/>
      <w:r w:rsidR="002B0E06" w:rsidRPr="002B0E06">
        <w:rPr>
          <w:rFonts w:ascii="Calibri" w:hAnsi="Calibri"/>
          <w:sz w:val="20"/>
        </w:rPr>
        <w:t>désignation</w:t>
      </w:r>
      <w:proofErr w:type="spellEnd"/>
      <w:r w:rsidR="002B0E06" w:rsidRPr="002B0E06">
        <w:rPr>
          <w:rFonts w:ascii="Calibri" w:hAnsi="Calibri"/>
          <w:sz w:val="20"/>
        </w:rPr>
        <w:t xml:space="preserve"> </w:t>
      </w:r>
      <w:proofErr w:type="spellStart"/>
      <w:r w:rsidR="002B0E06" w:rsidRPr="002B0E06">
        <w:rPr>
          <w:rFonts w:ascii="Calibri" w:hAnsi="Calibri"/>
          <w:sz w:val="20"/>
        </w:rPr>
        <w:t>est</w:t>
      </w:r>
      <w:proofErr w:type="spellEnd"/>
      <w:r w:rsidR="002B0E06" w:rsidRPr="002B0E06">
        <w:rPr>
          <w:rFonts w:ascii="Calibri" w:hAnsi="Calibri"/>
          <w:sz w:val="20"/>
        </w:rPr>
        <w:t xml:space="preserve"> sans </w:t>
      </w:r>
      <w:proofErr w:type="spellStart"/>
      <w:r w:rsidR="002B0E06" w:rsidRPr="002B0E06">
        <w:rPr>
          <w:rFonts w:ascii="Calibri" w:hAnsi="Calibri"/>
          <w:sz w:val="20"/>
        </w:rPr>
        <w:t>préjudice</w:t>
      </w:r>
      <w:proofErr w:type="spellEnd"/>
      <w:r w:rsidR="002B0E06" w:rsidRPr="002B0E06">
        <w:rPr>
          <w:rFonts w:ascii="Calibri" w:hAnsi="Calibri"/>
          <w:sz w:val="20"/>
        </w:rPr>
        <w:t xml:space="preserve"> des positions </w:t>
      </w:r>
      <w:proofErr w:type="spellStart"/>
      <w:r w:rsidR="002B0E06" w:rsidRPr="002B0E06">
        <w:rPr>
          <w:rFonts w:ascii="Calibri" w:hAnsi="Calibri"/>
          <w:sz w:val="20"/>
        </w:rPr>
        <w:t>su</w:t>
      </w:r>
      <w:bookmarkStart w:id="2" w:name="_GoBack"/>
      <w:bookmarkEnd w:id="2"/>
      <w:r w:rsidR="002B0E06" w:rsidRPr="002B0E06">
        <w:rPr>
          <w:rFonts w:ascii="Calibri" w:hAnsi="Calibri"/>
          <w:sz w:val="20"/>
        </w:rPr>
        <w:t>r</w:t>
      </w:r>
      <w:proofErr w:type="spellEnd"/>
      <w:r w:rsidR="002B0E06" w:rsidRPr="002B0E06">
        <w:rPr>
          <w:rFonts w:ascii="Calibri" w:hAnsi="Calibri"/>
          <w:sz w:val="20"/>
        </w:rPr>
        <w:t xml:space="preserve"> le </w:t>
      </w:r>
      <w:proofErr w:type="spellStart"/>
      <w:r w:rsidR="002B0E06" w:rsidRPr="002B0E06">
        <w:rPr>
          <w:rFonts w:ascii="Calibri" w:hAnsi="Calibri"/>
          <w:sz w:val="20"/>
        </w:rPr>
        <w:t>statut</w:t>
      </w:r>
      <w:proofErr w:type="spellEnd"/>
      <w:r w:rsidR="002B0E06" w:rsidRPr="002B0E06">
        <w:rPr>
          <w:rFonts w:ascii="Calibri" w:hAnsi="Calibri"/>
          <w:sz w:val="20"/>
        </w:rPr>
        <w:t xml:space="preserve"> et </w:t>
      </w:r>
      <w:proofErr w:type="spellStart"/>
      <w:r w:rsidR="002B0E06" w:rsidRPr="002B0E06">
        <w:rPr>
          <w:rFonts w:ascii="Calibri" w:hAnsi="Calibri"/>
          <w:sz w:val="20"/>
        </w:rPr>
        <w:t>est</w:t>
      </w:r>
      <w:proofErr w:type="spellEnd"/>
      <w:r w:rsidR="002B0E06" w:rsidRPr="002B0E06">
        <w:rPr>
          <w:rFonts w:ascii="Calibri" w:hAnsi="Calibri"/>
          <w:sz w:val="20"/>
        </w:rPr>
        <w:t xml:space="preserve"> </w:t>
      </w:r>
      <w:proofErr w:type="spellStart"/>
      <w:r w:rsidR="002B0E06" w:rsidRPr="002B0E06">
        <w:rPr>
          <w:rFonts w:ascii="Calibri" w:hAnsi="Calibri"/>
          <w:sz w:val="20"/>
        </w:rPr>
        <w:t>conforme</w:t>
      </w:r>
      <w:proofErr w:type="spellEnd"/>
      <w:r w:rsidR="002B0E06" w:rsidRPr="002B0E06">
        <w:rPr>
          <w:rFonts w:ascii="Calibri" w:hAnsi="Calibri"/>
          <w:sz w:val="20"/>
        </w:rPr>
        <w:t xml:space="preserve"> à la </w:t>
      </w:r>
      <w:proofErr w:type="spellStart"/>
      <w:r w:rsidR="002B0E06" w:rsidRPr="002B0E06">
        <w:rPr>
          <w:rFonts w:ascii="Calibri" w:hAnsi="Calibri"/>
          <w:sz w:val="20"/>
        </w:rPr>
        <w:t>Résolution</w:t>
      </w:r>
      <w:proofErr w:type="spellEnd"/>
      <w:r w:rsidR="002B0E06" w:rsidRPr="002B0E06">
        <w:rPr>
          <w:rFonts w:ascii="Calibri" w:hAnsi="Calibri"/>
          <w:sz w:val="20"/>
        </w:rPr>
        <w:t xml:space="preserve"> 1244 du </w:t>
      </w:r>
      <w:proofErr w:type="spellStart"/>
      <w:r w:rsidR="002B0E06" w:rsidRPr="002B0E06">
        <w:rPr>
          <w:rFonts w:ascii="Calibri" w:hAnsi="Calibri"/>
          <w:sz w:val="20"/>
        </w:rPr>
        <w:t>Conseil</w:t>
      </w:r>
      <w:proofErr w:type="spellEnd"/>
      <w:r w:rsidR="002B0E06" w:rsidRPr="002B0E06">
        <w:rPr>
          <w:rFonts w:ascii="Calibri" w:hAnsi="Calibri"/>
          <w:sz w:val="20"/>
        </w:rPr>
        <w:t xml:space="preserve"> de </w:t>
      </w:r>
      <w:proofErr w:type="spellStart"/>
      <w:r w:rsidR="002B0E06" w:rsidRPr="002B0E06">
        <w:rPr>
          <w:rFonts w:ascii="Calibri" w:hAnsi="Calibri"/>
          <w:sz w:val="20"/>
        </w:rPr>
        <w:t>sécurité</w:t>
      </w:r>
      <w:proofErr w:type="spellEnd"/>
      <w:r w:rsidR="002B0E06" w:rsidRPr="002B0E06">
        <w:rPr>
          <w:rFonts w:ascii="Calibri" w:hAnsi="Calibri"/>
          <w:sz w:val="20"/>
        </w:rPr>
        <w:t xml:space="preserve"> des Nations </w:t>
      </w:r>
      <w:proofErr w:type="spellStart"/>
      <w:r w:rsidR="002B0E06" w:rsidRPr="002B0E06">
        <w:rPr>
          <w:rFonts w:ascii="Calibri" w:hAnsi="Calibri"/>
          <w:sz w:val="20"/>
        </w:rPr>
        <w:t>Unies</w:t>
      </w:r>
      <w:proofErr w:type="spellEnd"/>
      <w:r w:rsidR="002B0E06" w:rsidRPr="002B0E06">
        <w:rPr>
          <w:rFonts w:ascii="Calibri" w:hAnsi="Calibri"/>
          <w:sz w:val="20"/>
        </w:rPr>
        <w:t xml:space="preserve"> </w:t>
      </w:r>
      <w:proofErr w:type="spellStart"/>
      <w:r w:rsidR="002B0E06" w:rsidRPr="002B0E06">
        <w:rPr>
          <w:rFonts w:ascii="Calibri" w:hAnsi="Calibri"/>
          <w:sz w:val="20"/>
        </w:rPr>
        <w:t>ainsi</w:t>
      </w:r>
      <w:proofErr w:type="spellEnd"/>
      <w:r w:rsidR="002B0E06" w:rsidRPr="002B0E06">
        <w:rPr>
          <w:rFonts w:ascii="Calibri" w:hAnsi="Calibri"/>
          <w:sz w:val="20"/>
        </w:rPr>
        <w:t xml:space="preserve"> </w:t>
      </w:r>
      <w:proofErr w:type="spellStart"/>
      <w:r w:rsidR="002B0E06" w:rsidRPr="002B0E06">
        <w:rPr>
          <w:rFonts w:ascii="Calibri" w:hAnsi="Calibri"/>
          <w:sz w:val="20"/>
        </w:rPr>
        <w:t>qu'à</w:t>
      </w:r>
      <w:proofErr w:type="spellEnd"/>
      <w:r w:rsidR="002B0E06" w:rsidRPr="002B0E06">
        <w:rPr>
          <w:rFonts w:ascii="Calibri" w:hAnsi="Calibri"/>
          <w:sz w:val="20"/>
        </w:rPr>
        <w:t xml:space="preserve"> </w:t>
      </w:r>
      <w:proofErr w:type="spellStart"/>
      <w:r w:rsidR="002B0E06" w:rsidRPr="002B0E06">
        <w:rPr>
          <w:rFonts w:ascii="Calibri" w:hAnsi="Calibri"/>
          <w:sz w:val="20"/>
        </w:rPr>
        <w:t>l'avis</w:t>
      </w:r>
      <w:proofErr w:type="spellEnd"/>
      <w:r w:rsidR="002B0E06" w:rsidRPr="002B0E06">
        <w:rPr>
          <w:rFonts w:ascii="Calibri" w:hAnsi="Calibri"/>
          <w:sz w:val="20"/>
        </w:rPr>
        <w:t xml:space="preserve"> de la CIJ </w:t>
      </w:r>
      <w:proofErr w:type="spellStart"/>
      <w:r w:rsidR="002B0E06" w:rsidRPr="002B0E06">
        <w:rPr>
          <w:rFonts w:ascii="Calibri" w:hAnsi="Calibri"/>
          <w:sz w:val="20"/>
        </w:rPr>
        <w:t>sur</w:t>
      </w:r>
      <w:proofErr w:type="spellEnd"/>
      <w:r w:rsidR="002B0E06" w:rsidRPr="002B0E06">
        <w:rPr>
          <w:rFonts w:ascii="Calibri" w:hAnsi="Calibri"/>
          <w:sz w:val="20"/>
        </w:rPr>
        <w:t xml:space="preserve"> la </w:t>
      </w:r>
      <w:proofErr w:type="spellStart"/>
      <w:r w:rsidR="002B0E06" w:rsidRPr="002B0E06">
        <w:rPr>
          <w:rFonts w:ascii="Calibri" w:hAnsi="Calibri"/>
          <w:sz w:val="20"/>
        </w:rPr>
        <w:t>déclaration</w:t>
      </w:r>
      <w:proofErr w:type="spellEnd"/>
      <w:r w:rsidR="002B0E06" w:rsidRPr="002B0E06">
        <w:rPr>
          <w:rFonts w:ascii="Calibri" w:hAnsi="Calibri"/>
          <w:sz w:val="20"/>
        </w:rPr>
        <w:t xml:space="preserve"> </w:t>
      </w:r>
      <w:proofErr w:type="spellStart"/>
      <w:r w:rsidR="002B0E06" w:rsidRPr="002B0E06">
        <w:rPr>
          <w:rFonts w:ascii="Calibri" w:hAnsi="Calibri"/>
          <w:sz w:val="20"/>
        </w:rPr>
        <w:t>d'indépendance</w:t>
      </w:r>
      <w:proofErr w:type="spellEnd"/>
      <w:r w:rsidR="002B0E06" w:rsidRPr="002B0E06">
        <w:rPr>
          <w:rFonts w:ascii="Calibri" w:hAnsi="Calibri"/>
          <w:sz w:val="20"/>
        </w:rPr>
        <w:t xml:space="preserve"> du Kosovo.</w:t>
      </w:r>
    </w:p>
    <w:p w:rsidR="0024384F" w:rsidRDefault="0024384F" w:rsidP="007A00B8">
      <w:pPr>
        <w:jc w:val="center"/>
        <w:rPr>
          <w:rFonts w:ascii="Calibri" w:hAnsi="Calibri"/>
          <w:b/>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1308EF" w:rsidRPr="0024384F" w:rsidRDefault="001308EF" w:rsidP="001308EF">
      <w:pPr>
        <w:rPr>
          <w:rFonts w:ascii="Calibri" w:hAnsi="Calibri"/>
          <w:bCs/>
          <w:color w:val="000000" w:themeColor="text1"/>
          <w:sz w:val="20"/>
          <w:lang w:val="fr-FR"/>
        </w:rPr>
      </w:pPr>
    </w:p>
    <w:p w:rsidR="007A00B8" w:rsidRPr="00056D08" w:rsidRDefault="007A00B8" w:rsidP="007A00B8">
      <w:pPr>
        <w:jc w:val="center"/>
        <w:rPr>
          <w:rFonts w:ascii="Calibri" w:hAnsi="Calibri"/>
          <w:b/>
          <w:bCs/>
          <w:sz w:val="20"/>
          <w:lang w:val="fr-CH"/>
        </w:rPr>
      </w:pPr>
      <w:r w:rsidRPr="00056D08">
        <w:rPr>
          <w:rFonts w:ascii="Calibri" w:hAnsi="Calibri"/>
          <w:b/>
          <w:bCs/>
          <w:sz w:val="20"/>
          <w:lang w:val="fr-CH"/>
        </w:rPr>
        <w:t xml:space="preserve">Nombre des codes de zone/réseau sémaphore </w:t>
      </w:r>
      <w:r w:rsidR="00594D3D">
        <w:rPr>
          <w:rFonts w:ascii="Calibri" w:hAnsi="Calibri"/>
          <w:b/>
          <w:bCs/>
          <w:sz w:val="20"/>
          <w:lang w:val="fr-CH"/>
        </w:rPr>
        <w:t xml:space="preserve">UIT-T </w:t>
      </w:r>
      <w:r w:rsidRPr="00056D08">
        <w:rPr>
          <w:rFonts w:ascii="Calibri" w:hAnsi="Calibri"/>
          <w:b/>
          <w:bCs/>
          <w:sz w:val="20"/>
          <w:lang w:val="fr-CH"/>
        </w:rPr>
        <w:t>Q.708 (</w:t>
      </w:r>
      <w:proofErr w:type="spellStart"/>
      <w:r w:rsidRPr="00056D08">
        <w:rPr>
          <w:rFonts w:ascii="Calibri" w:hAnsi="Calibri"/>
          <w:b/>
          <w:bCs/>
          <w:sz w:val="20"/>
          <w:lang w:val="fr-CH"/>
        </w:rPr>
        <w:t>SANCs</w:t>
      </w:r>
      <w:proofErr w:type="spellEnd"/>
      <w:r w:rsidRPr="00056D08">
        <w:rPr>
          <w:rFonts w:ascii="Calibri" w:hAnsi="Calibri"/>
          <w:b/>
          <w:bCs/>
          <w:sz w:val="20"/>
          <w:lang w:val="fr-CH"/>
        </w:rPr>
        <w:t>) en réserve</w:t>
      </w:r>
    </w:p>
    <w:p w:rsidR="007A00B8" w:rsidRPr="00056D08" w:rsidRDefault="007A00B8" w:rsidP="007A00B8">
      <w:pPr>
        <w:keepNext/>
        <w:rPr>
          <w:rFonts w:ascii="Calibri" w:hAnsi="Calibri"/>
          <w:sz w:val="20"/>
          <w:lang w:val="fr-CH"/>
        </w:rPr>
      </w:pPr>
    </w:p>
    <w:tbl>
      <w:tblPr>
        <w:tblW w:w="66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3348"/>
        <w:gridCol w:w="3348"/>
      </w:tblGrid>
      <w:tr w:rsidR="00155E94" w:rsidRPr="00155E94" w:rsidTr="00155E94">
        <w:trPr>
          <w:trHeight w:val="240"/>
          <w:jc w:val="center"/>
        </w:trPr>
        <w:tc>
          <w:tcPr>
            <w:tcW w:w="3348" w:type="dxa"/>
            <w:shd w:val="clear" w:color="auto" w:fill="auto"/>
          </w:tcPr>
          <w:p w:rsidR="00155E94" w:rsidRPr="00155E94" w:rsidRDefault="00155E94" w:rsidP="00155E94">
            <w:pPr>
              <w:keepNext/>
              <w:tabs>
                <w:tab w:val="left" w:pos="1276"/>
                <w:tab w:val="left" w:pos="1843"/>
              </w:tabs>
              <w:spacing w:before="60" w:after="60"/>
              <w:jc w:val="center"/>
              <w:rPr>
                <w:rFonts w:ascii="Calibri" w:hAnsi="Calibri"/>
                <w:i/>
                <w:sz w:val="18"/>
                <w:lang w:val="fr-FR"/>
              </w:rPr>
            </w:pPr>
            <w:r w:rsidRPr="00155E94">
              <w:rPr>
                <w:rFonts w:ascii="Calibri" w:hAnsi="Calibri"/>
                <w:i/>
                <w:sz w:val="18"/>
                <w:lang w:val="fr-FR"/>
              </w:rPr>
              <w:t xml:space="preserve">Codes de zone/réseau sémaphore, </w:t>
            </w:r>
            <w:r w:rsidRPr="00155E94">
              <w:rPr>
                <w:rFonts w:ascii="Calibri" w:hAnsi="Calibri"/>
                <w:i/>
                <w:sz w:val="18"/>
                <w:lang w:val="fr-FR"/>
              </w:rPr>
              <w:br/>
              <w:t>série de numéros</w:t>
            </w:r>
          </w:p>
        </w:tc>
        <w:tc>
          <w:tcPr>
            <w:tcW w:w="3348" w:type="dxa"/>
            <w:shd w:val="clear" w:color="auto" w:fill="auto"/>
          </w:tcPr>
          <w:p w:rsidR="00155E94" w:rsidRPr="00155E94" w:rsidRDefault="00155E94" w:rsidP="00155E94">
            <w:pPr>
              <w:keepNext/>
              <w:tabs>
                <w:tab w:val="left" w:pos="1276"/>
                <w:tab w:val="left" w:pos="1843"/>
              </w:tabs>
              <w:spacing w:before="60" w:after="60"/>
              <w:jc w:val="center"/>
              <w:rPr>
                <w:rFonts w:ascii="Calibri" w:hAnsi="Calibri"/>
                <w:i/>
                <w:sz w:val="18"/>
                <w:lang w:val="fr-FR"/>
              </w:rPr>
            </w:pPr>
            <w:r w:rsidRPr="00155E94">
              <w:rPr>
                <w:rFonts w:ascii="Calibri" w:hAnsi="Calibri"/>
                <w:i/>
                <w:sz w:val="18"/>
                <w:lang w:val="fr-FR"/>
              </w:rPr>
              <w:t>Nombre de codes en réserve</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0-000 à 0-255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réservé</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1-000 à 1-255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réservé</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2-000 à 2-255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0</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3-000 à 3-255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86</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4-000 à 4-255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67</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5-000 à 5-255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122</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6-000 à 6-255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97</w:t>
            </w:r>
          </w:p>
        </w:tc>
      </w:tr>
      <w:tr w:rsidR="00155E94" w:rsidRPr="00155E94" w:rsidTr="00155E94">
        <w:trPr>
          <w:trHeight w:val="240"/>
          <w:jc w:val="center"/>
        </w:trPr>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7-000 à 7-255</w:t>
            </w:r>
          </w:p>
        </w:tc>
        <w:tc>
          <w:tcPr>
            <w:tcW w:w="3348" w:type="dxa"/>
            <w:shd w:val="clear" w:color="auto" w:fill="auto"/>
          </w:tcPr>
          <w:p w:rsidR="00155E94" w:rsidRPr="00155E94" w:rsidRDefault="00155E94" w:rsidP="00155E94">
            <w:pPr>
              <w:keepNext/>
              <w:tabs>
                <w:tab w:val="right" w:pos="454"/>
              </w:tabs>
              <w:spacing w:before="40" w:after="40"/>
              <w:jc w:val="center"/>
              <w:rPr>
                <w:rFonts w:ascii="Calibri" w:hAnsi="Calibri"/>
                <w:bCs/>
                <w:sz w:val="18"/>
                <w:szCs w:val="22"/>
                <w:lang w:val="fr-FR"/>
              </w:rPr>
            </w:pPr>
            <w:r w:rsidRPr="00155E94">
              <w:rPr>
                <w:rFonts w:ascii="Calibri" w:hAnsi="Calibri"/>
                <w:bCs/>
                <w:sz w:val="18"/>
                <w:szCs w:val="22"/>
                <w:lang w:val="fr-FR"/>
              </w:rPr>
              <w:t>120</w:t>
            </w:r>
          </w:p>
        </w:tc>
      </w:tr>
      <w:tr w:rsidR="00155E94" w:rsidRPr="00155E94" w:rsidTr="00155E94">
        <w:trPr>
          <w:trHeight w:val="240"/>
          <w:jc w:val="center"/>
        </w:trPr>
        <w:tc>
          <w:tcPr>
            <w:tcW w:w="6696" w:type="dxa"/>
            <w:gridSpan w:val="2"/>
            <w:tcBorders>
              <w:left w:val="nil"/>
              <w:bottom w:val="nil"/>
              <w:right w:val="nil"/>
            </w:tcBorders>
            <w:shd w:val="clear" w:color="auto" w:fill="auto"/>
          </w:tcPr>
          <w:p w:rsidR="00155E94" w:rsidRPr="00155E94" w:rsidRDefault="00155E94" w:rsidP="00155E94">
            <w:pPr>
              <w:tabs>
                <w:tab w:val="right" w:pos="454"/>
              </w:tabs>
              <w:spacing w:before="40" w:after="40"/>
              <w:rPr>
                <w:rFonts w:ascii="Calibri" w:hAnsi="Calibri"/>
                <w:bCs/>
                <w:sz w:val="18"/>
                <w:szCs w:val="22"/>
                <w:lang w:val="fr-FR"/>
              </w:rPr>
            </w:pPr>
            <w:r w:rsidRPr="00155E94">
              <w:rPr>
                <w:rFonts w:ascii="Calibri" w:hAnsi="Calibri"/>
                <w:bCs/>
                <w:sz w:val="18"/>
                <w:szCs w:val="22"/>
                <w:lang w:val="fr-FR"/>
              </w:rPr>
              <w:t xml:space="preserve">Pourcentage de </w:t>
            </w:r>
            <w:proofErr w:type="spellStart"/>
            <w:r w:rsidRPr="00155E94">
              <w:rPr>
                <w:rFonts w:ascii="Calibri" w:hAnsi="Calibri"/>
                <w:bCs/>
                <w:sz w:val="18"/>
                <w:szCs w:val="22"/>
                <w:lang w:val="fr-FR"/>
              </w:rPr>
              <w:t>SANCs</w:t>
            </w:r>
            <w:proofErr w:type="spellEnd"/>
            <w:r w:rsidRPr="00155E94">
              <w:rPr>
                <w:rFonts w:ascii="Calibri" w:hAnsi="Calibri"/>
                <w:bCs/>
                <w:sz w:val="18"/>
                <w:szCs w:val="22"/>
                <w:lang w:val="fr-FR"/>
              </w:rPr>
              <w:t xml:space="preserve"> attribués = 67.97 %</w:t>
            </w:r>
          </w:p>
        </w:tc>
      </w:tr>
    </w:tbl>
    <w:p w:rsidR="00155E94" w:rsidRDefault="00155E94" w:rsidP="007A00B8">
      <w:pPr>
        <w:rPr>
          <w:lang w:val="fr-CH"/>
        </w:rPr>
      </w:pPr>
    </w:p>
    <w:p w:rsidR="00155E94" w:rsidRDefault="00155E94" w:rsidP="007A00B8">
      <w:pPr>
        <w:rPr>
          <w:lang w:val="fr-CH"/>
        </w:rPr>
      </w:pPr>
    </w:p>
    <w:p w:rsidR="00155E94" w:rsidRPr="00594D3D" w:rsidRDefault="00155E94" w:rsidP="007A00B8">
      <w:pPr>
        <w:rPr>
          <w:lang w:val="fr-CH"/>
        </w:rPr>
      </w:pPr>
    </w:p>
    <w:p w:rsidR="00815B00" w:rsidRDefault="00815B00" w:rsidP="00815B00">
      <w:pPr>
        <w:jc w:val="center"/>
        <w:rPr>
          <w:b/>
          <w:sz w:val="18"/>
          <w:lang w:val="fr-FR"/>
        </w:rPr>
      </w:pPr>
      <w:r w:rsidRPr="00594D3D">
        <w:rPr>
          <w:lang w:val="fr-CH"/>
        </w:rPr>
        <w:br w:type="page"/>
      </w:r>
      <w:r>
        <w:rPr>
          <w:b/>
          <w:sz w:val="18"/>
          <w:lang w:val="fr-FR"/>
        </w:rPr>
        <w:lastRenderedPageBreak/>
        <w:t>AMENDEMENTS</w:t>
      </w:r>
    </w:p>
    <w:p w:rsidR="00815B00" w:rsidRDefault="00815B00" w:rsidP="00815B00">
      <w:pPr>
        <w:rPr>
          <w:sz w:val="18"/>
          <w:lang w:val="fr-FR"/>
        </w:rPr>
      </w:pPr>
    </w:p>
    <w:tbl>
      <w:tblPr>
        <w:tblW w:w="0" w:type="auto"/>
        <w:tblInd w:w="851" w:type="dxa"/>
        <w:tblLayout w:type="fixed"/>
        <w:tblLook w:val="0000" w:firstRow="0" w:lastRow="0" w:firstColumn="0" w:lastColumn="0" w:noHBand="0" w:noVBand="0"/>
      </w:tblPr>
      <w:tblGrid>
        <w:gridCol w:w="2268"/>
        <w:gridCol w:w="2835"/>
        <w:gridCol w:w="3402"/>
      </w:tblGrid>
      <w:tr w:rsidR="00815B00" w:rsidTr="00E25ED0">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815B00" w:rsidRDefault="00815B00" w:rsidP="00E25ED0">
            <w:pPr>
              <w:jc w:val="center"/>
              <w:rPr>
                <w:b/>
                <w:sz w:val="18"/>
                <w:lang w:val="fr-FR"/>
              </w:rPr>
            </w:pPr>
          </w:p>
          <w:p w:rsidR="00815B00" w:rsidRDefault="00815B00" w:rsidP="00E25ED0">
            <w:pPr>
              <w:jc w:val="center"/>
              <w:rPr>
                <w:b/>
                <w:sz w:val="18"/>
                <w:lang w:val="fr-FR"/>
              </w:rPr>
            </w:pPr>
            <w:r>
              <w:rPr>
                <w:b/>
                <w:sz w:val="18"/>
                <w:lang w:val="fr-FR"/>
              </w:rPr>
              <w:t>Amendement N°</w:t>
            </w:r>
          </w:p>
        </w:tc>
        <w:tc>
          <w:tcPr>
            <w:tcW w:w="2835" w:type="dxa"/>
            <w:tcBorders>
              <w:top w:val="single" w:sz="12" w:space="0" w:color="auto"/>
              <w:left w:val="single" w:sz="12" w:space="0" w:color="auto"/>
              <w:bottom w:val="single" w:sz="6" w:space="0" w:color="auto"/>
              <w:right w:val="single" w:sz="12" w:space="0" w:color="auto"/>
            </w:tcBorders>
          </w:tcPr>
          <w:p w:rsidR="00815B00" w:rsidRDefault="00815B00" w:rsidP="00E25ED0">
            <w:pPr>
              <w:jc w:val="center"/>
              <w:rPr>
                <w:b/>
                <w:sz w:val="18"/>
                <w:lang w:val="fr-FR"/>
              </w:rPr>
            </w:pPr>
          </w:p>
          <w:p w:rsidR="00815B00" w:rsidRDefault="00815B00" w:rsidP="00E25ED0">
            <w:pPr>
              <w:jc w:val="center"/>
              <w:rPr>
                <w:b/>
                <w:sz w:val="18"/>
                <w:lang w:val="fr-FR"/>
              </w:rPr>
            </w:pPr>
            <w:r>
              <w:rPr>
                <w:b/>
                <w:sz w:val="18"/>
                <w:lang w:val="fr-FR"/>
              </w:rPr>
              <w:t>Bulletin d'exploitation N°.</w:t>
            </w:r>
          </w:p>
          <w:p w:rsidR="00815B00" w:rsidRDefault="00815B00" w:rsidP="00E25ED0">
            <w:pPr>
              <w:jc w:val="center"/>
              <w:rPr>
                <w:b/>
                <w:sz w:val="18"/>
                <w:lang w:val="fr-FR"/>
              </w:rPr>
            </w:pPr>
          </w:p>
        </w:tc>
        <w:tc>
          <w:tcPr>
            <w:tcW w:w="3402" w:type="dxa"/>
            <w:tcBorders>
              <w:top w:val="single" w:sz="12" w:space="0" w:color="auto"/>
              <w:left w:val="single" w:sz="12" w:space="0" w:color="auto"/>
              <w:bottom w:val="single" w:sz="6" w:space="0" w:color="auto"/>
              <w:right w:val="single" w:sz="12" w:space="0" w:color="auto"/>
            </w:tcBorders>
          </w:tcPr>
          <w:p w:rsidR="00815B00" w:rsidRDefault="00815B00" w:rsidP="00E25ED0">
            <w:pPr>
              <w:jc w:val="center"/>
              <w:rPr>
                <w:b/>
                <w:sz w:val="18"/>
                <w:lang w:val="fr-FR"/>
              </w:rPr>
            </w:pPr>
          </w:p>
          <w:p w:rsidR="00815B00" w:rsidRDefault="00815B00" w:rsidP="00E25ED0">
            <w:pPr>
              <w:jc w:val="center"/>
              <w:rPr>
                <w:b/>
                <w:sz w:val="18"/>
                <w:lang w:val="fr-FR"/>
              </w:rPr>
            </w:pPr>
            <w:r>
              <w:rPr>
                <w:b/>
                <w:sz w:val="18"/>
                <w:lang w:val="fr-FR"/>
              </w:rPr>
              <w:t>Pays</w:t>
            </w:r>
          </w:p>
          <w:p w:rsidR="00815B00" w:rsidRDefault="00815B00" w:rsidP="00E25ED0">
            <w:pPr>
              <w:jc w:val="center"/>
              <w:rPr>
                <w:b/>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 xml:space="preserve"> 1</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3</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4</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5</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6</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7</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8</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9</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10</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11</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12</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13</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14</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15</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16</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17</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18</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19</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20</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21</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22</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23</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24</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25</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26</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27</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28</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815B00" w:rsidRDefault="00815B00" w:rsidP="00E25ED0">
            <w:pPr>
              <w:jc w:val="center"/>
              <w:rPr>
                <w:sz w:val="18"/>
                <w:lang w:val="fr-FR"/>
              </w:rPr>
            </w:pPr>
            <w:r>
              <w:rPr>
                <w:sz w:val="18"/>
                <w:lang w:val="fr-FR"/>
              </w:rPr>
              <w:t>29</w:t>
            </w:r>
          </w:p>
        </w:tc>
        <w:tc>
          <w:tcPr>
            <w:tcW w:w="2835"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815B00" w:rsidRDefault="00815B00" w:rsidP="00E25ED0">
            <w:pPr>
              <w:rPr>
                <w:sz w:val="18"/>
                <w:lang w:val="fr-FR"/>
              </w:rPr>
            </w:pPr>
          </w:p>
        </w:tc>
      </w:tr>
      <w:tr w:rsidR="00815B00" w:rsidTr="00E25ED0">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815B00" w:rsidRDefault="00815B00" w:rsidP="00E25ED0">
            <w:pPr>
              <w:jc w:val="center"/>
              <w:rPr>
                <w:sz w:val="18"/>
                <w:lang w:val="fr-FR"/>
              </w:rPr>
            </w:pPr>
            <w:r>
              <w:rPr>
                <w:sz w:val="18"/>
                <w:lang w:val="fr-FR"/>
              </w:rPr>
              <w:t>30</w:t>
            </w:r>
          </w:p>
        </w:tc>
        <w:tc>
          <w:tcPr>
            <w:tcW w:w="2835" w:type="dxa"/>
            <w:tcBorders>
              <w:top w:val="single" w:sz="6" w:space="0" w:color="auto"/>
              <w:left w:val="single" w:sz="12" w:space="0" w:color="auto"/>
              <w:bottom w:val="single" w:sz="12" w:space="0" w:color="auto"/>
              <w:right w:val="single" w:sz="12" w:space="0" w:color="auto"/>
            </w:tcBorders>
          </w:tcPr>
          <w:p w:rsidR="00815B00" w:rsidRDefault="00815B00" w:rsidP="00E25ED0">
            <w:pPr>
              <w:rPr>
                <w:sz w:val="18"/>
                <w:lang w:val="fr-FR"/>
              </w:rPr>
            </w:pPr>
          </w:p>
        </w:tc>
        <w:tc>
          <w:tcPr>
            <w:tcW w:w="3402" w:type="dxa"/>
            <w:tcBorders>
              <w:top w:val="single" w:sz="6" w:space="0" w:color="auto"/>
              <w:left w:val="single" w:sz="12" w:space="0" w:color="auto"/>
              <w:bottom w:val="single" w:sz="12" w:space="0" w:color="auto"/>
              <w:right w:val="single" w:sz="12" w:space="0" w:color="auto"/>
            </w:tcBorders>
          </w:tcPr>
          <w:p w:rsidR="00815B00" w:rsidRDefault="00815B00" w:rsidP="00E25ED0">
            <w:pPr>
              <w:rPr>
                <w:sz w:val="18"/>
                <w:lang w:val="fr-FR"/>
              </w:rPr>
            </w:pPr>
          </w:p>
        </w:tc>
      </w:tr>
    </w:tbl>
    <w:p w:rsidR="00815B00" w:rsidRDefault="00815B00" w:rsidP="00815B00">
      <w:pPr>
        <w:rPr>
          <w:sz w:val="18"/>
          <w:lang w:val="fr-FR"/>
        </w:rPr>
      </w:pPr>
    </w:p>
    <w:p w:rsidR="00056D08" w:rsidRDefault="00056D08" w:rsidP="00815B00"/>
    <w:sectPr w:rsidR="00056D08">
      <w:footerReference w:type="even" r:id="rId9"/>
      <w:footerReference w:type="default" r:id="rId10"/>
      <w:pgSz w:w="11907" w:h="16840"/>
      <w:pgMar w:top="1134" w:right="1134" w:bottom="1134" w:left="1134" w:header="720" w:footer="720" w:gutter="0"/>
      <w:paperSrc w:first="3678" w:other="3678"/>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7D5" w:rsidRDefault="007347D5">
      <w:r>
        <w:separator/>
      </w:r>
    </w:p>
  </w:endnote>
  <w:endnote w:type="continuationSeparator" w:id="0">
    <w:p w:rsidR="007347D5" w:rsidRDefault="00734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galSans">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47" w:rsidRDefault="00CE0E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CE0E47" w:rsidRDefault="00CE0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47" w:rsidRPr="00A247CC" w:rsidRDefault="00CE0E47">
    <w:pPr>
      <w:pStyle w:val="Footer"/>
      <w:framePr w:wrap="around" w:vAnchor="text" w:hAnchor="margin" w:xAlign="center" w:y="1"/>
      <w:rPr>
        <w:rStyle w:val="PageNumber"/>
        <w:lang w:val="fr-CH"/>
      </w:rPr>
    </w:pPr>
    <w:r>
      <w:rPr>
        <w:rStyle w:val="PageNumber"/>
      </w:rPr>
      <w:fldChar w:fldCharType="begin"/>
    </w:r>
    <w:r>
      <w:rPr>
        <w:rStyle w:val="PageNumber"/>
      </w:rPr>
      <w:instrText xml:space="preserve">PAGE  </w:instrText>
    </w:r>
    <w:r>
      <w:rPr>
        <w:rStyle w:val="PageNumber"/>
      </w:rPr>
      <w:fldChar w:fldCharType="separate"/>
    </w:r>
    <w:r w:rsidR="002B0E06">
      <w:rPr>
        <w:rStyle w:val="PageNumber"/>
        <w:noProof/>
      </w:rPr>
      <w:t>48</w:t>
    </w:r>
    <w:r>
      <w:rPr>
        <w:rStyle w:val="PageNumber"/>
      </w:rPr>
      <w:fldChar w:fldCharType="end"/>
    </w:r>
  </w:p>
  <w:p w:rsidR="00CE0E47" w:rsidRDefault="00CE0E47" w:rsidP="005531E8">
    <w:pPr>
      <w:pStyle w:val="Footer"/>
      <w:rPr>
        <w:sz w:val="20"/>
        <w:lang w:val="fr-FR"/>
      </w:rPr>
    </w:pPr>
    <w:r>
      <w:rPr>
        <w:sz w:val="20"/>
        <w:lang w:val="fr-FR"/>
      </w:rPr>
      <w:t xml:space="preserve">Annexe au BE de l’UIT 1125-F                                 </w:t>
    </w:r>
    <w:r>
      <w:rPr>
        <w:rStyle w:val="PageNumber"/>
        <w:lang w:val="fr-FR"/>
      </w:rPr>
      <w:t>–</w:t>
    </w:r>
    <w:r>
      <w:rPr>
        <w:sz w:val="20"/>
        <w:lang w:val="fr-FR"/>
      </w:rPr>
      <w:t xml:space="preserve">     </w:t>
    </w:r>
    <w:r>
      <w:rPr>
        <w:rStyle w:val="PageNumber"/>
        <w:lang w:val="fr-F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7D5" w:rsidRDefault="007347D5">
      <w:r>
        <w:separator/>
      </w:r>
    </w:p>
  </w:footnote>
  <w:footnote w:type="continuationSeparator" w:id="0">
    <w:p w:rsidR="007347D5" w:rsidRDefault="00734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6"/>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93"/>
    <w:rsid w:val="00006A24"/>
    <w:rsid w:val="000316DF"/>
    <w:rsid w:val="00035DD1"/>
    <w:rsid w:val="00056D08"/>
    <w:rsid w:val="00107D54"/>
    <w:rsid w:val="00123BBA"/>
    <w:rsid w:val="001308EF"/>
    <w:rsid w:val="00155E94"/>
    <w:rsid w:val="001561D2"/>
    <w:rsid w:val="0024384F"/>
    <w:rsid w:val="002B03D9"/>
    <w:rsid w:val="002B0E06"/>
    <w:rsid w:val="002E1882"/>
    <w:rsid w:val="00313FBC"/>
    <w:rsid w:val="00376C20"/>
    <w:rsid w:val="00393793"/>
    <w:rsid w:val="003D6B2E"/>
    <w:rsid w:val="0045420B"/>
    <w:rsid w:val="00477A55"/>
    <w:rsid w:val="004B6514"/>
    <w:rsid w:val="004E20AA"/>
    <w:rsid w:val="005406EB"/>
    <w:rsid w:val="005531E8"/>
    <w:rsid w:val="00594D3D"/>
    <w:rsid w:val="0060220A"/>
    <w:rsid w:val="00625F11"/>
    <w:rsid w:val="00694623"/>
    <w:rsid w:val="00700E3A"/>
    <w:rsid w:val="0072118E"/>
    <w:rsid w:val="00725510"/>
    <w:rsid w:val="007347D5"/>
    <w:rsid w:val="00735794"/>
    <w:rsid w:val="0077059C"/>
    <w:rsid w:val="007754BE"/>
    <w:rsid w:val="00786773"/>
    <w:rsid w:val="007A00B8"/>
    <w:rsid w:val="007C20A9"/>
    <w:rsid w:val="007C3F5F"/>
    <w:rsid w:val="007F751C"/>
    <w:rsid w:val="008121BE"/>
    <w:rsid w:val="00812C29"/>
    <w:rsid w:val="00815B00"/>
    <w:rsid w:val="008200F0"/>
    <w:rsid w:val="0082411C"/>
    <w:rsid w:val="00824A6B"/>
    <w:rsid w:val="0083401F"/>
    <w:rsid w:val="00894A66"/>
    <w:rsid w:val="008D1DAA"/>
    <w:rsid w:val="008F3145"/>
    <w:rsid w:val="00931B63"/>
    <w:rsid w:val="009D7531"/>
    <w:rsid w:val="00A247CC"/>
    <w:rsid w:val="00A2768D"/>
    <w:rsid w:val="00A75070"/>
    <w:rsid w:val="00A95E00"/>
    <w:rsid w:val="00AE6F58"/>
    <w:rsid w:val="00B55D76"/>
    <w:rsid w:val="00B709CE"/>
    <w:rsid w:val="00B82378"/>
    <w:rsid w:val="00BA05F2"/>
    <w:rsid w:val="00BA56DF"/>
    <w:rsid w:val="00BB63E9"/>
    <w:rsid w:val="00BE0220"/>
    <w:rsid w:val="00C72E45"/>
    <w:rsid w:val="00CB6DB1"/>
    <w:rsid w:val="00CE0E47"/>
    <w:rsid w:val="00CE71FD"/>
    <w:rsid w:val="00CF7F1F"/>
    <w:rsid w:val="00D45F9B"/>
    <w:rsid w:val="00D65A78"/>
    <w:rsid w:val="00D952E1"/>
    <w:rsid w:val="00DD170A"/>
    <w:rsid w:val="00E25ED0"/>
    <w:rsid w:val="00E33D5F"/>
    <w:rsid w:val="00E91C76"/>
    <w:rsid w:val="00EB338D"/>
    <w:rsid w:val="00ED23EE"/>
    <w:rsid w:val="00EE3990"/>
    <w:rsid w:val="00F40B05"/>
    <w:rsid w:val="00F95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634EEC-B2A3-4E16-B6EE-1D2497D2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pPr>
      <w:spacing w:before="240"/>
      <w:outlineLvl w:val="0"/>
    </w:pPr>
    <w:rPr>
      <w:rFonts w:ascii="Times New Roman" w:hAnsi="Times New Roman"/>
      <w:b/>
      <w:sz w:val="28"/>
      <w:u w:val="single"/>
    </w:rPr>
  </w:style>
  <w:style w:type="paragraph" w:styleId="Heading2">
    <w:name w:val="heading 2"/>
    <w:basedOn w:val="Normal"/>
    <w:next w:val="Normal"/>
    <w:qFormat/>
    <w:pPr>
      <w:spacing w:before="120"/>
      <w:outlineLvl w:val="1"/>
    </w:pPr>
    <w:rPr>
      <w:rFonts w:ascii="Times New Roman" w:hAnsi="Times New Roman"/>
      <w:b/>
      <w:sz w:val="24"/>
    </w:rPr>
  </w:style>
  <w:style w:type="paragraph" w:styleId="Heading3">
    <w:name w:val="heading 3"/>
    <w:basedOn w:val="Normal"/>
    <w:next w:val="NormalIndent"/>
    <w:qFormat/>
    <w:pPr>
      <w:ind w:left="283"/>
      <w:outlineLvl w:val="2"/>
    </w:pPr>
    <w:rPr>
      <w:rFonts w:ascii="Times New Roman" w:hAnsi="Times New Roman"/>
      <w:b/>
      <w:sz w:val="24"/>
    </w:rPr>
  </w:style>
  <w:style w:type="paragraph" w:styleId="Heading4">
    <w:name w:val="heading 4"/>
    <w:basedOn w:val="Normal"/>
    <w:next w:val="NormalIndent"/>
    <w:qFormat/>
    <w:pPr>
      <w:ind w:left="283"/>
      <w:outlineLvl w:val="3"/>
    </w:pPr>
    <w:rPr>
      <w:rFonts w:ascii="Tms Rmn" w:hAnsi="Tms Rmn"/>
      <w:sz w:val="24"/>
      <w:u w:val="single"/>
    </w:rPr>
  </w:style>
  <w:style w:type="paragraph" w:styleId="Heading5">
    <w:name w:val="heading 5"/>
    <w:basedOn w:val="Normal"/>
    <w:next w:val="NormalIndent"/>
    <w:qFormat/>
    <w:pPr>
      <w:ind w:left="567"/>
      <w:outlineLvl w:val="4"/>
    </w:pPr>
    <w:rPr>
      <w:rFonts w:ascii="Tms Rmn" w:hAnsi="Tms Rmn"/>
      <w:b/>
      <w:sz w:val="20"/>
    </w:rPr>
  </w:style>
  <w:style w:type="paragraph" w:styleId="Heading6">
    <w:name w:val="heading 6"/>
    <w:basedOn w:val="Normal"/>
    <w:next w:val="NormalIndent"/>
    <w:qFormat/>
    <w:pPr>
      <w:ind w:left="567"/>
      <w:outlineLvl w:val="5"/>
    </w:pPr>
    <w:rPr>
      <w:rFonts w:ascii="Tms Rmn" w:hAnsi="Tms Rmn"/>
      <w:sz w:val="20"/>
      <w:u w:val="single"/>
    </w:rPr>
  </w:style>
  <w:style w:type="paragraph" w:styleId="Heading7">
    <w:name w:val="heading 7"/>
    <w:basedOn w:val="Normal"/>
    <w:next w:val="NormalIndent"/>
    <w:qFormat/>
    <w:pPr>
      <w:ind w:left="567"/>
      <w:outlineLvl w:val="6"/>
    </w:pPr>
    <w:rPr>
      <w:rFonts w:ascii="Tms Rmn" w:hAnsi="Tms Rmn"/>
      <w:i/>
      <w:sz w:val="20"/>
    </w:rPr>
  </w:style>
  <w:style w:type="paragraph" w:styleId="Heading8">
    <w:name w:val="heading 8"/>
    <w:basedOn w:val="Normal"/>
    <w:next w:val="NormalIndent"/>
    <w:qFormat/>
    <w:pPr>
      <w:ind w:left="567"/>
      <w:outlineLvl w:val="7"/>
    </w:pPr>
    <w:rPr>
      <w:rFonts w:ascii="Tms Rmn" w:hAnsi="Tms Rmn"/>
      <w:i/>
      <w:sz w:val="20"/>
    </w:rPr>
  </w:style>
  <w:style w:type="paragraph" w:styleId="Heading9">
    <w:name w:val="heading 9"/>
    <w:basedOn w:val="Normal"/>
    <w:next w:val="NormalIndent"/>
    <w:qFormat/>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567"/>
    </w:p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rPr>
      <w:sz w:val="20"/>
    </w:rPr>
  </w:style>
  <w:style w:type="paragraph" w:customStyle="1" w:styleId="ITUheader">
    <w:name w:val="ITU_header"/>
    <w:basedOn w:val="Normal"/>
    <w:pPr>
      <w:tabs>
        <w:tab w:val="left" w:pos="737"/>
        <w:tab w:val="left" w:pos="1134"/>
      </w:tabs>
      <w:spacing w:before="397"/>
    </w:pPr>
    <w:rPr>
      <w:b/>
      <w:sz w:val="28"/>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Footnotesepar">
    <w:name w:val="Footnote separ"/>
    <w:basedOn w:val="FootnoteText"/>
    <w:link w:val="FootnoteseparChar"/>
    <w:rsid w:val="0083401F"/>
    <w:pPr>
      <w:tabs>
        <w:tab w:val="left" w:pos="284"/>
        <w:tab w:val="left" w:pos="1276"/>
        <w:tab w:val="left" w:pos="1843"/>
      </w:tabs>
      <w:spacing w:before="136"/>
      <w:jc w:val="both"/>
    </w:pPr>
    <w:rPr>
      <w:rFonts w:ascii="Calibri" w:hAnsi="Calibri"/>
      <w:position w:val="6"/>
      <w:sz w:val="16"/>
      <w:szCs w:val="16"/>
      <w:lang w:val="en-GB"/>
    </w:rPr>
  </w:style>
  <w:style w:type="character" w:customStyle="1" w:styleId="FootnoteseparChar">
    <w:name w:val="Footnote separ Char"/>
    <w:link w:val="Footnotesepar"/>
    <w:rsid w:val="0083401F"/>
    <w:rPr>
      <w:rFonts w:ascii="Calibri" w:hAnsi="Calibri"/>
      <w:position w:val="6"/>
      <w:sz w:val="16"/>
      <w:szCs w:val="16"/>
      <w:lang w:val="en-GB" w:eastAsia="en-US"/>
    </w:rPr>
  </w:style>
  <w:style w:type="paragraph" w:customStyle="1" w:styleId="Tabletext">
    <w:name w:val="Table_text"/>
    <w:basedOn w:val="Normal"/>
    <w:link w:val="TabletextChar"/>
    <w:rsid w:val="0083401F"/>
    <w:pPr>
      <w:tabs>
        <w:tab w:val="left" w:pos="1276"/>
        <w:tab w:val="left" w:pos="1843"/>
      </w:tabs>
      <w:spacing w:before="40" w:after="40"/>
    </w:pPr>
    <w:rPr>
      <w:rFonts w:ascii="Calibri" w:hAnsi="Calibri"/>
      <w:b/>
      <w:sz w:val="18"/>
      <w:szCs w:val="22"/>
      <w:lang w:val="fr-FR"/>
    </w:rPr>
  </w:style>
  <w:style w:type="character" w:customStyle="1" w:styleId="TabletextChar">
    <w:name w:val="Table_text Char"/>
    <w:link w:val="Tabletext"/>
    <w:rsid w:val="0083401F"/>
    <w:rPr>
      <w:rFonts w:ascii="Calibri" w:hAnsi="Calibri"/>
      <w:b/>
      <w:sz w:val="18"/>
      <w:szCs w:val="22"/>
      <w:lang w:val="fr-FR" w:eastAsia="en-US"/>
    </w:rPr>
  </w:style>
  <w:style w:type="paragraph" w:customStyle="1" w:styleId="Tablehead">
    <w:name w:val="Table_head"/>
    <w:basedOn w:val="Normal"/>
    <w:next w:val="Normal"/>
    <w:rsid w:val="0083401F"/>
    <w:pPr>
      <w:keepNext/>
      <w:tabs>
        <w:tab w:val="left" w:pos="1276"/>
        <w:tab w:val="left" w:pos="1843"/>
      </w:tabs>
      <w:spacing w:before="80" w:after="80"/>
      <w:jc w:val="center"/>
    </w:pPr>
    <w:rPr>
      <w:rFonts w:ascii="Calibri" w:hAnsi="Calibri"/>
      <w:b/>
      <w:bCs/>
      <w:i/>
      <w:sz w:val="18"/>
      <w:szCs w:val="22"/>
      <w:lang w:val="fr-FR"/>
    </w:rPr>
  </w:style>
  <w:style w:type="paragraph" w:customStyle="1" w:styleId="StyleHeading2Before0pt">
    <w:name w:val="Style Heading 2 + Before:  0 pt"/>
    <w:aliases w:val="Pattern: Clear (Pale Blue) + White"/>
    <w:basedOn w:val="Normal"/>
    <w:rsid w:val="0083401F"/>
    <w:pPr>
      <w:keepNext/>
      <w:shd w:val="clear" w:color="auto" w:fill="D9D9D9"/>
      <w:tabs>
        <w:tab w:val="left" w:pos="567"/>
        <w:tab w:val="left" w:pos="1276"/>
        <w:tab w:val="left" w:pos="1843"/>
        <w:tab w:val="left" w:pos="5387"/>
        <w:tab w:val="left" w:pos="5954"/>
      </w:tabs>
      <w:spacing w:after="60"/>
      <w:jc w:val="center"/>
      <w:outlineLvl w:val="1"/>
    </w:pPr>
    <w:rPr>
      <w:rFonts w:cs="Arial"/>
      <w:b/>
      <w:bCs/>
      <w:color w:val="FFFFFF"/>
      <w:sz w:val="28"/>
      <w:szCs w:val="28"/>
      <w:lang w:val="fr-FR"/>
    </w:rPr>
  </w:style>
  <w:style w:type="paragraph" w:customStyle="1" w:styleId="Normalaftertitle">
    <w:name w:val="Normal_after_title"/>
    <w:link w:val="NormalaftertitleChar"/>
    <w:rsid w:val="0083401F"/>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b/>
      <w:lang w:val="en-GB" w:eastAsia="en-US"/>
    </w:rPr>
  </w:style>
  <w:style w:type="character" w:customStyle="1" w:styleId="NormalaftertitleChar">
    <w:name w:val="Normal_after_title Char"/>
    <w:link w:val="Normalaftertitle"/>
    <w:rsid w:val="0083401F"/>
    <w:rPr>
      <w:rFonts w:ascii="Calibri" w:hAnsi="Calibri"/>
      <w:b/>
      <w:lang w:val="en-GB" w:eastAsia="en-US" w:bidi="ar-SA"/>
    </w:rPr>
  </w:style>
  <w:style w:type="paragraph" w:customStyle="1" w:styleId="Tablehead0">
    <w:name w:val="Table head"/>
    <w:basedOn w:val="Tablehead"/>
    <w:rsid w:val="0083401F"/>
    <w:pPr>
      <w:spacing w:before="60" w:after="60"/>
    </w:pPr>
    <w:rPr>
      <w:b w:val="0"/>
      <w:bCs w:val="0"/>
      <w:szCs w:val="20"/>
    </w:rPr>
  </w:style>
  <w:style w:type="paragraph" w:customStyle="1" w:styleId="StyleTabletextLeft">
    <w:name w:val="Style Table text + Left"/>
    <w:basedOn w:val="Normal"/>
    <w:rsid w:val="0083401F"/>
    <w:pPr>
      <w:tabs>
        <w:tab w:val="right" w:pos="454"/>
      </w:tabs>
      <w:spacing w:before="40" w:after="40"/>
    </w:pPr>
    <w:rPr>
      <w:rFonts w:ascii="Calibri" w:hAnsi="Calibri"/>
      <w:bCs/>
      <w:sz w:val="18"/>
      <w:szCs w:val="22"/>
      <w:lang w:val="fr-FR"/>
    </w:rPr>
  </w:style>
  <w:style w:type="paragraph" w:customStyle="1" w:styleId="Heading20">
    <w:name w:val="Heading_2"/>
    <w:basedOn w:val="StyleHeading2Before0pt"/>
    <w:rsid w:val="0083401F"/>
    <w:pPr>
      <w:spacing w:before="360"/>
    </w:pPr>
    <w:rPr>
      <w:color w:val="auto"/>
      <w:sz w:val="26"/>
    </w:rPr>
  </w:style>
  <w:style w:type="paragraph" w:customStyle="1" w:styleId="Heading70">
    <w:name w:val="Heading_7"/>
    <w:basedOn w:val="Normalaftertitle"/>
    <w:rsid w:val="0083401F"/>
    <w:pPr>
      <w:jc w:val="center"/>
    </w:pPr>
  </w:style>
  <w:style w:type="table" w:styleId="TableGrid">
    <w:name w:val="Table Grid"/>
    <w:basedOn w:val="TableNormal"/>
    <w:rsid w:val="00A247CC"/>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31B63"/>
  </w:style>
  <w:style w:type="numbering" w:customStyle="1" w:styleId="NoList2">
    <w:name w:val="No List2"/>
    <w:next w:val="NoList"/>
    <w:uiPriority w:val="99"/>
    <w:semiHidden/>
    <w:unhideWhenUsed/>
    <w:rsid w:val="00CE0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sbmail@itu.int" TargetMode="External"/><Relationship Id="rId3" Type="http://schemas.openxmlformats.org/officeDocument/2006/relationships/webSettings" Target="webSettings.xml"/><Relationship Id="rId7" Type="http://schemas.openxmlformats.org/officeDocument/2006/relationships/hyperlink" Target="http://www.itu.int/itu-t/bulletin/ann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50</Pages>
  <Words>9791</Words>
  <Characters>55815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65476</CharactersWithSpaces>
  <SharedDoc>false</SharedDoc>
  <HLinks>
    <vt:vector size="12" baseType="variant">
      <vt:variant>
        <vt:i4>7864393</vt:i4>
      </vt:variant>
      <vt:variant>
        <vt:i4>3</vt:i4>
      </vt:variant>
      <vt:variant>
        <vt:i4>0</vt:i4>
      </vt:variant>
      <vt:variant>
        <vt:i4>5</vt:i4>
      </vt:variant>
      <vt:variant>
        <vt:lpwstr>mailto:tsbmail@itu.int</vt:lpwstr>
      </vt:variant>
      <vt:variant>
        <vt:lpwstr/>
      </vt: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Printed>2017-05-26T07:43:00Z</cp:lastPrinted>
  <dcterms:created xsi:type="dcterms:W3CDTF">2017-05-26T07:28:00Z</dcterms:created>
  <dcterms:modified xsi:type="dcterms:W3CDTF">2017-05-26T08:31:00Z</dcterms:modified>
</cp:coreProperties>
</file>