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FA" w:rsidRDefault="00D77BFA">
      <w:pPr>
        <w:jc w:val="center"/>
        <w:rPr>
          <w:i/>
          <w:sz w:val="20"/>
          <w:lang w:val="fr-FR"/>
        </w:rPr>
      </w:pPr>
      <w:r>
        <w:rPr>
          <w:i/>
          <w:sz w:val="20"/>
          <w:lang w:val="fr-FR"/>
        </w:rPr>
        <w:t>Annexe au Bulletin d'exploitation de l'UIT</w:t>
      </w:r>
    </w:p>
    <w:p w:rsidR="00D77BFA" w:rsidRDefault="00D77BFA">
      <w:pPr>
        <w:jc w:val="center"/>
        <w:rPr>
          <w:i/>
          <w:lang w:val="fr-FR"/>
        </w:rPr>
      </w:pPr>
      <w:r>
        <w:rPr>
          <w:i/>
          <w:sz w:val="20"/>
          <w:lang w:val="fr-FR"/>
        </w:rPr>
        <w:t>N</w:t>
      </w:r>
      <w:r>
        <w:rPr>
          <w:i/>
          <w:position w:val="6"/>
          <w:sz w:val="20"/>
          <w:lang w:val="fr-FR"/>
        </w:rPr>
        <w:t>o</w:t>
      </w:r>
      <w:r w:rsidR="006C4FDD">
        <w:rPr>
          <w:i/>
          <w:sz w:val="20"/>
          <w:lang w:val="fr-FR"/>
        </w:rPr>
        <w:t xml:space="preserve"> 9</w:t>
      </w:r>
      <w:r w:rsidR="00A23A70">
        <w:rPr>
          <w:i/>
          <w:sz w:val="20"/>
          <w:lang w:val="fr-FR"/>
        </w:rPr>
        <w:t>91 – 1.XI</w:t>
      </w:r>
      <w:r>
        <w:rPr>
          <w:i/>
          <w:sz w:val="20"/>
          <w:lang w:val="fr-FR"/>
        </w:rPr>
        <w:t>.20</w:t>
      </w:r>
      <w:r w:rsidR="006C4FDD">
        <w:rPr>
          <w:i/>
          <w:sz w:val="20"/>
          <w:lang w:val="fr-FR"/>
        </w:rPr>
        <w:t>1</w:t>
      </w:r>
      <w:r w:rsidR="00071E9D">
        <w:rPr>
          <w:i/>
          <w:sz w:val="20"/>
          <w:lang w:val="fr-FR"/>
        </w:rPr>
        <w:t>1</w:t>
      </w:r>
    </w:p>
    <w:p w:rsidR="00D77BFA" w:rsidRDefault="00D77BFA">
      <w:pPr>
        <w:rPr>
          <w:lang w:val="fr-FR"/>
        </w:rPr>
      </w:pPr>
    </w:p>
    <w:p w:rsidR="00D77BFA" w:rsidRDefault="00D77BFA">
      <w:pPr>
        <w:rPr>
          <w:lang w:val="fr-FR"/>
        </w:rPr>
      </w:pPr>
    </w:p>
    <w:tbl>
      <w:tblPr>
        <w:tblW w:w="0" w:type="auto"/>
        <w:tblLayout w:type="fixed"/>
        <w:tblLook w:val="0000"/>
      </w:tblPr>
      <w:tblGrid>
        <w:gridCol w:w="1384"/>
        <w:gridCol w:w="8165"/>
      </w:tblGrid>
      <w:tr w:rsidR="00D77BFA">
        <w:trPr>
          <w:cantSplit/>
        </w:trPr>
        <w:tc>
          <w:tcPr>
            <w:tcW w:w="1384" w:type="dxa"/>
          </w:tcPr>
          <w:p w:rsidR="00D77BFA" w:rsidRDefault="008652F4">
            <w:pPr>
              <w:pStyle w:val="ITUheader"/>
              <w:spacing w:before="0"/>
              <w:rPr>
                <w:sz w:val="32"/>
                <w:lang w:val="fr-FR"/>
              </w:rPr>
            </w:pPr>
            <w:r>
              <w:rPr>
                <w:rFonts w:ascii="FrugalSans" w:hAnsi="FrugalSans"/>
                <w:iCs/>
                <w:noProof/>
                <w:lang w:eastAsia="zh-CN"/>
              </w:rPr>
              <w:drawing>
                <wp:inline distT="0" distB="0" distL="0" distR="0">
                  <wp:extent cx="590550" cy="666750"/>
                  <wp:effectExtent l="19050" t="0" r="0" b="0"/>
                  <wp:docPr id="1" name="Picture 1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</w:tcPr>
          <w:p w:rsidR="00D77BFA" w:rsidRDefault="006B6699">
            <w:pPr>
              <w:pStyle w:val="ITUheader"/>
              <w:rPr>
                <w:sz w:val="18"/>
                <w:lang w:val="fr-FR"/>
              </w:rPr>
            </w:pPr>
            <w:r>
              <w:rPr>
                <w:lang w:val="fr-FR"/>
              </w:rPr>
              <w:t xml:space="preserve">UNION  </w:t>
            </w:r>
            <w:r w:rsidR="00D77BFA">
              <w:rPr>
                <w:lang w:val="fr-FR"/>
              </w:rPr>
              <w:t>INTERNATIONALE  DES  TÉLÉCOMMUNICATIONS</w:t>
            </w:r>
          </w:p>
        </w:tc>
      </w:tr>
    </w:tbl>
    <w:p w:rsidR="00D77BFA" w:rsidRDefault="00D77BFA">
      <w:pPr>
        <w:rPr>
          <w:lang w:val="fr-FR"/>
        </w:rPr>
      </w:pPr>
    </w:p>
    <w:p w:rsidR="00D77BFA" w:rsidRDefault="00D77BFA">
      <w:pPr>
        <w:rPr>
          <w:lang w:val="fr-FR"/>
        </w:rPr>
      </w:pPr>
    </w:p>
    <w:p w:rsidR="00D77BFA" w:rsidRDefault="00D77BFA">
      <w:pPr>
        <w:rPr>
          <w:lang w:val="fr-FR"/>
        </w:rPr>
      </w:pPr>
    </w:p>
    <w:p w:rsidR="00D77BFA" w:rsidRDefault="00D77BFA">
      <w:pPr>
        <w:rPr>
          <w:lang w:val="fr-FR"/>
        </w:rPr>
      </w:pPr>
    </w:p>
    <w:p w:rsidR="00D77BFA" w:rsidRDefault="00D77BFA">
      <w:pPr>
        <w:rPr>
          <w:b/>
          <w:sz w:val="24"/>
          <w:lang w:val="fr-FR"/>
        </w:rPr>
      </w:pPr>
    </w:p>
    <w:p w:rsidR="00D77BFA" w:rsidRDefault="00D77BFA">
      <w:pPr>
        <w:rPr>
          <w:b/>
          <w:sz w:val="24"/>
          <w:lang w:val="fr-FR"/>
        </w:rPr>
      </w:pPr>
    </w:p>
    <w:p w:rsidR="00D77BFA" w:rsidRDefault="00D77BFA">
      <w:pPr>
        <w:rPr>
          <w:b/>
          <w:sz w:val="24"/>
          <w:lang w:val="fr-FR"/>
        </w:rPr>
      </w:pPr>
    </w:p>
    <w:p w:rsidR="00D77BFA" w:rsidRDefault="00D77BFA">
      <w:pPr>
        <w:ind w:left="1134"/>
        <w:rPr>
          <w:b/>
          <w:sz w:val="24"/>
          <w:lang w:val="fr-FR"/>
        </w:rPr>
      </w:pPr>
      <w:r>
        <w:rPr>
          <w:b/>
          <w:sz w:val="40"/>
          <w:lang w:val="fr-FR"/>
        </w:rPr>
        <w:t>TSB</w:t>
      </w:r>
    </w:p>
    <w:p w:rsidR="00D77BFA" w:rsidRDefault="00D77BFA">
      <w:pPr>
        <w:ind w:left="1134"/>
        <w:rPr>
          <w:b/>
          <w:sz w:val="28"/>
          <w:lang w:val="fr-FR"/>
        </w:rPr>
      </w:pPr>
      <w:r>
        <w:rPr>
          <w:b/>
          <w:sz w:val="28"/>
          <w:lang w:val="fr-FR"/>
        </w:rPr>
        <w:t>BUREAU DE LA NORMALISATION</w:t>
      </w:r>
    </w:p>
    <w:p w:rsidR="00D77BFA" w:rsidRDefault="00D77BFA">
      <w:pPr>
        <w:ind w:left="1134"/>
        <w:rPr>
          <w:b/>
          <w:sz w:val="28"/>
          <w:lang w:val="fr-FR"/>
        </w:rPr>
      </w:pPr>
      <w:r>
        <w:rPr>
          <w:b/>
          <w:sz w:val="28"/>
          <w:lang w:val="fr-FR"/>
        </w:rPr>
        <w:t>DES TÉLÉCOMMUNICATIONS</w:t>
      </w:r>
    </w:p>
    <w:p w:rsidR="00D77BFA" w:rsidRDefault="00D77BFA">
      <w:pPr>
        <w:ind w:left="1134"/>
        <w:rPr>
          <w:b/>
          <w:sz w:val="24"/>
          <w:lang w:val="fr-FR"/>
        </w:rPr>
      </w:pPr>
      <w:r>
        <w:rPr>
          <w:b/>
          <w:sz w:val="28"/>
          <w:lang w:val="fr-FR"/>
        </w:rPr>
        <w:t>DE L'UIT</w:t>
      </w:r>
    </w:p>
    <w:p w:rsidR="00D77BFA" w:rsidRDefault="00D77BFA">
      <w:pPr>
        <w:rPr>
          <w:b/>
          <w:sz w:val="24"/>
          <w:lang w:val="fr-FR"/>
        </w:rPr>
      </w:pPr>
    </w:p>
    <w:p w:rsidR="00D77BFA" w:rsidRDefault="00D77BFA">
      <w:pPr>
        <w:rPr>
          <w:b/>
          <w:sz w:val="24"/>
          <w:lang w:val="fr-FR"/>
        </w:rPr>
      </w:pPr>
    </w:p>
    <w:p w:rsidR="00D77BFA" w:rsidRDefault="00D77BFA">
      <w:pPr>
        <w:rPr>
          <w:b/>
          <w:sz w:val="24"/>
          <w:lang w:val="fr-FR"/>
        </w:rPr>
      </w:pPr>
    </w:p>
    <w:p w:rsidR="00D77BFA" w:rsidRPr="00032DED" w:rsidRDefault="00032DED" w:rsidP="00032DED">
      <w:pPr>
        <w:ind w:left="1134"/>
        <w:rPr>
          <w:b/>
          <w:sz w:val="24"/>
          <w:lang w:val="en-GB"/>
        </w:rPr>
      </w:pPr>
      <w:r>
        <w:rPr>
          <w:b/>
          <w:sz w:val="24"/>
          <w:lang w:val="en-GB"/>
        </w:rPr>
        <w:t>Résolution</w:t>
      </w:r>
      <w:r w:rsidRPr="0019558F">
        <w:rPr>
          <w:b/>
          <w:sz w:val="24"/>
          <w:lang w:val="en-GB"/>
        </w:rPr>
        <w:t xml:space="preserve"> 21 </w:t>
      </w:r>
      <w:r>
        <w:rPr>
          <w:b/>
          <w:sz w:val="24"/>
          <w:lang w:val="en-GB"/>
        </w:rPr>
        <w:t>(Ré</w:t>
      </w:r>
      <w:r w:rsidRPr="0019558F">
        <w:rPr>
          <w:b/>
          <w:sz w:val="24"/>
          <w:lang w:val="en-GB"/>
        </w:rPr>
        <w:t>v</w:t>
      </w:r>
      <w:r>
        <w:rPr>
          <w:b/>
          <w:sz w:val="24"/>
          <w:lang w:val="en-GB"/>
        </w:rPr>
        <w:t xml:space="preserve">ision </w:t>
      </w:r>
      <w:r w:rsidRPr="0019558F">
        <w:rPr>
          <w:b/>
          <w:sz w:val="24"/>
          <w:lang w:val="en-GB"/>
        </w:rPr>
        <w:t>PP-2006</w:t>
      </w:r>
      <w:r>
        <w:rPr>
          <w:b/>
          <w:sz w:val="24"/>
          <w:lang w:val="en-GB"/>
        </w:rPr>
        <w:t>)</w:t>
      </w:r>
    </w:p>
    <w:p w:rsidR="00D77BFA" w:rsidRDefault="00D77BFA">
      <w:pPr>
        <w:ind w:left="1134"/>
        <w:rPr>
          <w:b/>
          <w:sz w:val="24"/>
          <w:lang w:val="fr-FR"/>
        </w:rPr>
      </w:pPr>
      <w:r>
        <w:rPr>
          <w:b/>
          <w:sz w:val="24"/>
          <w:lang w:val="fr-FR"/>
        </w:rPr>
        <w:t>_______________________________________________________________</w:t>
      </w:r>
    </w:p>
    <w:p w:rsidR="00D77BFA" w:rsidRDefault="00D77BFA">
      <w:pPr>
        <w:rPr>
          <w:b/>
          <w:sz w:val="24"/>
          <w:lang w:val="fr-FR"/>
        </w:rPr>
      </w:pPr>
    </w:p>
    <w:p w:rsidR="00D77BFA" w:rsidRDefault="00D77BFA">
      <w:pPr>
        <w:rPr>
          <w:b/>
          <w:sz w:val="24"/>
          <w:lang w:val="fr-FR"/>
        </w:rPr>
      </w:pPr>
    </w:p>
    <w:p w:rsidR="00D77BFA" w:rsidRDefault="00D77BFA">
      <w:pPr>
        <w:rPr>
          <w:b/>
          <w:sz w:val="24"/>
          <w:lang w:val="fr-FR"/>
        </w:rPr>
      </w:pPr>
    </w:p>
    <w:p w:rsidR="00D77BFA" w:rsidRDefault="00D77BFA">
      <w:pPr>
        <w:rPr>
          <w:b/>
          <w:sz w:val="24"/>
          <w:lang w:val="fr-FR"/>
        </w:rPr>
      </w:pPr>
    </w:p>
    <w:p w:rsidR="00D77BFA" w:rsidRDefault="00D77BFA">
      <w:pPr>
        <w:rPr>
          <w:b/>
          <w:sz w:val="24"/>
          <w:lang w:val="fr-FR"/>
        </w:rPr>
      </w:pPr>
    </w:p>
    <w:p w:rsidR="00D77BFA" w:rsidRDefault="00A82497" w:rsidP="00740D52">
      <w:pPr>
        <w:ind w:left="1134"/>
        <w:rPr>
          <w:b/>
          <w:sz w:val="40"/>
          <w:lang w:val="fr-FR"/>
        </w:rPr>
      </w:pPr>
      <w:r w:rsidRPr="00A82497">
        <w:rPr>
          <w:b/>
          <w:sz w:val="40"/>
          <w:lang w:val="en-GB"/>
        </w:rPr>
        <w:t>S</w:t>
      </w:r>
      <w:r w:rsidR="00005643">
        <w:rPr>
          <w:b/>
          <w:sz w:val="40"/>
          <w:lang w:val="en-GB"/>
        </w:rPr>
        <w:t>YST</w:t>
      </w:r>
      <w:r w:rsidR="00005643">
        <w:rPr>
          <w:rFonts w:cs="Arial"/>
          <w:b/>
          <w:sz w:val="40"/>
          <w:lang w:val="en-GB"/>
        </w:rPr>
        <w:t>È</w:t>
      </w:r>
      <w:r w:rsidR="005F71DC">
        <w:rPr>
          <w:b/>
          <w:sz w:val="40"/>
          <w:lang w:val="en-GB"/>
        </w:rPr>
        <w:t xml:space="preserve">MES DE RAPPEL (CALL-BACK) </w:t>
      </w:r>
      <w:r w:rsidR="005F71DC">
        <w:rPr>
          <w:b/>
          <w:sz w:val="40"/>
          <w:lang w:val="en-GB"/>
        </w:rPr>
        <w:br/>
        <w:t>ET PROC</w:t>
      </w:r>
      <w:r w:rsidR="00740D52" w:rsidRPr="00740D52">
        <w:rPr>
          <w:b/>
          <w:sz w:val="40"/>
          <w:lang w:val="fr-FR"/>
        </w:rPr>
        <w:t>É</w:t>
      </w:r>
      <w:r w:rsidR="005F71DC">
        <w:rPr>
          <w:b/>
          <w:sz w:val="40"/>
          <w:lang w:val="en-GB"/>
        </w:rPr>
        <w:t>DURES D'APPEL ALTERNATIVES</w:t>
      </w:r>
    </w:p>
    <w:p w:rsidR="00D77BFA" w:rsidRDefault="00D77BFA">
      <w:pPr>
        <w:rPr>
          <w:b/>
          <w:sz w:val="28"/>
          <w:lang w:val="fr-FR"/>
        </w:rPr>
      </w:pPr>
    </w:p>
    <w:p w:rsidR="00D77BFA" w:rsidRDefault="00E90BBF" w:rsidP="00FA35EE">
      <w:pPr>
        <w:ind w:left="1134"/>
        <w:rPr>
          <w:b/>
          <w:sz w:val="24"/>
          <w:lang w:val="fr-FR"/>
        </w:rPr>
      </w:pPr>
      <w:r>
        <w:rPr>
          <w:sz w:val="28"/>
          <w:lang w:val="fr-FR"/>
        </w:rPr>
        <w:t>(SITUATION AU 1</w:t>
      </w:r>
      <w:r w:rsidR="00071E9D">
        <w:rPr>
          <w:sz w:val="28"/>
          <w:lang w:val="fr-FR"/>
        </w:rPr>
        <w:t xml:space="preserve"> </w:t>
      </w:r>
      <w:r w:rsidR="00FA35EE">
        <w:rPr>
          <w:sz w:val="28"/>
          <w:lang w:val="fr-FR"/>
        </w:rPr>
        <w:t>NOVEMBRE</w:t>
      </w:r>
      <w:r w:rsidR="00071E9D">
        <w:rPr>
          <w:sz w:val="28"/>
          <w:lang w:val="fr-FR"/>
        </w:rPr>
        <w:t xml:space="preserve"> 2011</w:t>
      </w:r>
      <w:r w:rsidR="00D77BFA">
        <w:rPr>
          <w:sz w:val="28"/>
          <w:lang w:val="fr-FR"/>
        </w:rPr>
        <w:t>)</w:t>
      </w:r>
    </w:p>
    <w:p w:rsidR="00D77BFA" w:rsidRDefault="00D77BFA">
      <w:pPr>
        <w:rPr>
          <w:b/>
          <w:sz w:val="24"/>
          <w:lang w:val="fr-FR"/>
        </w:rPr>
      </w:pPr>
    </w:p>
    <w:p w:rsidR="00D77BFA" w:rsidRDefault="00D77BFA">
      <w:pPr>
        <w:rPr>
          <w:b/>
          <w:sz w:val="24"/>
          <w:lang w:val="fr-FR"/>
        </w:rPr>
      </w:pPr>
    </w:p>
    <w:p w:rsidR="00D77BFA" w:rsidRDefault="00D77BFA">
      <w:pPr>
        <w:rPr>
          <w:b/>
          <w:sz w:val="24"/>
          <w:lang w:val="fr-FR"/>
        </w:rPr>
      </w:pPr>
    </w:p>
    <w:p w:rsidR="00D77BFA" w:rsidRDefault="00D77BFA">
      <w:pPr>
        <w:rPr>
          <w:b/>
          <w:sz w:val="24"/>
          <w:lang w:val="fr-FR"/>
        </w:rPr>
      </w:pPr>
    </w:p>
    <w:p w:rsidR="00D77BFA" w:rsidRDefault="00D77BFA">
      <w:pPr>
        <w:rPr>
          <w:b/>
          <w:sz w:val="24"/>
          <w:lang w:val="fr-FR"/>
        </w:rPr>
      </w:pPr>
    </w:p>
    <w:p w:rsidR="00D77BFA" w:rsidRDefault="00D77BFA">
      <w:pPr>
        <w:ind w:left="1134"/>
        <w:rPr>
          <w:b/>
          <w:sz w:val="24"/>
          <w:lang w:val="fr-FR"/>
        </w:rPr>
      </w:pPr>
      <w:r>
        <w:rPr>
          <w:b/>
          <w:sz w:val="24"/>
          <w:lang w:val="fr-FR"/>
        </w:rPr>
        <w:t>_______________________________________________________________</w:t>
      </w:r>
    </w:p>
    <w:p w:rsidR="00D77BFA" w:rsidRDefault="00D77BFA">
      <w:pPr>
        <w:rPr>
          <w:lang w:val="fr-FR"/>
        </w:rPr>
      </w:pPr>
    </w:p>
    <w:p w:rsidR="00D77BFA" w:rsidRDefault="00D77BFA">
      <w:pPr>
        <w:rPr>
          <w:lang w:val="fr-FR"/>
        </w:rPr>
      </w:pPr>
    </w:p>
    <w:p w:rsidR="00D77BFA" w:rsidRDefault="00D77BFA">
      <w:pPr>
        <w:rPr>
          <w:lang w:val="fr-FR"/>
        </w:rPr>
      </w:pPr>
    </w:p>
    <w:p w:rsidR="00D77BFA" w:rsidRDefault="00D77BFA">
      <w:pPr>
        <w:rPr>
          <w:lang w:val="fr-FR"/>
        </w:rPr>
      </w:pPr>
    </w:p>
    <w:p w:rsidR="00D77BFA" w:rsidRDefault="00D77BFA">
      <w:pPr>
        <w:rPr>
          <w:lang w:val="fr-FR"/>
        </w:rPr>
      </w:pPr>
    </w:p>
    <w:p w:rsidR="00D77BFA" w:rsidRDefault="00D77BFA">
      <w:pPr>
        <w:rPr>
          <w:lang w:val="fr-FR"/>
        </w:rPr>
      </w:pPr>
    </w:p>
    <w:p w:rsidR="00D77BFA" w:rsidRDefault="00D77BFA">
      <w:pPr>
        <w:rPr>
          <w:lang w:val="fr-FR"/>
        </w:rPr>
      </w:pPr>
      <w:r>
        <w:rPr>
          <w:b/>
          <w:sz w:val="24"/>
          <w:lang w:val="fr-FR"/>
        </w:rPr>
        <w:t>Genève, 20</w:t>
      </w:r>
      <w:r w:rsidR="006C4FDD">
        <w:rPr>
          <w:b/>
          <w:sz w:val="24"/>
          <w:lang w:val="fr-FR"/>
        </w:rPr>
        <w:t>1</w:t>
      </w:r>
      <w:r w:rsidR="00071E9D">
        <w:rPr>
          <w:b/>
          <w:sz w:val="24"/>
          <w:lang w:val="fr-FR"/>
        </w:rPr>
        <w:t>1</w:t>
      </w:r>
    </w:p>
    <w:p w:rsidR="00D77BFA" w:rsidRDefault="00D77BFA">
      <w:pPr>
        <w:rPr>
          <w:lang w:val="fr-FR"/>
        </w:rPr>
      </w:pPr>
      <w:r>
        <w:rPr>
          <w:lang w:val="fr-FR"/>
        </w:rPr>
        <w:br w:type="page"/>
      </w:r>
    </w:p>
    <w:p w:rsidR="00D77BFA" w:rsidRDefault="00726EF7" w:rsidP="0080634C">
      <w:pPr>
        <w:jc w:val="center"/>
        <w:rPr>
          <w:rFonts w:ascii="Helvetica" w:hAnsi="Helvetica"/>
          <w:b/>
          <w:sz w:val="32"/>
          <w:lang w:val="fr-FR"/>
        </w:rPr>
      </w:pPr>
      <w:bookmarkStart w:id="0" w:name="_Toc190583978"/>
      <w:bookmarkStart w:id="1" w:name="_Toc191715175"/>
      <w:bookmarkStart w:id="2" w:name="_Toc193013700"/>
      <w:bookmarkStart w:id="3" w:name="_Toc194811199"/>
      <w:bookmarkStart w:id="4" w:name="_Toc196016416"/>
      <w:bookmarkStart w:id="5" w:name="_Toc197219131"/>
      <w:bookmarkStart w:id="6" w:name="_Toc198364506"/>
      <w:bookmarkStart w:id="7" w:name="_Toc199662475"/>
      <w:bookmarkStart w:id="8" w:name="_Toc200866980"/>
      <w:bookmarkStart w:id="9" w:name="_Toc202686481"/>
      <w:bookmarkStart w:id="10" w:name="_Toc203551965"/>
      <w:bookmarkStart w:id="11" w:name="_Toc204668219"/>
      <w:bookmarkStart w:id="12" w:name="_Toc205090228"/>
      <w:bookmarkStart w:id="13" w:name="_Toc206383860"/>
      <w:bookmarkStart w:id="14" w:name="_Toc208199970"/>
      <w:bookmarkStart w:id="15" w:name="_Toc211846650"/>
      <w:bookmarkStart w:id="16" w:name="_Toc214158948"/>
      <w:bookmarkStart w:id="17" w:name="_Toc215903445"/>
      <w:bookmarkStart w:id="18" w:name="_Toc217291440"/>
      <w:bookmarkStart w:id="19" w:name="_Toc218929457"/>
      <w:bookmarkStart w:id="20" w:name="_Toc220822912"/>
      <w:bookmarkStart w:id="21" w:name="_Toc222026669"/>
      <w:bookmarkStart w:id="22" w:name="_Toc223250159"/>
      <w:bookmarkStart w:id="23" w:name="_Toc223250738"/>
      <w:bookmarkStart w:id="24" w:name="_Toc226796833"/>
      <w:bookmarkStart w:id="25" w:name="_Toc228761752"/>
      <w:bookmarkStart w:id="26" w:name="_Toc229969488"/>
      <w:bookmarkStart w:id="27" w:name="_Toc231198994"/>
      <w:bookmarkStart w:id="28" w:name="_Toc232315673"/>
      <w:bookmarkStart w:id="29" w:name="_Toc233618262"/>
      <w:bookmarkStart w:id="30" w:name="_Toc236568466"/>
      <w:bookmarkStart w:id="31" w:name="_Toc240772445"/>
      <w:bookmarkStart w:id="32" w:name="_Toc242000168"/>
      <w:bookmarkStart w:id="33" w:name="_Toc243283630"/>
      <w:bookmarkStart w:id="34" w:name="_Toc244503096"/>
      <w:bookmarkStart w:id="35" w:name="_Toc247966344"/>
      <w:bookmarkStart w:id="36" w:name="_Toc252175434"/>
      <w:bookmarkStart w:id="37" w:name="_Toc253407938"/>
      <w:bookmarkStart w:id="38" w:name="_Toc255827808"/>
      <w:bookmarkStart w:id="39" w:name="_Toc259726561"/>
      <w:bookmarkStart w:id="40" w:name="_Toc262756310"/>
      <w:bookmarkStart w:id="41" w:name="_Toc265053973"/>
      <w:bookmarkStart w:id="42" w:name="_Toc266116937"/>
      <w:bookmarkStart w:id="43" w:name="_Toc268854534"/>
      <w:bookmarkStart w:id="44" w:name="_Toc271633979"/>
      <w:bookmarkStart w:id="45" w:name="_Toc273021703"/>
      <w:bookmarkStart w:id="46" w:name="_Toc274142292"/>
      <w:bookmarkStart w:id="47" w:name="_Toc276716400"/>
      <w:bookmarkStart w:id="48" w:name="_Toc279667621"/>
      <w:bookmarkStart w:id="49" w:name="_Toc280291913"/>
      <w:bookmarkStart w:id="50" w:name="_Toc282525381"/>
      <w:bookmarkStart w:id="51" w:name="_Toc283734861"/>
      <w:bookmarkStart w:id="52" w:name="_Toc286068883"/>
      <w:bookmarkStart w:id="53" w:name="_Toc288659508"/>
      <w:bookmarkStart w:id="54" w:name="_Toc291004554"/>
      <w:bookmarkStart w:id="55" w:name="_Toc292700062"/>
      <w:bookmarkStart w:id="56" w:name="_Toc295307383"/>
      <w:bookmarkStart w:id="57" w:name="_Toc295307464"/>
      <w:bookmarkStart w:id="58" w:name="_Toc296609676"/>
      <w:bookmarkStart w:id="59" w:name="_Toc297803856"/>
      <w:bookmarkStart w:id="60" w:name="_Toc301943888"/>
      <w:bookmarkStart w:id="61" w:name="_Toc303343172"/>
      <w:bookmarkStart w:id="62" w:name="_Toc304886942"/>
      <w:bookmarkStart w:id="63" w:name="_Toc253407167"/>
      <w:bookmarkStart w:id="64" w:name="_Toc259783162"/>
      <w:bookmarkStart w:id="65" w:name="_Toc262631833"/>
      <w:bookmarkStart w:id="66" w:name="_Toc265056512"/>
      <w:bookmarkStart w:id="67" w:name="_Toc266181259"/>
      <w:bookmarkStart w:id="68" w:name="_Toc268774044"/>
      <w:bookmarkStart w:id="69" w:name="_Toc271700513"/>
      <w:bookmarkStart w:id="70" w:name="_Toc273023374"/>
      <w:bookmarkStart w:id="71" w:name="_Toc274223848"/>
      <w:bookmarkStart w:id="72" w:name="_Toc276717184"/>
      <w:bookmarkStart w:id="73" w:name="_Toc279669170"/>
      <w:bookmarkStart w:id="74" w:name="_Toc280349226"/>
      <w:bookmarkStart w:id="75" w:name="_Toc282526058"/>
      <w:bookmarkStart w:id="76" w:name="_Toc283737224"/>
      <w:bookmarkStart w:id="77" w:name="_Toc286218735"/>
      <w:bookmarkStart w:id="78" w:name="_Toc288660300"/>
      <w:bookmarkStart w:id="79" w:name="_Toc291005409"/>
      <w:bookmarkStart w:id="80" w:name="_Toc292704993"/>
      <w:bookmarkStart w:id="81" w:name="_Toc295387918"/>
      <w:bookmarkStart w:id="82" w:name="_Toc296675488"/>
      <w:bookmarkStart w:id="83" w:name="_Toc297804739"/>
      <w:bookmarkStart w:id="84" w:name="_Toc301945313"/>
      <w:bookmarkStart w:id="85" w:name="_Toc303344268"/>
      <w:bookmarkStart w:id="86" w:name="_Toc304892186"/>
      <w:r>
        <w:rPr>
          <w:rFonts w:ascii="Helvetica" w:hAnsi="Helvetica"/>
          <w:b/>
          <w:sz w:val="32"/>
          <w:lang w:val="en-GB"/>
        </w:rPr>
        <w:lastRenderedPageBreak/>
        <w:t>Systèmes de rappel (Call-Back)</w:t>
      </w:r>
      <w:r>
        <w:rPr>
          <w:rFonts w:ascii="Helvetica" w:hAnsi="Helvetica"/>
          <w:b/>
          <w:sz w:val="32"/>
          <w:lang w:val="en-GB"/>
        </w:rPr>
        <w:br/>
      </w:r>
      <w:r w:rsidR="0080634C" w:rsidRPr="0080634C">
        <w:rPr>
          <w:rFonts w:ascii="Helvetica" w:hAnsi="Helvetica"/>
          <w:b/>
          <w:sz w:val="32"/>
          <w:lang w:val="en-GB"/>
        </w:rPr>
        <w:t xml:space="preserve">et procédures d'appel alternatives </w:t>
      </w:r>
      <w:r w:rsidR="004C3857">
        <w:rPr>
          <w:rFonts w:ascii="Helvetica" w:hAnsi="Helvetica"/>
          <w:b/>
          <w:sz w:val="32"/>
          <w:lang w:val="en-GB"/>
        </w:rPr>
        <w:br/>
      </w:r>
      <w:r w:rsidR="0080634C" w:rsidRPr="0080634C">
        <w:rPr>
          <w:rFonts w:ascii="Helvetica" w:hAnsi="Helvetica"/>
          <w:b/>
          <w:sz w:val="32"/>
          <w:lang w:val="en-GB"/>
        </w:rPr>
        <w:t>(Rés</w:t>
      </w:r>
      <w:r w:rsidR="0080634C">
        <w:rPr>
          <w:rFonts w:ascii="Helvetica" w:hAnsi="Helvetica"/>
          <w:b/>
          <w:sz w:val="32"/>
          <w:lang w:val="en-GB"/>
        </w:rPr>
        <w:t>olution</w:t>
      </w:r>
      <w:r w:rsidR="0080634C" w:rsidRPr="0080634C">
        <w:rPr>
          <w:rFonts w:ascii="Helvetica" w:hAnsi="Helvetica"/>
          <w:b/>
          <w:sz w:val="32"/>
          <w:lang w:val="en-GB"/>
        </w:rPr>
        <w:t xml:space="preserve"> 21 Rév</w:t>
      </w:r>
      <w:r w:rsidR="0080634C">
        <w:rPr>
          <w:rFonts w:ascii="Helvetica" w:hAnsi="Helvetica"/>
          <w:b/>
          <w:sz w:val="32"/>
          <w:lang w:val="en-GB"/>
        </w:rPr>
        <w:t xml:space="preserve">ision </w:t>
      </w:r>
      <w:r w:rsidR="0080634C" w:rsidRPr="0080634C">
        <w:rPr>
          <w:rFonts w:ascii="Helvetica" w:hAnsi="Helvetica"/>
          <w:b/>
          <w:sz w:val="32"/>
          <w:lang w:val="en-GB"/>
        </w:rPr>
        <w:t>PP-2006)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D77BFA" w:rsidRDefault="00D77BFA">
      <w:pPr>
        <w:jc w:val="center"/>
        <w:rPr>
          <w:rFonts w:ascii="Helvetica" w:hAnsi="Helvetica"/>
          <w:b/>
          <w:sz w:val="32"/>
          <w:lang w:val="fr-FR"/>
        </w:rPr>
      </w:pPr>
    </w:p>
    <w:p w:rsidR="00D77BFA" w:rsidRDefault="00D77BFA">
      <w:pPr>
        <w:jc w:val="center"/>
        <w:rPr>
          <w:rFonts w:ascii="Helvetica" w:hAnsi="Helvetica"/>
          <w:b/>
          <w:sz w:val="32"/>
          <w:lang w:val="fr-FR"/>
        </w:rPr>
      </w:pPr>
    </w:p>
    <w:p w:rsidR="00D77BFA" w:rsidRDefault="00D77BFA">
      <w:pPr>
        <w:rPr>
          <w:rFonts w:ascii="Helvetica" w:hAnsi="Helvetica"/>
          <w:b/>
          <w:i/>
          <w:sz w:val="32"/>
          <w:lang w:val="fr-FR"/>
        </w:rPr>
      </w:pPr>
      <w:r>
        <w:rPr>
          <w:rFonts w:ascii="Helvetica" w:hAnsi="Helvetica"/>
          <w:b/>
          <w:i/>
          <w:sz w:val="32"/>
          <w:lang w:val="fr-FR"/>
        </w:rPr>
        <w:t>Note du TSB</w:t>
      </w:r>
    </w:p>
    <w:p w:rsidR="00D77BFA" w:rsidRDefault="00D77BFA">
      <w:pPr>
        <w:rPr>
          <w:rFonts w:ascii="Helvetica" w:hAnsi="Helvetica"/>
          <w:b/>
          <w:i/>
          <w:sz w:val="32"/>
          <w:lang w:val="fr-FR"/>
        </w:rPr>
      </w:pPr>
    </w:p>
    <w:p w:rsidR="00D77BFA" w:rsidRDefault="00D77BFA">
      <w:pPr>
        <w:rPr>
          <w:rFonts w:ascii="Helvetica" w:hAnsi="Helvetica"/>
          <w:b/>
          <w:i/>
          <w:sz w:val="32"/>
          <w:lang w:val="fr-FR"/>
        </w:rPr>
      </w:pPr>
    </w:p>
    <w:p w:rsidR="00D77BFA" w:rsidRDefault="007975BB" w:rsidP="009E57B3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>1</w:t>
      </w:r>
      <w:r w:rsidR="00D77BFA">
        <w:rPr>
          <w:rFonts w:ascii="Helvetica" w:hAnsi="Helvetica"/>
          <w:lang w:val="fr-FR"/>
        </w:rPr>
        <w:t>.</w:t>
      </w:r>
      <w:r w:rsidR="00D77BFA">
        <w:rPr>
          <w:rFonts w:ascii="Helvetica" w:hAnsi="Helvetica"/>
          <w:lang w:val="fr-FR"/>
        </w:rPr>
        <w:tab/>
        <w:t>Pour que la Liste puisse être tenue à jour, les Administrations sont pr</w:t>
      </w:r>
      <w:r w:rsidR="006C2A5C">
        <w:rPr>
          <w:rFonts w:ascii="Helvetica" w:hAnsi="Helvetica"/>
          <w:lang w:val="fr-FR"/>
        </w:rPr>
        <w:t xml:space="preserve">iées d'aviser le TSB </w:t>
      </w:r>
      <w:r w:rsidR="00D77BFA">
        <w:rPr>
          <w:rFonts w:ascii="Helvetica" w:hAnsi="Helvetica"/>
          <w:lang w:val="fr-FR"/>
        </w:rPr>
        <w:t xml:space="preserve">de toute </w:t>
      </w:r>
      <w:r w:rsidR="009E57B3">
        <w:rPr>
          <w:rFonts w:ascii="Helvetica" w:hAnsi="Helvetica"/>
          <w:lang w:val="fr-FR"/>
        </w:rPr>
        <w:t>modification</w:t>
      </w:r>
      <w:r w:rsidR="009509B8">
        <w:rPr>
          <w:rFonts w:ascii="Helvetica" w:hAnsi="Helvetica"/>
          <w:lang w:val="fr-FR"/>
        </w:rPr>
        <w:t xml:space="preserve"> concernant les systèmes de rappel</w:t>
      </w:r>
      <w:r w:rsidR="005F78CA">
        <w:rPr>
          <w:rFonts w:ascii="Helvetica" w:hAnsi="Helvetica"/>
          <w:lang w:val="fr-FR"/>
        </w:rPr>
        <w:t xml:space="preserve"> (Call-Back)</w:t>
      </w:r>
      <w:r w:rsidR="009509B8">
        <w:rPr>
          <w:rFonts w:ascii="Helvetica" w:hAnsi="Helvetica"/>
          <w:lang w:val="fr-FR"/>
        </w:rPr>
        <w:t xml:space="preserve"> dans leur pays</w:t>
      </w:r>
      <w:r w:rsidR="00A919F4">
        <w:rPr>
          <w:rFonts w:ascii="Helvetica" w:hAnsi="Helvetica"/>
          <w:lang w:val="fr-FR"/>
        </w:rPr>
        <w:t>,</w:t>
      </w:r>
      <w:r w:rsidR="006C2A5C">
        <w:rPr>
          <w:rFonts w:ascii="Helvetica" w:hAnsi="Helvetica"/>
          <w:lang w:val="fr-FR"/>
        </w:rPr>
        <w:t xml:space="preserve"> en utilisant l'adresse </w:t>
      </w:r>
      <w:r w:rsidR="005F78CA">
        <w:rPr>
          <w:rFonts w:ascii="Helvetica" w:hAnsi="Helvetica"/>
          <w:lang w:val="fr-FR"/>
        </w:rPr>
        <w:t xml:space="preserve">indiquée </w:t>
      </w:r>
      <w:r w:rsidR="006C2A5C">
        <w:rPr>
          <w:rFonts w:ascii="Helvetica" w:hAnsi="Helvetica"/>
          <w:lang w:val="fr-FR"/>
        </w:rPr>
        <w:t>ci-dessous</w:t>
      </w:r>
      <w:r w:rsidR="00D77BFA">
        <w:rPr>
          <w:rFonts w:ascii="Helvetica" w:hAnsi="Helvetica"/>
          <w:lang w:val="fr-FR"/>
        </w:rPr>
        <w:t>.</w:t>
      </w:r>
    </w:p>
    <w:p w:rsidR="00D77BFA" w:rsidRDefault="00D77BFA">
      <w:pPr>
        <w:jc w:val="both"/>
        <w:rPr>
          <w:rFonts w:ascii="Helvetica" w:hAnsi="Helvetica"/>
          <w:lang w:val="fr-FR"/>
        </w:rPr>
      </w:pPr>
    </w:p>
    <w:p w:rsidR="00D77BFA" w:rsidRDefault="007975BB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>2</w:t>
      </w:r>
      <w:r w:rsidR="00D77BFA">
        <w:rPr>
          <w:rFonts w:ascii="Helvetica" w:hAnsi="Helvetica"/>
          <w:lang w:val="fr-FR"/>
        </w:rPr>
        <w:t>.</w:t>
      </w:r>
      <w:r w:rsidR="00D77BFA">
        <w:rPr>
          <w:rFonts w:ascii="Helvetica" w:hAnsi="Helvetica"/>
          <w:lang w:val="fr-FR"/>
        </w:rPr>
        <w:tab/>
        <w:t>Veuillez adresser vos commentaires concernant cette Liste au Directeur du TSB:</w:t>
      </w:r>
    </w:p>
    <w:p w:rsidR="00D77BFA" w:rsidRDefault="00D77BFA">
      <w:pPr>
        <w:jc w:val="both"/>
        <w:rPr>
          <w:rFonts w:ascii="Helvetica" w:hAnsi="Helvetica"/>
          <w:lang w:val="fr-FR"/>
        </w:rPr>
      </w:pPr>
    </w:p>
    <w:p w:rsidR="00D77BFA" w:rsidRDefault="00D77BFA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Union internationale des télécommunications</w:t>
      </w:r>
    </w:p>
    <w:p w:rsidR="00D77BFA" w:rsidRDefault="00D77BFA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Directeur du TSB</w:t>
      </w:r>
    </w:p>
    <w:p w:rsidR="00D77BFA" w:rsidRDefault="00D77BFA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Place des Nations</w:t>
      </w:r>
    </w:p>
    <w:p w:rsidR="00D77BFA" w:rsidRDefault="00D77BFA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CH-1211 GENÈVE 20</w:t>
      </w:r>
    </w:p>
    <w:p w:rsidR="00D77BFA" w:rsidRDefault="00D77BFA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Suisse</w:t>
      </w:r>
    </w:p>
    <w:p w:rsidR="00D77BFA" w:rsidRDefault="00D77BFA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Tél:</w:t>
      </w: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+41 22 730 5211</w:t>
      </w:r>
    </w:p>
    <w:p w:rsidR="00D77BFA" w:rsidRDefault="00D77BFA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Fax:</w:t>
      </w: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+41 22 730 5853</w:t>
      </w:r>
    </w:p>
    <w:p w:rsidR="00D77BFA" w:rsidRDefault="00D77BFA">
      <w:pPr>
        <w:jc w:val="both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</w:r>
      <w:r>
        <w:rPr>
          <w:rFonts w:ascii="Helvetica" w:hAnsi="Helvetica"/>
          <w:lang w:val="en-GB"/>
        </w:rPr>
        <w:tab/>
        <w:t>E</w:t>
      </w:r>
      <w:r w:rsidR="004617C4">
        <w:rPr>
          <w:rFonts w:ascii="Helvetica" w:hAnsi="Helvetica"/>
          <w:lang w:val="en-GB"/>
        </w:rPr>
        <w:t>-</w:t>
      </w:r>
      <w:r>
        <w:rPr>
          <w:rFonts w:ascii="Helvetica" w:hAnsi="Helvetica"/>
          <w:lang w:val="en-GB"/>
        </w:rPr>
        <w:t>mail:</w:t>
      </w:r>
      <w:r>
        <w:rPr>
          <w:rFonts w:ascii="Helvetica" w:hAnsi="Helvetica"/>
          <w:lang w:val="en-GB"/>
        </w:rPr>
        <w:tab/>
        <w:t>tsbtson@itu.int</w:t>
      </w:r>
    </w:p>
    <w:p w:rsidR="00D77BFA" w:rsidRDefault="00D77BFA">
      <w:pPr>
        <w:rPr>
          <w:lang w:val="en-GB"/>
        </w:rPr>
      </w:pPr>
    </w:p>
    <w:p w:rsidR="00D77BFA" w:rsidRDefault="007975BB">
      <w:pPr>
        <w:jc w:val="both"/>
        <w:rPr>
          <w:lang w:val="fr-FR"/>
        </w:rPr>
      </w:pPr>
      <w:r>
        <w:rPr>
          <w:lang w:val="fr-FR"/>
        </w:rPr>
        <w:t>3</w:t>
      </w:r>
      <w:r w:rsidR="00D77BFA">
        <w:rPr>
          <w:lang w:val="fr-FR"/>
        </w:rPr>
        <w:t>.</w:t>
      </w:r>
      <w:r w:rsidR="00D77BFA">
        <w:rPr>
          <w:lang w:val="fr-FR"/>
        </w:rPr>
        <w:tab/>
        <w:t>Les appellations employées dans cette Liste et la présentation des données qui y figurent n'impliquent, de la part de l'UIT, aucune prise de position quant au statut juridique des pays ou zones géographiques ou de leurs autorités.</w:t>
      </w:r>
    </w:p>
    <w:p w:rsidR="00D77BFA" w:rsidRDefault="00D77BFA">
      <w:pPr>
        <w:rPr>
          <w:lang w:val="fr-FR"/>
        </w:rPr>
      </w:pPr>
    </w:p>
    <w:p w:rsidR="00D77BFA" w:rsidRPr="001613CB" w:rsidRDefault="00D77BFA" w:rsidP="001613CB">
      <w:pPr>
        <w:pStyle w:val="Title"/>
        <w:rPr>
          <w:b w:val="0"/>
          <w:bCs w:val="0"/>
        </w:rPr>
      </w:pPr>
      <w:r>
        <w:br w:type="page"/>
      </w:r>
    </w:p>
    <w:p w:rsidR="001613CB" w:rsidRPr="00115C7C" w:rsidRDefault="00B62E43" w:rsidP="00B62E43">
      <w:pPr>
        <w:pStyle w:val="Heading20"/>
        <w:rPr>
          <w:lang w:val="en-US"/>
        </w:rPr>
      </w:pPr>
      <w:r w:rsidRPr="00B62E43">
        <w:rPr>
          <w:lang w:val="en-GB"/>
        </w:rPr>
        <w:lastRenderedPageBreak/>
        <w:t>Systèmes de rappel (Call-Back)</w:t>
      </w:r>
      <w:r w:rsidRPr="00B62E43">
        <w:rPr>
          <w:lang w:val="en-GB"/>
        </w:rPr>
        <w:br/>
        <w:t>et procédures d'appel alternatives (Rés. 21 Rév. PP-200</w:t>
      </w:r>
      <w:r>
        <w:rPr>
          <w:lang w:val="en-GB"/>
        </w:rPr>
        <w:t>6</w:t>
      </w:r>
      <w:r w:rsidRPr="00B62E43">
        <w:rPr>
          <w:lang w:val="en-GB"/>
        </w:rPr>
        <w:t>)</w:t>
      </w:r>
    </w:p>
    <w:p w:rsidR="001613CB" w:rsidRPr="00DB3264" w:rsidRDefault="008F227F" w:rsidP="008F227F">
      <w:pPr>
        <w:pStyle w:val="Normalaftertitle"/>
        <w:rPr>
          <w:rFonts w:asciiTheme="minorHAnsi" w:hAnsiTheme="minorHAnsi"/>
        </w:rPr>
      </w:pPr>
      <w:r w:rsidRPr="008F227F">
        <w:rPr>
          <w:rFonts w:asciiTheme="minorHAnsi" w:hAnsiTheme="minorHAnsi"/>
          <w:bCs/>
          <w:lang w:val="fr-FR"/>
        </w:rPr>
        <w:t>Note du TSB</w:t>
      </w:r>
    </w:p>
    <w:p w:rsidR="00034F7F" w:rsidRDefault="00E25509" w:rsidP="008543C9">
      <w:pPr>
        <w:pStyle w:val="Tabletext"/>
        <w:tabs>
          <w:tab w:val="clear" w:pos="1276"/>
          <w:tab w:val="clear" w:pos="1843"/>
          <w:tab w:val="left" w:pos="567"/>
        </w:tabs>
        <w:spacing w:before="136" w:after="0"/>
        <w:rPr>
          <w:rFonts w:asciiTheme="minorHAnsi" w:hAnsiTheme="minorHAnsi"/>
          <w:b w:val="0"/>
          <w:position w:val="6"/>
          <w:sz w:val="20"/>
          <w:szCs w:val="20"/>
          <w:lang w:val="en-US"/>
        </w:rPr>
      </w:pPr>
      <w:r w:rsidRPr="00E25509">
        <w:rPr>
          <w:rFonts w:asciiTheme="minorHAnsi" w:hAnsiTheme="minorHAnsi"/>
          <w:b w:val="0"/>
          <w:position w:val="6"/>
          <w:sz w:val="20"/>
          <w:szCs w:val="20"/>
          <w:lang w:val="en-US"/>
        </w:rPr>
        <w:t>Pays/zones géographiques pour lesquels les "Systèmes de rappel (Call</w:t>
      </w:r>
      <w:r w:rsidRPr="00E25509">
        <w:rPr>
          <w:rFonts w:asciiTheme="minorHAnsi" w:hAnsiTheme="minorHAnsi"/>
          <w:b w:val="0"/>
          <w:position w:val="6"/>
          <w:sz w:val="20"/>
          <w:szCs w:val="20"/>
          <w:lang w:val="en-US"/>
        </w:rPr>
        <w:noBreakHyphen/>
        <w:t>Back) et certaines procédures d'appel alternatives non conformes à la réglementation en vigueur" sont interdits sur leur territoire.</w:t>
      </w:r>
    </w:p>
    <w:p w:rsidR="00871AC0" w:rsidRDefault="00871AC0" w:rsidP="00E25509">
      <w:pPr>
        <w:pStyle w:val="Tabletext"/>
        <w:tabs>
          <w:tab w:val="clear" w:pos="1276"/>
          <w:tab w:val="clear" w:pos="1843"/>
          <w:tab w:val="left" w:pos="567"/>
        </w:tabs>
        <w:spacing w:before="0" w:after="0"/>
        <w:rPr>
          <w:rFonts w:asciiTheme="minorHAnsi" w:hAnsiTheme="minorHAnsi"/>
          <w:b w:val="0"/>
          <w:position w:val="6"/>
          <w:sz w:val="20"/>
          <w:szCs w:val="20"/>
          <w:lang w:val="en-US"/>
        </w:rPr>
      </w:pPr>
    </w:p>
    <w:p w:rsidR="00C82A5F" w:rsidRDefault="00C82A5F" w:rsidP="00064FDB">
      <w:pPr>
        <w:overflowPunct/>
        <w:autoSpaceDE/>
        <w:autoSpaceDN/>
        <w:adjustRightInd/>
        <w:jc w:val="center"/>
        <w:textAlignment w:val="auto"/>
        <w:rPr>
          <w:rFonts w:ascii="Calibri" w:hAnsi="Calibri"/>
          <w:color w:val="000000"/>
          <w:sz w:val="20"/>
          <w:lang w:eastAsia="zh-CN"/>
        </w:rPr>
        <w:sectPr w:rsidR="00C82A5F">
          <w:footerReference w:type="even" r:id="rId8"/>
          <w:footerReference w:type="default" r:id="rId9"/>
          <w:pgSz w:w="11907" w:h="16840"/>
          <w:pgMar w:top="1134" w:right="1134" w:bottom="1134" w:left="1134" w:header="720" w:footer="720" w:gutter="0"/>
          <w:paperSrc w:first="3678" w:other="3678"/>
          <w:pgNumType w:start="1"/>
          <w:cols w:space="720"/>
          <w:titlePg/>
        </w:sectPr>
      </w:pPr>
    </w:p>
    <w:tbl>
      <w:tblPr>
        <w:tblW w:w="5340" w:type="dxa"/>
        <w:tblInd w:w="93" w:type="dxa"/>
        <w:tblLook w:val="04A0"/>
      </w:tblPr>
      <w:tblGrid>
        <w:gridCol w:w="1100"/>
        <w:gridCol w:w="4240"/>
      </w:tblGrid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lastRenderedPageBreak/>
              <w:t>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Afghanistan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Albanie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3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Algérie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4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Arabie saoudite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Arménie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6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Azerbaïdjan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7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Bahamas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8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Bahreïn  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9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Bélarus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10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Belize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Bénin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val="fr-FR"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Bonaire, Saint Eustatius et Saba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13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Bhoutan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14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Bosnie-Herzégovine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Brésil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Brunéi Darussalam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17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Bulgarie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18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Burkina Faso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19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Burundi  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20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Cambodge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21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Cameroun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22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Centrafricaine (Rép.)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23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Chine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24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Chypre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25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Colombie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26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Comores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27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Cook (Îles)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28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Costa Rica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29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Côte d'Ivoire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30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Cuba  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31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val="fr-FR"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Cura</w:t>
            </w:r>
            <w:r w:rsidRPr="00064FDB">
              <w:rPr>
                <w:rFonts w:ascii="Times New Roman" w:hAnsi="Times New Roman"/>
                <w:color w:val="000000"/>
                <w:sz w:val="20"/>
                <w:lang w:val="fr-FR" w:eastAsia="zh-CN"/>
              </w:rPr>
              <w:t>ç</w:t>
            </w: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ao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32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Djibouti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33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Dominique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34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Egypte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35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Emirats arabes unis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36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Equateur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37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Erythrée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38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Ethiopie  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39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Fidji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40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Gabon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41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Gambie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lastRenderedPageBreak/>
              <w:t>42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Ghana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43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Guinée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44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Guyana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45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Haïti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46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Honduras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47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Hongrie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48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Inde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49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Indonésie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50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Iran (République islamique d')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51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Irlande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52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Israël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53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Jamaïque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54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Jordanie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55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Kazakhstan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56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Kenya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57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Kirghizistan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58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Kiribati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59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Koweït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60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Lesotho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61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Lettonie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62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val="fr-CH"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L'ex-République yougoslave de Macédoine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63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Liban  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64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Macao (Chine)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65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Madagascar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66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Malaisie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67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Malawi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68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Mali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69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Maroc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70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Maurice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71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Mauritanie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72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Mexique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73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Moldova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74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Monaco 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75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Mozambique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76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Nicaragua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77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Niger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78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Nigéria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79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Nouvelle-Calédonie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80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Oman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81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Ouganda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82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Pakistan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lastRenderedPageBreak/>
              <w:t>83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Panama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84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Papouasie-Nouvelle-Guinée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85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Paraguay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86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Pérou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87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Philippines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88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Pologne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89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Qatar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90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Rép. dém. du Congo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91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République arabe syrienne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92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Roumanie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93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Saint-Marin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94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Samoa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95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Seychelles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96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val="fr-FR"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Sint Maarten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97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Slovaquie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98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Soudan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99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Sri Lanka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lastRenderedPageBreak/>
              <w:t>100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Sudafricaine (Rép.)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101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Suriname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102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Tanzanie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103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Tchad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104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Thaïlande 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105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Tonga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106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Trinidad-et-Tobago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107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Tunisie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108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Turquie 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109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Tuvalu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110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Ukraine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111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Venezuela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112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Viet Nam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113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Wallis</w:t>
            </w: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noBreakHyphen/>
              <w:t>et</w:t>
            </w: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noBreakHyphen/>
              <w:t>Futuna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114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Yémen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115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Zambie</w:t>
            </w:r>
          </w:p>
        </w:tc>
      </w:tr>
      <w:tr w:rsidR="00064FDB" w:rsidRPr="00064FDB" w:rsidTr="00C455A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eastAsia="zh-CN"/>
              </w:rPr>
              <w:t>116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FDB" w:rsidRPr="00064FDB" w:rsidRDefault="00064FDB" w:rsidP="00064FD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064FDB">
              <w:rPr>
                <w:rFonts w:ascii="Calibri" w:hAnsi="Calibri"/>
                <w:color w:val="000000"/>
                <w:sz w:val="20"/>
                <w:lang w:val="fr-FR" w:eastAsia="zh-CN"/>
              </w:rPr>
              <w:t>Zimbabwe</w:t>
            </w:r>
          </w:p>
        </w:tc>
      </w:tr>
    </w:tbl>
    <w:p w:rsidR="00C82A5F" w:rsidRDefault="00C82A5F" w:rsidP="00E25509">
      <w:pPr>
        <w:pStyle w:val="Tabletext"/>
        <w:tabs>
          <w:tab w:val="clear" w:pos="1276"/>
          <w:tab w:val="clear" w:pos="1843"/>
          <w:tab w:val="left" w:pos="567"/>
        </w:tabs>
        <w:spacing w:before="0" w:after="0"/>
        <w:rPr>
          <w:rFonts w:asciiTheme="minorHAnsi" w:hAnsiTheme="minorHAnsi" w:cstheme="minorHAnsi"/>
          <w:b w:val="0"/>
          <w:sz w:val="20"/>
          <w:szCs w:val="20"/>
        </w:rPr>
        <w:sectPr w:rsidR="00C82A5F" w:rsidSect="00514E9C">
          <w:type w:val="continuous"/>
          <w:pgSz w:w="11907" w:h="16840"/>
          <w:pgMar w:top="1134" w:right="1134" w:bottom="1134" w:left="1134" w:header="720" w:footer="720" w:gutter="0"/>
          <w:paperSrc w:first="3678" w:other="3678"/>
          <w:cols w:num="2" w:space="720"/>
          <w:titlePg/>
        </w:sectPr>
      </w:pPr>
    </w:p>
    <w:p w:rsidR="00E25509" w:rsidRPr="00A61319" w:rsidRDefault="00E25509" w:rsidP="00E25509">
      <w:pPr>
        <w:pStyle w:val="Tabletext"/>
        <w:tabs>
          <w:tab w:val="clear" w:pos="1276"/>
          <w:tab w:val="clear" w:pos="1843"/>
          <w:tab w:val="left" w:pos="567"/>
        </w:tabs>
        <w:spacing w:before="0" w:after="0"/>
        <w:rPr>
          <w:rFonts w:asciiTheme="minorHAnsi" w:hAnsiTheme="minorHAnsi" w:cstheme="minorHAnsi"/>
          <w:b w:val="0"/>
          <w:sz w:val="20"/>
          <w:szCs w:val="20"/>
        </w:rPr>
      </w:pPr>
    </w:p>
    <w:p w:rsidR="00343F0A" w:rsidRPr="0002644A" w:rsidRDefault="00D22B88" w:rsidP="0079327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before="120"/>
        <w:jc w:val="both"/>
        <w:rPr>
          <w:rFonts w:ascii="Calibri" w:hAnsi="Calibri"/>
          <w:sz w:val="20"/>
          <w:lang w:val="fr-CH"/>
        </w:rPr>
      </w:pPr>
      <w:r w:rsidRPr="00D22B88">
        <w:rPr>
          <w:rFonts w:ascii="Calibri" w:hAnsi="Calibri"/>
          <w:sz w:val="20"/>
          <w:lang w:val="fr-FR"/>
        </w:rPr>
        <w:t xml:space="preserve">Tous les pays/zones géographiques interdisant la pratique du système de rappel </w:t>
      </w:r>
      <w:r w:rsidR="00793270">
        <w:rPr>
          <w:rFonts w:ascii="Calibri" w:hAnsi="Calibri"/>
          <w:sz w:val="20"/>
          <w:lang w:val="fr-FR"/>
        </w:rPr>
        <w:t>devraient aviser dûment</w:t>
      </w:r>
      <w:r w:rsidRPr="00D22B88">
        <w:rPr>
          <w:rFonts w:ascii="Calibri" w:hAnsi="Calibri"/>
          <w:sz w:val="20"/>
          <w:lang w:val="fr-FR"/>
        </w:rPr>
        <w:t xml:space="preserve"> l’UIT </w:t>
      </w:r>
      <w:r w:rsidRPr="00D22B88">
        <w:rPr>
          <w:rFonts w:ascii="Calibri" w:hAnsi="Calibri"/>
          <w:sz w:val="20"/>
          <w:lang w:val="fr-CH"/>
        </w:rPr>
        <w:t xml:space="preserve">par </w:t>
      </w:r>
      <w:r w:rsidR="00793270">
        <w:rPr>
          <w:rFonts w:ascii="Calibri" w:hAnsi="Calibri"/>
          <w:sz w:val="20"/>
          <w:lang w:val="fr-CH"/>
        </w:rPr>
        <w:br/>
      </w:r>
      <w:r w:rsidRPr="00D22B88">
        <w:rPr>
          <w:rFonts w:ascii="Calibri" w:hAnsi="Calibri"/>
          <w:sz w:val="20"/>
          <w:lang w:val="fr-CH"/>
        </w:rPr>
        <w:t xml:space="preserve">e-mail à l'adresse suivante: </w:t>
      </w:r>
      <w:hyperlink r:id="rId10" w:history="1">
        <w:r w:rsidRPr="00410E32">
          <w:rPr>
            <w:rStyle w:val="Hyperlink"/>
            <w:rFonts w:ascii="Calibri" w:hAnsi="Calibri" w:cs="Calibri"/>
            <w:sz w:val="20"/>
          </w:rPr>
          <w:t>tsbtson@itu.int</w:t>
        </w:r>
      </w:hyperlink>
    </w:p>
    <w:p w:rsidR="0002644A" w:rsidRPr="00D22B88" w:rsidRDefault="0002644A" w:rsidP="0079327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before="120"/>
        <w:jc w:val="both"/>
        <w:rPr>
          <w:rFonts w:ascii="Calibri" w:hAnsi="Calibri"/>
          <w:sz w:val="20"/>
          <w:lang w:val="en-GB"/>
        </w:rPr>
      </w:pPr>
    </w:p>
    <w:p w:rsidR="00644B90" w:rsidRPr="00A61319" w:rsidRDefault="00644B90" w:rsidP="002D674C">
      <w:pPr>
        <w:pStyle w:val="Tabletext"/>
        <w:tabs>
          <w:tab w:val="clear" w:pos="1276"/>
          <w:tab w:val="clear" w:pos="1843"/>
          <w:tab w:val="left" w:pos="567"/>
        </w:tabs>
        <w:spacing w:before="0" w:after="0"/>
        <w:rPr>
          <w:rFonts w:asciiTheme="minorHAnsi" w:hAnsiTheme="minorHAnsi" w:cstheme="minorHAnsi"/>
          <w:sz w:val="20"/>
          <w:szCs w:val="20"/>
          <w:lang w:val="es-ES"/>
        </w:rPr>
      </w:pPr>
    </w:p>
    <w:p w:rsidR="00644B90" w:rsidRPr="00A61319" w:rsidRDefault="00644B90">
      <w:pPr>
        <w:rPr>
          <w:rFonts w:asciiTheme="minorHAnsi" w:hAnsiTheme="minorHAnsi" w:cstheme="minorHAnsi"/>
          <w:sz w:val="20"/>
          <w:lang w:val="es-ES"/>
        </w:rPr>
      </w:pPr>
    </w:p>
    <w:p w:rsidR="00D77BFA" w:rsidRPr="00A61319" w:rsidRDefault="00D77BFA">
      <w:pPr>
        <w:widowControl w:val="0"/>
        <w:tabs>
          <w:tab w:val="center" w:pos="849"/>
          <w:tab w:val="left" w:pos="1701"/>
          <w:tab w:val="left" w:pos="5955"/>
        </w:tabs>
        <w:rPr>
          <w:rFonts w:asciiTheme="minorHAnsi" w:hAnsiTheme="minorHAnsi" w:cstheme="minorHAnsi"/>
          <w:color w:val="000000"/>
          <w:sz w:val="20"/>
          <w:lang w:val="es-ES_tradnl"/>
        </w:rPr>
      </w:pPr>
    </w:p>
    <w:p w:rsidR="00D77BFA" w:rsidRPr="00A61319" w:rsidRDefault="00D77BFA" w:rsidP="008851DA">
      <w:pPr>
        <w:rPr>
          <w:rFonts w:asciiTheme="minorHAnsi" w:hAnsiTheme="minorHAnsi" w:cstheme="minorHAnsi"/>
          <w:sz w:val="20"/>
          <w:lang w:val="es-ES"/>
        </w:rPr>
      </w:pPr>
    </w:p>
    <w:sectPr w:rsidR="00D77BFA" w:rsidRPr="00A61319" w:rsidSect="00C82A5F">
      <w:type w:val="continuous"/>
      <w:pgSz w:w="11907" w:h="16840"/>
      <w:pgMar w:top="1134" w:right="1134" w:bottom="1134" w:left="1134" w:header="720" w:footer="720" w:gutter="0"/>
      <w:paperSrc w:first="3678" w:other="3678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FCA" w:rsidRDefault="00F82FCA">
      <w:r>
        <w:separator/>
      </w:r>
    </w:p>
  </w:endnote>
  <w:endnote w:type="continuationSeparator" w:id="0">
    <w:p w:rsidR="00F82FCA" w:rsidRDefault="00F82F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ugal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D5C" w:rsidRDefault="00A904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D4D5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4D5C">
      <w:rPr>
        <w:rStyle w:val="PageNumber"/>
        <w:noProof/>
      </w:rPr>
      <w:t>2</w:t>
    </w:r>
    <w:r>
      <w:rPr>
        <w:rStyle w:val="PageNumber"/>
      </w:rPr>
      <w:fldChar w:fldCharType="end"/>
    </w:r>
  </w:p>
  <w:p w:rsidR="007D4D5C" w:rsidRDefault="007D4D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D5C" w:rsidRDefault="00A904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D4D5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E32">
      <w:rPr>
        <w:rStyle w:val="PageNumber"/>
        <w:noProof/>
      </w:rPr>
      <w:t>4</w:t>
    </w:r>
    <w:r>
      <w:rPr>
        <w:rStyle w:val="PageNumber"/>
      </w:rPr>
      <w:fldChar w:fldCharType="end"/>
    </w:r>
  </w:p>
  <w:p w:rsidR="007D4D5C" w:rsidRDefault="006C4FDD">
    <w:pPr>
      <w:pStyle w:val="Footer"/>
      <w:rPr>
        <w:sz w:val="20"/>
        <w:lang w:val="fr-FR"/>
      </w:rPr>
    </w:pPr>
    <w:r>
      <w:rPr>
        <w:sz w:val="20"/>
        <w:lang w:val="fr-FR"/>
      </w:rPr>
      <w:t>Annexe au BE de l’UIT 9</w:t>
    </w:r>
    <w:r w:rsidR="00CD306B">
      <w:rPr>
        <w:sz w:val="20"/>
        <w:lang w:val="fr-FR"/>
      </w:rPr>
      <w:t>91</w:t>
    </w:r>
    <w:r w:rsidR="007D4D5C">
      <w:rPr>
        <w:sz w:val="20"/>
        <w:lang w:val="fr-FR"/>
      </w:rPr>
      <w:t xml:space="preserve">-F                                    </w:t>
    </w:r>
    <w:r w:rsidR="007D4D5C">
      <w:rPr>
        <w:rStyle w:val="PageNumber"/>
        <w:lang w:val="fr-FR"/>
      </w:rPr>
      <w:t>–</w:t>
    </w:r>
    <w:r w:rsidR="007D4D5C">
      <w:rPr>
        <w:sz w:val="20"/>
        <w:lang w:val="fr-FR"/>
      </w:rPr>
      <w:t xml:space="preserve">     </w:t>
    </w:r>
    <w:r w:rsidR="007D4D5C">
      <w:rPr>
        <w:rStyle w:val="PageNumber"/>
        <w:lang w:val="fr-FR"/>
      </w:rPr>
      <w:t>–</w:t>
    </w:r>
    <w:r w:rsidR="007D4D5C">
      <w:rPr>
        <w:sz w:val="20"/>
        <w:lang w:val="fr-FR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FCA" w:rsidRDefault="00F82FCA">
      <w:r>
        <w:separator/>
      </w:r>
    </w:p>
  </w:footnote>
  <w:footnote w:type="continuationSeparator" w:id="0">
    <w:p w:rsidR="00F82FCA" w:rsidRDefault="00F82F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stylePaneFormatFilter w:val="3F01"/>
  <w:defaultTabStop w:val="56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8A1039"/>
    <w:rsid w:val="00000D68"/>
    <w:rsid w:val="00005643"/>
    <w:rsid w:val="0002496B"/>
    <w:rsid w:val="0002644A"/>
    <w:rsid w:val="00032DED"/>
    <w:rsid w:val="00034F7F"/>
    <w:rsid w:val="00064FDB"/>
    <w:rsid w:val="00071E9D"/>
    <w:rsid w:val="000B1217"/>
    <w:rsid w:val="00107968"/>
    <w:rsid w:val="001613CB"/>
    <w:rsid w:val="00195DDB"/>
    <w:rsid w:val="001A68A4"/>
    <w:rsid w:val="001C1230"/>
    <w:rsid w:val="00252761"/>
    <w:rsid w:val="00263388"/>
    <w:rsid w:val="002D674C"/>
    <w:rsid w:val="002F51D8"/>
    <w:rsid w:val="00343F0A"/>
    <w:rsid w:val="003B3D6C"/>
    <w:rsid w:val="003C3083"/>
    <w:rsid w:val="003F2C2D"/>
    <w:rsid w:val="003F42E9"/>
    <w:rsid w:val="00410E32"/>
    <w:rsid w:val="00453E4A"/>
    <w:rsid w:val="004617C4"/>
    <w:rsid w:val="00487DC8"/>
    <w:rsid w:val="004B6BB7"/>
    <w:rsid w:val="004C3857"/>
    <w:rsid w:val="00514E9C"/>
    <w:rsid w:val="005B75B6"/>
    <w:rsid w:val="005C39CA"/>
    <w:rsid w:val="005F71DC"/>
    <w:rsid w:val="005F78CA"/>
    <w:rsid w:val="00611E1D"/>
    <w:rsid w:val="00620835"/>
    <w:rsid w:val="00644B90"/>
    <w:rsid w:val="006A37D9"/>
    <w:rsid w:val="006B6699"/>
    <w:rsid w:val="006C1B61"/>
    <w:rsid w:val="006C2A5C"/>
    <w:rsid w:val="006C4FDD"/>
    <w:rsid w:val="00726EF7"/>
    <w:rsid w:val="00740D52"/>
    <w:rsid w:val="00793270"/>
    <w:rsid w:val="00793ED1"/>
    <w:rsid w:val="00795587"/>
    <w:rsid w:val="007975BB"/>
    <w:rsid w:val="007B2FC9"/>
    <w:rsid w:val="007C07E3"/>
    <w:rsid w:val="007D4D5C"/>
    <w:rsid w:val="007E2D55"/>
    <w:rsid w:val="0080634C"/>
    <w:rsid w:val="008543C9"/>
    <w:rsid w:val="008612BE"/>
    <w:rsid w:val="008652F4"/>
    <w:rsid w:val="00871AC0"/>
    <w:rsid w:val="008851DA"/>
    <w:rsid w:val="008A1039"/>
    <w:rsid w:val="008A1DFF"/>
    <w:rsid w:val="008E6DFF"/>
    <w:rsid w:val="008F227F"/>
    <w:rsid w:val="009509B8"/>
    <w:rsid w:val="009576B0"/>
    <w:rsid w:val="009752B7"/>
    <w:rsid w:val="009E57B3"/>
    <w:rsid w:val="00A23A70"/>
    <w:rsid w:val="00A4064A"/>
    <w:rsid w:val="00A61319"/>
    <w:rsid w:val="00A82497"/>
    <w:rsid w:val="00A86BF6"/>
    <w:rsid w:val="00A904FB"/>
    <w:rsid w:val="00A919F4"/>
    <w:rsid w:val="00B52BEA"/>
    <w:rsid w:val="00B62E43"/>
    <w:rsid w:val="00B81ABD"/>
    <w:rsid w:val="00BA369A"/>
    <w:rsid w:val="00BF2319"/>
    <w:rsid w:val="00C05CCF"/>
    <w:rsid w:val="00C82A5F"/>
    <w:rsid w:val="00CD306B"/>
    <w:rsid w:val="00CD796D"/>
    <w:rsid w:val="00D22B88"/>
    <w:rsid w:val="00D3009F"/>
    <w:rsid w:val="00D77BFA"/>
    <w:rsid w:val="00DB538A"/>
    <w:rsid w:val="00E25509"/>
    <w:rsid w:val="00E651C8"/>
    <w:rsid w:val="00E90BBF"/>
    <w:rsid w:val="00EB4AA0"/>
    <w:rsid w:val="00F07777"/>
    <w:rsid w:val="00F15433"/>
    <w:rsid w:val="00F34BE2"/>
    <w:rsid w:val="00F405F3"/>
    <w:rsid w:val="00F66743"/>
    <w:rsid w:val="00F770BD"/>
    <w:rsid w:val="00F82FCA"/>
    <w:rsid w:val="00FA35EE"/>
    <w:rsid w:val="00FF6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ms Rmn" w:eastAsia="Times New Roman" w:hAnsi="Tms Rm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538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DB538A"/>
    <w:pPr>
      <w:spacing w:before="240"/>
      <w:outlineLvl w:val="0"/>
    </w:pPr>
    <w:rPr>
      <w:rFonts w:ascii="Times New Roman" w:hAnsi="Times New Roman"/>
      <w:b/>
      <w:sz w:val="28"/>
      <w:u w:val="single"/>
    </w:rPr>
  </w:style>
  <w:style w:type="paragraph" w:styleId="Heading2">
    <w:name w:val="heading 2"/>
    <w:basedOn w:val="Normal"/>
    <w:next w:val="Normal"/>
    <w:qFormat/>
    <w:rsid w:val="00DB538A"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qFormat/>
    <w:rsid w:val="00DB538A"/>
    <w:pPr>
      <w:ind w:left="283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DB538A"/>
    <w:pPr>
      <w:ind w:left="283"/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Indent"/>
    <w:qFormat/>
    <w:rsid w:val="00DB538A"/>
    <w:pPr>
      <w:ind w:left="567"/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Indent"/>
    <w:qFormat/>
    <w:rsid w:val="00DB538A"/>
    <w:pPr>
      <w:ind w:left="567"/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Indent"/>
    <w:qFormat/>
    <w:rsid w:val="00DB538A"/>
    <w:pPr>
      <w:ind w:left="567"/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Indent"/>
    <w:qFormat/>
    <w:rsid w:val="00DB538A"/>
    <w:pPr>
      <w:ind w:left="567"/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Indent"/>
    <w:qFormat/>
    <w:rsid w:val="00DB538A"/>
    <w:pPr>
      <w:ind w:left="567"/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DB538A"/>
    <w:pPr>
      <w:ind w:left="567"/>
    </w:pPr>
  </w:style>
  <w:style w:type="paragraph" w:styleId="Footer">
    <w:name w:val="footer"/>
    <w:basedOn w:val="Normal"/>
    <w:rsid w:val="00DB538A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DB538A"/>
    <w:pPr>
      <w:tabs>
        <w:tab w:val="center" w:pos="4819"/>
        <w:tab w:val="right" w:pos="9071"/>
      </w:tabs>
    </w:pPr>
  </w:style>
  <w:style w:type="character" w:styleId="FootnoteReference">
    <w:name w:val="footnote reference"/>
    <w:basedOn w:val="DefaultParagraphFont"/>
    <w:semiHidden/>
    <w:rsid w:val="00DB538A"/>
    <w:rPr>
      <w:position w:val="6"/>
      <w:sz w:val="16"/>
    </w:rPr>
  </w:style>
  <w:style w:type="paragraph" w:styleId="FootnoteText">
    <w:name w:val="footnote text"/>
    <w:basedOn w:val="Normal"/>
    <w:semiHidden/>
    <w:rsid w:val="00DB538A"/>
    <w:rPr>
      <w:sz w:val="20"/>
    </w:rPr>
  </w:style>
  <w:style w:type="paragraph" w:customStyle="1" w:styleId="ITUheader">
    <w:name w:val="ITU_header"/>
    <w:basedOn w:val="Normal"/>
    <w:rsid w:val="00DB538A"/>
    <w:pPr>
      <w:tabs>
        <w:tab w:val="left" w:pos="737"/>
        <w:tab w:val="left" w:pos="1134"/>
      </w:tabs>
      <w:spacing w:before="397"/>
    </w:pPr>
    <w:rPr>
      <w:b/>
      <w:sz w:val="28"/>
    </w:rPr>
  </w:style>
  <w:style w:type="character" w:styleId="PageNumber">
    <w:name w:val="page number"/>
    <w:basedOn w:val="DefaultParagraphFont"/>
    <w:rsid w:val="00DB538A"/>
  </w:style>
  <w:style w:type="character" w:styleId="Hyperlink">
    <w:name w:val="Hyperlink"/>
    <w:basedOn w:val="DefaultParagraphFont"/>
    <w:rsid w:val="00DB538A"/>
    <w:rPr>
      <w:color w:val="0000FF"/>
      <w:u w:val="single"/>
    </w:rPr>
  </w:style>
  <w:style w:type="character" w:styleId="FollowedHyperlink">
    <w:name w:val="FollowedHyperlink"/>
    <w:basedOn w:val="DefaultParagraphFont"/>
    <w:rsid w:val="00DB538A"/>
    <w:rPr>
      <w:color w:val="800080"/>
      <w:u w:val="single"/>
    </w:rPr>
  </w:style>
  <w:style w:type="paragraph" w:styleId="BodyText">
    <w:name w:val="Body Text"/>
    <w:basedOn w:val="Normal"/>
    <w:rsid w:val="00DB538A"/>
    <w:pPr>
      <w:jc w:val="both"/>
    </w:pPr>
    <w:rPr>
      <w:lang w:val="fr-FR"/>
    </w:rPr>
  </w:style>
  <w:style w:type="paragraph" w:styleId="Title">
    <w:name w:val="Title"/>
    <w:basedOn w:val="Normal"/>
    <w:qFormat/>
    <w:rsid w:val="00DB538A"/>
    <w:pPr>
      <w:overflowPunct/>
      <w:autoSpaceDE/>
      <w:autoSpaceDN/>
      <w:adjustRightInd/>
      <w:jc w:val="center"/>
      <w:textAlignment w:val="auto"/>
    </w:pPr>
    <w:rPr>
      <w:rFonts w:cs="Arial"/>
      <w:b/>
      <w:bCs/>
      <w:color w:val="000000"/>
      <w:sz w:val="24"/>
      <w:szCs w:val="24"/>
      <w:lang w:val="fr-FR"/>
    </w:rPr>
  </w:style>
  <w:style w:type="table" w:styleId="TableGrid">
    <w:name w:val="Table Grid"/>
    <w:basedOn w:val="TableNormal"/>
    <w:rsid w:val="007E2D55"/>
    <w:rPr>
      <w:rFonts w:ascii="Times New Roman" w:eastAsia="SimSu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notesepar">
    <w:name w:val="Footnote separ"/>
    <w:basedOn w:val="FootnoteText"/>
    <w:link w:val="FootnoteseparChar"/>
    <w:rsid w:val="007E2D55"/>
    <w:pPr>
      <w:tabs>
        <w:tab w:val="left" w:pos="284"/>
        <w:tab w:val="left" w:pos="1276"/>
        <w:tab w:val="left" w:pos="1843"/>
      </w:tabs>
      <w:spacing w:before="136"/>
      <w:jc w:val="both"/>
    </w:pPr>
    <w:rPr>
      <w:rFonts w:ascii="Calibri" w:hAnsi="Calibri"/>
      <w:position w:val="6"/>
      <w:sz w:val="16"/>
      <w:szCs w:val="16"/>
      <w:lang w:val="en-GB"/>
    </w:rPr>
  </w:style>
  <w:style w:type="character" w:customStyle="1" w:styleId="FootnoteseparChar">
    <w:name w:val="Footnote separ Char"/>
    <w:basedOn w:val="DefaultParagraphFont"/>
    <w:link w:val="Footnotesepar"/>
    <w:rsid w:val="007E2D55"/>
    <w:rPr>
      <w:rFonts w:ascii="Calibri" w:hAnsi="Calibri"/>
      <w:position w:val="6"/>
      <w:sz w:val="16"/>
      <w:szCs w:val="16"/>
      <w:lang w:val="en-GB" w:eastAsia="en-US"/>
    </w:rPr>
  </w:style>
  <w:style w:type="paragraph" w:customStyle="1" w:styleId="Tabletext">
    <w:name w:val="Table_text"/>
    <w:basedOn w:val="Normal"/>
    <w:link w:val="TabletextChar"/>
    <w:rsid w:val="007E2D55"/>
    <w:pPr>
      <w:tabs>
        <w:tab w:val="left" w:pos="1276"/>
        <w:tab w:val="left" w:pos="1843"/>
      </w:tabs>
      <w:spacing w:before="40" w:after="40"/>
    </w:pPr>
    <w:rPr>
      <w:rFonts w:ascii="Calibri" w:hAnsi="Calibri"/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7E2D55"/>
    <w:rPr>
      <w:rFonts w:ascii="Calibri" w:hAnsi="Calibri"/>
      <w:b/>
      <w:sz w:val="18"/>
      <w:szCs w:val="22"/>
      <w:lang w:val="fr-FR" w:eastAsia="en-US"/>
    </w:rPr>
  </w:style>
  <w:style w:type="paragraph" w:customStyle="1" w:styleId="Tablehead">
    <w:name w:val="Table_head"/>
    <w:basedOn w:val="Normal"/>
    <w:next w:val="Normal"/>
    <w:rsid w:val="007E2D55"/>
    <w:pPr>
      <w:keepNext/>
      <w:tabs>
        <w:tab w:val="left" w:pos="1276"/>
        <w:tab w:val="left" w:pos="1843"/>
      </w:tabs>
      <w:spacing w:before="80" w:after="80"/>
      <w:jc w:val="center"/>
    </w:pPr>
    <w:rPr>
      <w:rFonts w:ascii="Calibri" w:hAnsi="Calibri"/>
      <w:b/>
      <w:bCs/>
      <w:i/>
      <w:sz w:val="18"/>
      <w:szCs w:val="22"/>
      <w:lang w:val="fr-FR"/>
    </w:rPr>
  </w:style>
  <w:style w:type="paragraph" w:customStyle="1" w:styleId="Normalaftertitle">
    <w:name w:val="Normal_after_title"/>
    <w:link w:val="NormalaftertitleChar"/>
    <w:rsid w:val="007E2D55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hAnsi="Calibri"/>
      <w:b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7E2D55"/>
    <w:rPr>
      <w:rFonts w:ascii="Calibri" w:hAnsi="Calibri"/>
      <w:b/>
      <w:lang w:val="en-GB" w:eastAsia="en-US" w:bidi="ar-SA"/>
    </w:rPr>
  </w:style>
  <w:style w:type="paragraph" w:customStyle="1" w:styleId="Tablehead0">
    <w:name w:val="Table head"/>
    <w:basedOn w:val="Tablehead"/>
    <w:rsid w:val="007E2D55"/>
    <w:pPr>
      <w:spacing w:before="60" w:after="60"/>
    </w:pPr>
    <w:rPr>
      <w:b w:val="0"/>
      <w:bCs w:val="0"/>
      <w:szCs w:val="20"/>
    </w:rPr>
  </w:style>
  <w:style w:type="paragraph" w:customStyle="1" w:styleId="StyleTabletextLeft">
    <w:name w:val="Style Table text + Left"/>
    <w:basedOn w:val="Normal"/>
    <w:rsid w:val="007E2D55"/>
    <w:pPr>
      <w:tabs>
        <w:tab w:val="right" w:pos="454"/>
      </w:tabs>
      <w:spacing w:before="40" w:after="40"/>
    </w:pPr>
    <w:rPr>
      <w:rFonts w:ascii="Calibri" w:hAnsi="Calibri"/>
      <w:bCs/>
      <w:sz w:val="18"/>
      <w:szCs w:val="22"/>
      <w:lang w:val="fr-FR"/>
    </w:rPr>
  </w:style>
  <w:style w:type="paragraph" w:customStyle="1" w:styleId="Heading70">
    <w:name w:val="Heading_7"/>
    <w:basedOn w:val="Normalaftertitle"/>
    <w:rsid w:val="007E2D55"/>
    <w:pPr>
      <w:jc w:val="center"/>
    </w:pPr>
  </w:style>
  <w:style w:type="paragraph" w:customStyle="1" w:styleId="Heading20">
    <w:name w:val="Heading_2"/>
    <w:basedOn w:val="Normal"/>
    <w:rsid w:val="001613CB"/>
    <w:pPr>
      <w:keepNext/>
      <w:shd w:val="clear" w:color="auto" w:fill="D9D9D9"/>
      <w:tabs>
        <w:tab w:val="left" w:pos="567"/>
        <w:tab w:val="left" w:pos="1276"/>
        <w:tab w:val="left" w:pos="1843"/>
        <w:tab w:val="left" w:pos="5387"/>
        <w:tab w:val="left" w:pos="5954"/>
      </w:tabs>
      <w:spacing w:before="360" w:after="60"/>
      <w:jc w:val="center"/>
      <w:outlineLvl w:val="1"/>
    </w:pPr>
    <w:rPr>
      <w:rFonts w:cs="Arial"/>
      <w:b/>
      <w:bCs/>
      <w:sz w:val="26"/>
      <w:szCs w:val="28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tsbtson@itu.in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ECD3D-5B11-4CF3-9CDE-29BD687B4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493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3507</CharactersWithSpaces>
  <SharedDoc>false</SharedDoc>
  <HLinks>
    <vt:vector size="12" baseType="variant">
      <vt:variant>
        <vt:i4>5374028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  <vt:variant>
        <vt:i4>1114180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http://www.itu.int/itu-t/inr/forms/ispc.html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ITU-T</dc:creator>
  <cp:keywords/>
  <dc:description/>
  <cp:lastModifiedBy>ITU-T</cp:lastModifiedBy>
  <cp:revision>47</cp:revision>
  <cp:lastPrinted>2005-09-23T12:29:00Z</cp:lastPrinted>
  <dcterms:created xsi:type="dcterms:W3CDTF">2011-10-13T14:47:00Z</dcterms:created>
  <dcterms:modified xsi:type="dcterms:W3CDTF">2011-10-14T14:12:00Z</dcterms:modified>
</cp:coreProperties>
</file>