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v3 (22 Oct 2026, D-130: Salvage Managers is the one CoCo TradeSphereX and is not on the subscription ladder — BR-12, BR-31 to BR-33, BR-66, Sections 6.2, 6.5 and 6.10 and the glossary updated; the General Marketplace is the combined view of all TSXs, not a Tenant).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pPr>
        <w:spacing w:after="0"/>
      </w:pPr>
      <w:r>
        <w:t xml:space="preserve">SECTION 7 — AX KNOWLEDGE &amp; CHRONICLE FRAMEWORK</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TSX Launch, TSX Growth or TSX Enterprise — which determines things like API access and whether Seller-Pays is available. The platform's own Salvage Managers TSX sits outside this ladder on the CoCo plan.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AdwitiX under its own branding — could be a bank, an institution, a company, or the platform's own Salvage Managers. The General Marketplace is not a Tenant: it is the combined view of the Lots of every TSX; choosing a TSX from its dropdown opens that TSX's own whitelisted page.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AdwitiX's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 There is exactly one Salvage Managers TSX. It alone holds the CoCo plan and the Company Shop class, and the two always go together: the Custodian cannot whitelist a second CoCo or Company Shop TSX, move another TSX onto CoCo, or give the Company Shop class to any other TSX. Salvage Managers is listed first wherever TradeSphereX are listed.</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The Salvage Managers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the Salvage Managers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exposed to Tenants with a visible version number in the URL path (e.g. /api/v1/...). Additive changes (new optional fields, new endpoints, new webhook types) ship within the current version without prior notice. Breaking changes (field removal, field rename, a change in the meaning of an existing field or status value) are never shipped as a mutation of an existing version: a new version segment (e.g. /api/v2/) is introduced, the prior version continues serving unchanged for a defined notice period, with the Tenant notified once via account notice, before the old version is retired.</w:t>
      </w:r>
    </w:p>
    <w:p>
      <w:pPr>
        <w:spacing w:after="160"/>
      </w:pPr>
      <w:r>
        <w:rPr>
          <w:b/>
          <w:i/>
        </w:rPr>
        <w:t xml:space="preserve">Logic / Rationale: </w:t>
      </w:r>
      <w:r>
        <w:t>Reversed from the platform’s original unversioned design: the Super Admin confirmed explicit URL versioning is required so Tenants get a durable, predictable integration contract and the platform can run multiple API generations in parallel during a breaking change, rather than relying on Tenants correctly interpreting an undocumented shape change. Still protects Tenants from unannounced breakage on live financial workflow (listings, Sale Events) where BR-13’s governance already treats these objects as consequential, not cosmetic — now via version isolation instead of shape parallelism.</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Salvage Managers has no API access (it is run directly through the Custodian Console);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Salvage Managers (CoCo): </w:t>
      </w:r>
      <w:r>
        <w:t xml:space="preserve">The platform's own TradeSphereX — not a plan any other Tenant can buy. Individual and one-time Market Makers sell here free of any subscription: unlimited Lots, Trading Sessions, Market Makers and Traders; all three automated Sale Systems (Buy-Now, Express, Easy Auction); and Tender Auctions through CoCo Concierge (below). The Success Fee (6.4)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the Salvage Managers TSX does not have. Seller-Pays is therefore available on every paid tier (TSX Launch, TSX Growth, TSX Enterprise); the Salvage Managers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Salvage Managers</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1 TB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500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10 Years</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Custodian-defined</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Unlimited</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Salvage Managers</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Salvage Managers — individual sellers join free; the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p>
      <w:r>
        <w:br w:type="page"/>
      </w:r>
    </w:p>
    <w:p>
      <w:pPr>
        <w:pStyle w:val="Heading1"/>
        <w:spacing w:after="200" w:before="400"/>
      </w:pPr>
      <w:r>
        <w:t xml:space="preserve">SECTION 7: AX KNOWLEDGE &amp; CHRONICLE FRAMEWORK</w:t>
      </w:r>
    </w:p>
    <w:p>
      <w:pPr>
        <w:spacing w:after="120"/>
      </w:pPr>
      <w:r>
        <w:rPr>
          <w:i/>
        </w:rPr>
        <w:t xml:space="preserve">Status: Phase 1 — AX Chronicle ("Capture. Certify. Preserve.") — is the Trading Session Chronicle (7.10), active and built into this release. Phase 2 — AX Intelligence ("Understand. Learn. Recommend.") — covers everything else in this section as design reference (7.11), the same way Section 5 defers Procurement and Market Intelligence. Adapted from the AX Knowledge &amp; Chronicle Framework concept paper (v1.0).</w:t>
      </w:r>
    </w:p>
    <w:p>
      <w:pPr>
        <w:spacing w:before="240" w:after="80"/>
      </w:pPr>
      <w:r>
        <w:rPr>
          <w:b/>
          <w:color w:val="B5651D"/>
          <w:sz w:val="23"/>
        </w:rPr>
        <w:t xml:space="preserve">7.1 Vision</w:t>
      </w:r>
    </w:p>
    <w:p>
      <w:pPr>
        <w:spacing w:after="120"/>
      </w:pPr>
      <w:r>
        <w:rPr/>
        <w:t xml:space="preserve">Every transaction creates information; every decision creates knowledge. Most organisations preserve the transaction and lose the reasoning behind it — inspection reports in one folder, approvals in emails, photographs on mobile phones, audit observations in separate files. The AX Knowledge &amp; Chronicle Framework turns operational information into a permanent, searchable, trustworthy record that supports management, auditors, regulators, and future decision-makers — not just recording that an event happened, but preserving the complete lifecycle of the decisions behind it.</w:t>
      </w:r>
    </w:p>
    <w:p>
      <w:pPr>
        <w:spacing w:before="240" w:after="80"/>
      </w:pPr>
      <w:r>
        <w:rPr>
          <w:b/>
          <w:color w:val="B5651D"/>
          <w:sz w:val="23"/>
        </w:rPr>
        <w:t xml:space="preserve">7.2 Guiding Principles</w:t>
      </w:r>
    </w:p>
    <w:p>
      <w:pPr>
        <w:pStyle w:val="ListParagraph"/>
        <w:numPr>
          <w:ilvl w:val="0"/>
          <w:numId w:val="3"/>
        </w:numPr>
        <w:spacing w:after="60"/>
      </w:pPr>
      <w:r>
        <w:rPr>
          <w:b/>
        </w:rPr>
        <w:t xml:space="preserve">Facts before Opinions — </w:t>
      </w:r>
      <w:r>
        <w:t xml:space="preserve">facts are recorded first, interpretation comes later; AI may assist interpretation but never creates facts.</w:t>
      </w:r>
    </w:p>
    <w:p>
      <w:pPr>
        <w:pStyle w:val="ListParagraph"/>
        <w:numPr>
          <w:ilvl w:val="0"/>
          <w:numId w:val="3"/>
        </w:numPr>
        <w:spacing w:after="60"/>
      </w:pPr>
      <w:r>
        <w:rPr>
          <w:b/>
        </w:rPr>
        <w:t xml:space="preserve">Human Accountability — </w:t>
      </w:r>
      <w:r>
        <w:t xml:space="preserve">technology assists, people remain accountable; only authorised Contributors certify information.</w:t>
      </w:r>
    </w:p>
    <w:p>
      <w:pPr>
        <w:pStyle w:val="ListParagraph"/>
        <w:numPr>
          <w:ilvl w:val="0"/>
          <w:numId w:val="3"/>
        </w:numPr>
        <w:spacing w:after="60"/>
      </w:pPr>
      <w:r>
        <w:rPr>
          <w:b/>
        </w:rPr>
        <w:t xml:space="preserve">Single Source of Truth — </w:t>
      </w:r>
      <w:r>
        <w:t xml:space="preserve">information exists once; every report, dashboard, audit, and certificate references the same underlying data.</w:t>
      </w:r>
    </w:p>
    <w:p>
      <w:pPr>
        <w:pStyle w:val="ListParagraph"/>
        <w:numPr>
          <w:ilvl w:val="0"/>
          <w:numId w:val="3"/>
        </w:numPr>
        <w:spacing w:after="60"/>
      </w:pPr>
      <w:r>
        <w:rPr>
          <w:b/>
        </w:rPr>
        <w:t xml:space="preserve">Preserve Everything — </w:t>
      </w:r>
      <w:r>
        <w:t xml:space="preserve">no information is discarded for not appearing in the final report; working information stays archived, certified information stays visible.</w:t>
      </w:r>
    </w:p>
    <w:p>
      <w:pPr>
        <w:pStyle w:val="ListParagraph"/>
        <w:numPr>
          <w:ilvl w:val="0"/>
          <w:numId w:val="3"/>
        </w:numPr>
        <w:spacing w:after="60"/>
      </w:pPr>
      <w:r>
        <w:rPr>
          <w:b/>
        </w:rPr>
        <w:t xml:space="preserve">Knowledge over Documents — </w:t>
      </w:r>
      <w:r>
        <w:t xml:space="preserve">reports are outputs; the knowledge behind them is the asset.</w:t>
      </w:r>
    </w:p>
    <w:p>
      <w:pPr>
        <w:pStyle w:val="ListParagraph"/>
        <w:numPr>
          <w:ilvl w:val="0"/>
          <w:numId w:val="3"/>
        </w:numPr>
        <w:spacing w:after="60"/>
      </w:pPr>
      <w:r>
        <w:rPr>
          <w:b/>
        </w:rPr>
        <w:t xml:space="preserve">Governance by Design — </w:t>
      </w:r>
      <w:r>
        <w:t xml:space="preserve">transparency is embedded into workflows, not dependent on individual behaviour.</w:t>
      </w:r>
    </w:p>
    <w:p>
      <w:pPr>
        <w:pStyle w:val="ListParagraph"/>
        <w:numPr>
          <w:ilvl w:val="0"/>
          <w:numId w:val="3"/>
        </w:numPr>
        <w:spacing w:after="120"/>
      </w:pPr>
      <w:r>
        <w:rPr>
          <w:b/>
        </w:rPr>
        <w:t xml:space="preserve">Information Creates Value — </w:t>
      </w:r>
      <w:r>
        <w:t xml:space="preserve">every transaction should increase the organisation's knowledge.</w:t>
      </w:r>
    </w:p>
    <w:p>
      <w:pPr>
        <w:spacing w:before="240" w:after="80"/>
      </w:pPr>
      <w:r>
        <w:rPr>
          <w:b/>
          <w:color w:val="B5651D"/>
          <w:sz w:val="23"/>
        </w:rPr>
        <w:t xml:space="preserve">7.3 Information Hierarchy</w:t>
      </w:r>
    </w:p>
    <w:p>
      <w:pPr>
        <w:spacing w:after="120"/>
      </w:pPr>
      <w:r>
        <w:rPr/>
        <w:t xml:space="preserve">Information is organised into progressively richer business objects: Case → Asset → Lot → Event → Transaction → Evidence → Observation → Finding → Decision → Chronicle → Dossier → Knowledge Vault. Three of these already exist under different names: Lot is this document's existing Listing (Section 1); Event is this document's existing Sale Event / Trading Session; Transaction is this document's existing Settlement. Evidence already exists as the media captured by PR-09's upload pipeline, not yet formally classified as such. Case, Asset (as a lifecycle entity spanning multiple Lots — distinct from BR-47's lighter Related Auctions grouping), Observation, Finding, Decision, Chronicle, Dossier, and Knowledge Vault are new concepts introduced by this framework; only the Chronicle level is in Phase 1 (AX Chronicle) scope (7.10).</w:t>
      </w:r>
    </w:p>
    <w:p>
      <w:pPr>
        <w:spacing w:before="240" w:after="80"/>
      </w:pPr>
      <w:r>
        <w:rPr>
          <w:b/>
          <w:color w:val="B5651D"/>
          <w:sz w:val="23"/>
        </w:rPr>
        <w:t xml:space="preserve">7.4 Chronicle Hierarchy</w:t>
      </w:r>
    </w:p>
    <w:p>
      <w:pPr>
        <w:spacing w:after="120"/>
      </w:pPr>
      <w:r>
        <w:rPr/>
        <w:t xml:space="preserve">Different stakeholders need different levels of reporting, so the framework supports multiple Chronicle types, each building on the last:</w:t>
      </w:r>
    </w:p>
    <w:p>
      <w:pPr>
        <w:pStyle w:val="ListParagraph"/>
        <w:numPr>
          <w:ilvl w:val="0"/>
          <w:numId w:val="3"/>
        </w:numPr>
        <w:spacing w:after="60"/>
      </w:pPr>
      <w:r>
        <w:rPr>
          <w:b/>
        </w:rPr>
        <w:t xml:space="preserve">Event Chronicle (Trading Session Chronicle) — </w:t>
      </w:r>
      <w:r>
        <w:t xml:space="preserve">the history of one Auction, Tender, Buy Now, or Negotiation. This is Phase 1 — AX Chronicle (7.10).</w:t>
      </w:r>
    </w:p>
    <w:p>
      <w:pPr>
        <w:pStyle w:val="ListParagraph"/>
        <w:numPr>
          <w:ilvl w:val="0"/>
          <w:numId w:val="3"/>
        </w:numPr>
        <w:spacing w:after="60"/>
      </w:pPr>
      <w:r>
        <w:rPr>
          <w:b/>
        </w:rPr>
        <w:t xml:space="preserve">Lot Chronicle — </w:t>
      </w:r>
      <w:r>
        <w:t xml:space="preserve">the complete lifecycle of a Lot across multiple Events. Phase 2 — AX Intelligence.</w:t>
      </w:r>
    </w:p>
    <w:p>
      <w:pPr>
        <w:pStyle w:val="ListParagraph"/>
        <w:numPr>
          <w:ilvl w:val="0"/>
          <w:numId w:val="3"/>
        </w:numPr>
        <w:spacing w:after="60"/>
      </w:pPr>
      <w:r>
        <w:rPr>
          <w:b/>
        </w:rPr>
        <w:t xml:space="preserve">Asset Chronicle — </w:t>
      </w:r>
      <w:r>
        <w:t xml:space="preserve">the history of all Lots belonging to an Asset. Phase 2 — AX Intelligence.</w:t>
      </w:r>
    </w:p>
    <w:p>
      <w:pPr>
        <w:pStyle w:val="ListParagraph"/>
        <w:numPr>
          <w:ilvl w:val="0"/>
          <w:numId w:val="3"/>
        </w:numPr>
        <w:spacing w:after="60"/>
      </w:pPr>
      <w:r>
        <w:rPr>
          <w:b/>
        </w:rPr>
        <w:t xml:space="preserve">Case Chronicle — </w:t>
      </w:r>
      <w:r>
        <w:t xml:space="preserve">the complete history of one insurance claim, insolvency matter, recovery case, or disposal project. Phase 2 — AX Intelligence.</w:t>
      </w:r>
    </w:p>
    <w:p>
      <w:pPr>
        <w:pStyle w:val="ListParagraph"/>
        <w:numPr>
          <w:ilvl w:val="0"/>
          <w:numId w:val="3"/>
        </w:numPr>
        <w:spacing w:after="120"/>
      </w:pPr>
      <w:r>
        <w:rPr>
          <w:b/>
        </w:rPr>
        <w:t xml:space="preserve">Enterprise Chronicle — </w:t>
      </w:r>
      <w:r>
        <w:t xml:space="preserve">portfolio-level reporting for management. Phase 2 — AX Intelligence.</w:t>
      </w:r>
    </w:p>
    <w:p>
      <w:pPr>
        <w:spacing w:before="240" w:after="80"/>
      </w:pPr>
      <w:r>
        <w:rPr>
          <w:b/>
          <w:color w:val="B5651D"/>
          <w:sz w:val="23"/>
        </w:rPr>
        <w:t xml:space="preserve">7.5 Contributors</w:t>
      </w:r>
    </w:p>
    <w:p>
      <w:pPr>
        <w:spacing w:after="120"/>
      </w:pPr>
      <w:r>
        <w:rPr/>
        <w:t xml:space="preserve">Rather than departments, the framework organises certification authority around Contributors — Asset Owner, Surveyor, Valuer, Technical Expert, Event Manager, Finance, Compliance, Logistics — each certifying only the information they own; AI compiles, humans certify. This overlaps with, but is not identical to, BR-21's existing bound asset-level roles (Surveyor, Yard Inspector, Physical Custodian). Whether Contributors extends BR-21's role system or is built as a separate certification layer is explicitly undecided and needs its own dedicated design discussion before any Contributor-related capability is scoped into a build — not part of Phase 1.</w:t>
      </w:r>
    </w:p>
    <w:p>
      <w:pPr>
        <w:spacing w:before="240" w:after="80"/>
      </w:pPr>
      <w:r>
        <w:rPr>
          <w:b/>
          <w:color w:val="B5651D"/>
          <w:sz w:val="23"/>
        </w:rPr>
        <w:t xml:space="preserve">7.6 Information Classification</w:t>
      </w:r>
    </w:p>
    <w:p>
      <w:pPr>
        <w:spacing w:after="120"/>
      </w:pPr>
      <w:r>
        <w:rPr/>
        <w:t xml:space="preserve">Every record is classified as one of: Fact, Observation, Decision, Action, Recommendation, Exception, Evidence, Approval, Conclusion, or AI Insight. This classification is what makes a Chronicle more than a document dump — it is what lets a Dossier (7.7) filter the same underlying knowledge differently for different audiences. Full adoption of this taxonomy across every existing decision point (dispute rulings, Standing Review outcomes, KYC review decisions, rating events) is Phase 2 (AX Intelligence); the Phase 1 (AX Chronicle) Trading Session Chronicle (7.10) draws directly from existing tables and the audit trail rather than requiring this taxonomy to exist first.</w:t>
      </w:r>
    </w:p>
    <w:p>
      <w:pPr>
        <w:spacing w:before="240" w:after="80"/>
      </w:pPr>
      <w:r>
        <w:rPr>
          <w:b/>
          <w:color w:val="B5651D"/>
          <w:sz w:val="23"/>
        </w:rPr>
        <w:t xml:space="preserve">7.7 Dossiers</w:t>
      </w:r>
    </w:p>
    <w:p>
      <w:pPr>
        <w:spacing w:after="120"/>
      </w:pPr>
      <w:r>
        <w:rPr/>
        <w:t xml:space="preserve">A Dossier is a purpose-built information package presenting only what's relevant to its intended audience, while every Dossier still draws from the same single source of truth. Named Dossier types: Audit Dossier, Legal Dossier, Claim Dossier, Management Dossier, Buyer Dossier, and Compliance Dossier — this last one is this document's existing KYC verification packet (BR-17/18's dossier review, already built), reclassified as one instance of this general Dossier concept rather than a separate, unrelated thing. Building the other Dossier types is Phase 2; they depend on Chronicles existing first.</w:t>
      </w:r>
    </w:p>
    <w:p>
      <w:pPr>
        <w:spacing w:before="240" w:after="80"/>
      </w:pPr>
      <w:r>
        <w:rPr>
          <w:b/>
          <w:color w:val="B5651D"/>
          <w:sz w:val="23"/>
        </w:rPr>
        <w:t xml:space="preserve">7.8 Access &amp; Visibility</w:t>
      </w:r>
    </w:p>
    <w:p>
      <w:pPr>
        <w:spacing w:after="120"/>
      </w:pPr>
      <w:r>
        <w:rPr/>
        <w:t xml:space="preserve">Information is protected along three dimensions — Role (who is accessing), Scope (which organisation, case, or marketplace), and Permission (what level of access) — plus a classification tier: Public, Internal, Confidential, Privileged, Regulatory, or Court Access. Different users see different views of the same underlying record without the record being duplicated. Phase 1's (AX Chronicle) Trading Session Chronicle uses the existing role-based access already governing its source data (the Seller and Tenant Admin who can already see the Sale Event) plus one deliberate exception — the QR-linked public verification page (7.10) — rather than building this full six-tier model now. The full classification system is Phase 2 (AX Intelligence).</w:t>
      </w:r>
    </w:p>
    <w:p>
      <w:pPr>
        <w:spacing w:before="240" w:after="80"/>
      </w:pPr>
      <w:r>
        <w:rPr>
          <w:b/>
          <w:color w:val="B5651D"/>
          <w:sz w:val="23"/>
        </w:rPr>
        <w:t xml:space="preserve">7.9 AI Within the Framework</w:t>
      </w:r>
    </w:p>
    <w:p>
      <w:pPr>
        <w:spacing w:after="120"/>
      </w:pPr>
      <w:r>
        <w:rPr/>
        <w:t xml:space="preserve">AI performs five functions here: Compilation, Summarisation, Correlation, Insight Generation, and Predictive Analytics. AI does not certify facts and does not replace an authorised decision-maker. Any of these functions, wherever built, needs a real LLM credential — the same external dependency BR-46 (AI Listing Quality Pre-Audit) is already blocked on, not a second, separate blocker. Phase 1's Trading Session Chronicle (7.10) is deliberately template-based, not AI-authored, specifically so it isn't waiting on that dependency.</w:t>
      </w:r>
    </w:p>
    <w:p>
      <w:pPr>
        <w:spacing w:before="240" w:after="80"/>
      </w:pPr>
      <w:r>
        <w:rPr>
          <w:b/>
          <w:color w:val="B5651D"/>
          <w:sz w:val="23"/>
        </w:rPr>
        <w:t xml:space="preserve">7.10 AX Chronicle (Phase 1) — the Trading Session Chronicle</w:t>
      </w:r>
    </w:p>
    <w:p>
      <w:pPr>
        <w:spacing w:after="80"/>
      </w:pPr>
      <w:r>
        <w:rPr>
          <w:i/>
        </w:rPr>
        <w:t xml:space="preserve">Capture. Certify. Preserve.</w:t>
      </w:r>
    </w:p>
    <w:p>
      <w:pPr>
        <w:spacing w:after="120"/>
      </w:pPr>
      <w:r>
        <w:rPr/>
        <w:t xml:space="preserve">The first Chronicle built is the Event Chronicle, scoped concretely as a Trading Session Chronicle: a system-authenticated report generated automatically the moment a Sale Event's Settlement completes, downloadable by the Market Maker (Seller) and the Tenant Admin. It contains:</w:t>
      </w:r>
    </w:p>
    <w:p>
      <w:pPr>
        <w:pStyle w:val="ListParagraph"/>
        <w:numPr>
          <w:ilvl w:val="0"/>
          <w:numId w:val="3"/>
        </w:numPr>
        <w:spacing w:after="60"/>
      </w:pPr>
      <w:r>
        <w:rPr>
          <w:b/>
        </w:rPr>
        <w:t xml:space="preserve">What was listed — </w:t>
      </w:r>
      <w:r>
        <w:t xml:space="preserve">the Lot's category, condition, Reserve Value, Expected Value, and description, as recorded at listing time.</w:t>
      </w:r>
    </w:p>
    <w:p>
      <w:pPr>
        <w:pStyle w:val="ListParagraph"/>
        <w:numPr>
          <w:ilvl w:val="0"/>
          <w:numId w:val="3"/>
        </w:numPr>
        <w:spacing w:after="60"/>
      </w:pPr>
      <w:r>
        <w:rPr>
          <w:b/>
        </w:rPr>
        <w:t xml:space="preserve">What happened, chronologically — </w:t>
      </w:r>
      <w:r>
        <w:t xml:space="preserve">a timeline drawn from the existing BR-05 hash-chained audit trail: listing approval, bids or offers placed, any material edits, close, and settlement.</w:t>
      </w:r>
    </w:p>
    <w:p>
      <w:pPr>
        <w:pStyle w:val="ListParagraph"/>
        <w:numPr>
          <w:ilvl w:val="0"/>
          <w:numId w:val="3"/>
        </w:numPr>
        <w:spacing w:after="60"/>
      </w:pPr>
      <w:r>
        <w:rPr>
          <w:b/>
        </w:rPr>
        <w:t xml:space="preserve">The result — </w:t>
      </w:r>
      <w:r>
        <w:t xml:space="preserve">final price, winner status, and settlement outcome.</w:t>
      </w:r>
    </w:p>
    <w:p>
      <w:pPr>
        <w:pStyle w:val="ListParagraph"/>
        <w:numPr>
          <w:ilvl w:val="0"/>
          <w:numId w:val="3"/>
        </w:numPr>
        <w:spacing w:after="60"/>
      </w:pPr>
      <w:r>
        <w:rPr>
          <w:b/>
        </w:rPr>
        <w:t xml:space="preserve">Participation and bidding — </w:t>
      </w:r>
      <w:r>
        <w:t xml:space="preserve">how many distinct parties participated and the bid or offer progression, shown as counts and amounts only — never buyer names, mobile numbers, or Party IDs, matching BR-16's existing double-blind masking exactly as it already applies elsewhere in this document.</w:t>
      </w:r>
    </w:p>
    <w:p>
      <w:pPr>
        <w:pStyle w:val="ListParagraph"/>
        <w:numPr>
          <w:ilvl w:val="0"/>
          <w:numId w:val="3"/>
        </w:numPr>
        <w:spacing w:after="60"/>
      </w:pPr>
      <w:r>
        <w:rPr>
          <w:b/>
        </w:rPr>
        <w:t xml:space="preserve">Improvement achieved — </w:t>
      </w:r>
      <w:r>
        <w:t xml:space="preserve">the final price against the Reserve Value.</w:t>
      </w:r>
    </w:p>
    <w:p>
      <w:pPr>
        <w:pStyle w:val="ListParagraph"/>
        <w:numPr>
          <w:ilvl w:val="0"/>
          <w:numId w:val="3"/>
        </w:numPr>
        <w:spacing w:after="60"/>
      </w:pPr>
      <w:r>
        <w:rPr>
          <w:b/>
        </w:rPr>
        <w:t xml:space="preserve">The transaction — </w:t>
      </w:r>
      <w:r>
        <w:t xml:space="preserve">TDS (BR-53), Success Fee, and payout, as already computed by Settlement.</w:t>
      </w:r>
    </w:p>
    <w:p>
      <w:pPr>
        <w:pStyle w:val="ListParagraph"/>
        <w:numPr>
          <w:ilvl w:val="0"/>
          <w:numId w:val="3"/>
        </w:numPr>
        <w:spacing w:after="120"/>
      </w:pPr>
      <w:r>
        <w:rPr>
          <w:b/>
        </w:rPr>
        <w:t xml:space="preserve">Transparency and privacy — </w:t>
      </w:r>
      <w:r>
        <w:t xml:space="preserve">a plain statement of how BR-16's double-blind mechanism kept participant identity masked while the process itself remained fully auditable.</w:t>
      </w:r>
    </w:p>
    <w:p>
      <w:pPr>
        <w:spacing w:after="120"/>
      </w:pPr>
      <w:r>
        <w:rPr/>
        <w:t xml:space="preserve">The report's narrative is template-based, not AI-authored (7.9) — real, computed data filled into fixed prose, so generation has no external dependency. It is authenticated, not merely generated: certified via a content hash tied to the existing BR-05 audit trail, a unique reference number, and a QR code. The QR opens a public, token-based digital verification page — reachable only with the exact unguessable token embedded in the QR, not by ordinary login — showing the certified PDF, the Lot's photographs and documents, the relevant audit-trail excerpt, and a hash-match confirmation that the certified copy hasn't been altered. Once certified, a Chronicle is immutable; a later correction creates a new version rather than editing the original, the same principle BR-13 already applies to Listings.</w:t>
      </w:r>
    </w:p>
    <w:p>
      <w:pPr>
        <w:spacing w:before="240" w:after="80"/>
      </w:pPr>
      <w:r>
        <w:rPr>
          <w:b/>
          <w:color w:val="B5651D"/>
          <w:sz w:val="23"/>
        </w:rPr>
        <w:t xml:space="preserve">7.11 AX Intelligence (Phase 2) — Deferred Scope</w:t>
      </w:r>
    </w:p>
    <w:p>
      <w:pPr>
        <w:spacing w:after="80"/>
      </w:pPr>
      <w:r>
        <w:rPr>
          <w:i/>
        </w:rPr>
        <w:t xml:space="preserve">Understand. Learn. Recommend.</w:t>
      </w:r>
    </w:p>
    <w:p>
      <w:pPr>
        <w:spacing w:after="120"/>
      </w:pPr>
      <w:r>
        <w:rPr/>
        <w:t xml:space="preserve">Everything below is preserved design intent, not active scope in this document — the same treatment Section 5 already gives Procurement and Market Intelligence. Whether AX Intelligence becomes a paid, Enterprise-tier-gated capability (Section 6) — every customer receiving AX Chronicle from day one, with AX Intelligence sold as the differentiator for higher-tier plans — is a real commercial question raised by the project owner and explicitly left open here, not yet a commercial term of this document.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000"/>
      </w:tblGrid>
      <w:tr>
        <w:trPr>
          <w:tblHeader/>
        </w:trPr>
        <w:tc>
          <w:tcPr>
            <w:tcW w:type="dxa" w:w="3200"/>
            <w:shd w:fill="1B2A4A" w:val="clear"/>
            <w:tcMar>
              <w:top w:type="dxa" w:w="80"/>
              <w:left w:type="dxa" w:w="100"/>
              <w:bottom w:type="dxa" w:w="80"/>
              <w:right w:type="dxa" w:w="100"/>
            </w:tcMar>
          </w:tcPr>
          <w:p>
            <w:pPr>
              <w:jc w:val="left"/>
            </w:pPr>
            <w:r>
              <w:rPr>
                <w:b/>
                <w:bCs/>
              </w:rPr>
              <w:t xml:space="preserve">Deferred item</w:t>
            </w:r>
          </w:p>
        </w:tc>
        <w:tc>
          <w:tcPr>
            <w:tcW w:type="dxa" w:w="3200"/>
            <w:shd w:fill="1B2A4A" w:val="clear"/>
            <w:tcMar>
              <w:top w:type="dxa" w:w="80"/>
              <w:left w:type="dxa" w:w="100"/>
              <w:bottom w:type="dxa" w:w="80"/>
              <w:right w:type="dxa" w:w="100"/>
            </w:tcMar>
          </w:tcPr>
          <w:p>
            <w:pPr>
              <w:jc w:val="left"/>
            </w:pPr>
            <w:r>
              <w:rPr>
                <w:b/>
                <w:bCs/>
              </w:rPr>
              <w:t xml:space="preserve">What it needs first</w:t>
            </w:r>
          </w:p>
        </w:tc>
        <w:tc>
          <w:tcPr>
            <w:tcW w:type="dxa" w:w="2000"/>
            <w:shd w:fill="1B2A4A" w:val="clear"/>
            <w:tcMar>
              <w:top w:type="dxa" w:w="80"/>
              <w:left w:type="dxa" w:w="100"/>
              <w:bottom w:type="dxa" w:w="80"/>
              <w:right w:type="dxa" w:w="100"/>
            </w:tcMar>
          </w:tcPr>
          <w:p>
            <w:pPr>
              <w:jc w:val="left"/>
            </w:pPr>
            <w:r>
              <w:rPr>
                <w:b/>
                <w:bCs/>
              </w:rPr>
              <w:t xml:space="preserve">Section</w:t>
            </w:r>
          </w:p>
        </w:tc>
      </w:tr>
      <w:tr>
        <w:tc>
          <w:tcPr>
            <w:tcW w:type="dxa" w:w="3200"/>
            <w:tcMar>
              <w:top w:type="dxa" w:w="80"/>
              <w:left w:type="dxa" w:w="100"/>
              <w:bottom w:type="dxa" w:w="80"/>
              <w:right w:type="dxa" w:w="100"/>
            </w:tcMar>
          </w:tcPr>
          <w:p>
            <w:pPr>
              <w:jc w:val="left"/>
            </w:pPr>
            <w:r>
              <w:rPr/>
              <w:t xml:space="preserve">Case &amp; Asset as entities</w:t>
            </w:r>
          </w:p>
        </w:tc>
        <w:tc>
          <w:tcPr>
            <w:tcW w:type="dxa" w:w="3200"/>
            <w:tcMar>
              <w:top w:type="dxa" w:w="80"/>
              <w:left w:type="dxa" w:w="100"/>
              <w:bottom w:type="dxa" w:w="80"/>
              <w:right w:type="dxa" w:w="100"/>
            </w:tcMar>
          </w:tcPr>
          <w:p>
            <w:pPr>
              <w:jc w:val="left"/>
            </w:pPr>
            <w:r>
              <w:rPr/>
              <w:t xml:space="preserve">New data model — does a Case span Tenants? What creates one?</w:t>
            </w:r>
          </w:p>
        </w:tc>
        <w:tc>
          <w:tcPr>
            <w:tcW w:type="dxa" w:w="2000"/>
            <w:tcMar>
              <w:top w:type="dxa" w:w="80"/>
              <w:left w:type="dxa" w:w="100"/>
              <w:bottom w:type="dxa" w:w="80"/>
              <w:right w:type="dxa" w:w="100"/>
            </w:tcMar>
          </w:tcPr>
          <w:p>
            <w:pPr>
              <w:jc w:val="left"/>
            </w:pPr>
            <w:r>
              <w:rPr/>
              <w:t xml:space="preserve">7.3</w:t>
            </w:r>
          </w:p>
        </w:tc>
      </w:tr>
      <w:tr>
        <w:tc>
          <w:tcPr>
            <w:tcW w:type="dxa" w:w="3200"/>
            <w:tcMar>
              <w:top w:type="dxa" w:w="80"/>
              <w:left w:type="dxa" w:w="100"/>
              <w:bottom w:type="dxa" w:w="80"/>
              <w:right w:type="dxa" w:w="100"/>
            </w:tcMar>
          </w:tcPr>
          <w:p>
            <w:pPr>
              <w:jc w:val="left"/>
            </w:pPr>
            <w:r>
              <w:rPr/>
              <w:t xml:space="preserve">Lot / Asset / Case / Enterprise Chronicles</w:t>
            </w:r>
          </w:p>
        </w:tc>
        <w:tc>
          <w:tcPr>
            <w:tcW w:type="dxa" w:w="3200"/>
            <w:tcMar>
              <w:top w:type="dxa" w:w="80"/>
              <w:left w:type="dxa" w:w="100"/>
              <w:bottom w:type="dxa" w:w="80"/>
              <w:right w:type="dxa" w:w="100"/>
            </w:tcMar>
          </w:tcPr>
          <w:p>
            <w:pPr>
              <w:jc w:val="left"/>
            </w:pPr>
            <w:r>
              <w:rPr/>
              <w:t xml:space="preserve">Case &amp; Asset entities to exist first</w:t>
            </w:r>
          </w:p>
        </w:tc>
        <w:tc>
          <w:tcPr>
            <w:tcW w:type="dxa" w:w="2000"/>
            <w:tcMar>
              <w:top w:type="dxa" w:w="80"/>
              <w:left w:type="dxa" w:w="100"/>
              <w:bottom w:type="dxa" w:w="80"/>
              <w:right w:type="dxa" w:w="100"/>
            </w:tcMar>
          </w:tcPr>
          <w:p>
            <w:pPr>
              <w:jc w:val="left"/>
            </w:pPr>
            <w:r>
              <w:rPr/>
              <w:t xml:space="preserve">7.4</w:t>
            </w:r>
          </w:p>
        </w:tc>
      </w:tr>
      <w:tr>
        <w:tc>
          <w:tcPr>
            <w:tcW w:type="dxa" w:w="3200"/>
            <w:tcMar>
              <w:top w:type="dxa" w:w="80"/>
              <w:left w:type="dxa" w:w="100"/>
              <w:bottom w:type="dxa" w:w="80"/>
              <w:right w:type="dxa" w:w="100"/>
            </w:tcMar>
          </w:tcPr>
          <w:p>
            <w:pPr>
              <w:jc w:val="left"/>
            </w:pPr>
            <w:r>
              <w:rPr/>
              <w:t xml:space="preserve">Contributors (certification authority)</w:t>
            </w:r>
          </w:p>
        </w:tc>
        <w:tc>
          <w:tcPr>
            <w:tcW w:type="dxa" w:w="3200"/>
            <w:tcMar>
              <w:top w:type="dxa" w:w="80"/>
              <w:left w:type="dxa" w:w="100"/>
              <w:bottom w:type="dxa" w:w="80"/>
              <w:right w:type="dxa" w:w="100"/>
            </w:tcMar>
          </w:tcPr>
          <w:p>
            <w:pPr>
              <w:jc w:val="left"/>
            </w:pPr>
            <w:r>
              <w:rPr/>
              <w:t xml:space="preserve">Dedicated design discussion — extend BR-21 or build separately</w:t>
            </w:r>
          </w:p>
        </w:tc>
        <w:tc>
          <w:tcPr>
            <w:tcW w:type="dxa" w:w="2000"/>
            <w:tcMar>
              <w:top w:type="dxa" w:w="80"/>
              <w:left w:type="dxa" w:w="100"/>
              <w:bottom w:type="dxa" w:w="80"/>
              <w:right w:type="dxa" w:w="100"/>
            </w:tcMar>
          </w:tcPr>
          <w:p>
            <w:pPr>
              <w:jc w:val="left"/>
            </w:pPr>
            <w:r>
              <w:rPr/>
              <w:t xml:space="preserve">7.5</w:t>
            </w:r>
          </w:p>
        </w:tc>
      </w:tr>
      <w:tr>
        <w:tc>
          <w:tcPr>
            <w:tcW w:type="dxa" w:w="3200"/>
            <w:tcMar>
              <w:top w:type="dxa" w:w="80"/>
              <w:left w:type="dxa" w:w="100"/>
              <w:bottom w:type="dxa" w:w="80"/>
              <w:right w:type="dxa" w:w="100"/>
            </w:tcMar>
          </w:tcPr>
          <w:p>
            <w:pPr>
              <w:jc w:val="left"/>
            </w:pPr>
            <w:r>
              <w:rPr/>
              <w:t xml:space="preserve">Full Information Classification taxonomy</w:t>
            </w:r>
          </w:p>
        </w:tc>
        <w:tc>
          <w:tcPr>
            <w:tcW w:type="dxa" w:w="3200"/>
            <w:tcMar>
              <w:top w:type="dxa" w:w="80"/>
              <w:left w:type="dxa" w:w="100"/>
              <w:bottom w:type="dxa" w:w="80"/>
              <w:right w:type="dxa" w:w="100"/>
            </w:tcMar>
          </w:tcPr>
          <w:p>
            <w:pPr>
              <w:jc w:val="left"/>
            </w:pPr>
            <w:r>
              <w:rPr/>
              <w:t xml:space="preserve">Applying it across every existing decision point</w:t>
            </w:r>
          </w:p>
        </w:tc>
        <w:tc>
          <w:tcPr>
            <w:tcW w:type="dxa" w:w="2000"/>
            <w:tcMar>
              <w:top w:type="dxa" w:w="80"/>
              <w:left w:type="dxa" w:w="100"/>
              <w:bottom w:type="dxa" w:w="80"/>
              <w:right w:type="dxa" w:w="100"/>
            </w:tcMar>
          </w:tcPr>
          <w:p>
            <w:pPr>
              <w:jc w:val="left"/>
            </w:pPr>
            <w:r>
              <w:rPr/>
              <w:t xml:space="preserve">7.6</w:t>
            </w:r>
          </w:p>
        </w:tc>
      </w:tr>
      <w:tr>
        <w:tc>
          <w:tcPr>
            <w:tcW w:type="dxa" w:w="3200"/>
            <w:tcMar>
              <w:top w:type="dxa" w:w="80"/>
              <w:left w:type="dxa" w:w="100"/>
              <w:bottom w:type="dxa" w:w="80"/>
              <w:right w:type="dxa" w:w="100"/>
            </w:tcMar>
          </w:tcPr>
          <w:p>
            <w:pPr>
              <w:jc w:val="left"/>
            </w:pPr>
            <w:r>
              <w:rPr/>
              <w:t xml:space="preserve">Audit / Legal / Claim / Management / Buyer Dossiers</w:t>
            </w:r>
          </w:p>
        </w:tc>
        <w:tc>
          <w:tcPr>
            <w:tcW w:type="dxa" w:w="3200"/>
            <w:tcMar>
              <w:top w:type="dxa" w:w="80"/>
              <w:left w:type="dxa" w:w="100"/>
              <w:bottom w:type="dxa" w:w="80"/>
              <w:right w:type="dxa" w:w="100"/>
            </w:tcMar>
          </w:tcPr>
          <w:p>
            <w:pPr>
              <w:jc w:val="left"/>
            </w:pPr>
            <w:r>
              <w:rPr/>
              <w:t xml:space="preserve">Chronicles to exist first</w:t>
            </w:r>
          </w:p>
        </w:tc>
        <w:tc>
          <w:tcPr>
            <w:tcW w:type="dxa" w:w="2000"/>
            <w:tcMar>
              <w:top w:type="dxa" w:w="80"/>
              <w:left w:type="dxa" w:w="100"/>
              <w:bottom w:type="dxa" w:w="80"/>
              <w:right w:type="dxa" w:w="100"/>
            </w:tcMar>
          </w:tcPr>
          <w:p>
            <w:pPr>
              <w:jc w:val="left"/>
            </w:pPr>
            <w:r>
              <w:rPr/>
              <w:t xml:space="preserve">7.7</w:t>
            </w:r>
          </w:p>
        </w:tc>
      </w:tr>
      <w:tr>
        <w:tc>
          <w:tcPr>
            <w:tcW w:type="dxa" w:w="3200"/>
            <w:tcMar>
              <w:top w:type="dxa" w:w="80"/>
              <w:left w:type="dxa" w:w="100"/>
              <w:bottom w:type="dxa" w:w="80"/>
              <w:right w:type="dxa" w:w="100"/>
            </w:tcMar>
          </w:tcPr>
          <w:p>
            <w:pPr>
              <w:jc w:val="left"/>
            </w:pPr>
            <w:r>
              <w:rPr/>
              <w:t xml:space="preserve">Full six-tier Access &amp; Visibility model</w:t>
            </w:r>
          </w:p>
        </w:tc>
        <w:tc>
          <w:tcPr>
            <w:tcW w:type="dxa" w:w="3200"/>
            <w:tcMar>
              <w:top w:type="dxa" w:w="80"/>
              <w:left w:type="dxa" w:w="100"/>
              <w:bottom w:type="dxa" w:w="80"/>
              <w:right w:type="dxa" w:w="100"/>
            </w:tcMar>
          </w:tcPr>
          <w:p>
            <w:pPr>
              <w:jc w:val="left"/>
            </w:pPr>
            <w:r>
              <w:rPr/>
              <w:t xml:space="preserve">Dossiers to exist first</w:t>
            </w:r>
          </w:p>
        </w:tc>
        <w:tc>
          <w:tcPr>
            <w:tcW w:type="dxa" w:w="2000"/>
            <w:tcMar>
              <w:top w:type="dxa" w:w="80"/>
              <w:left w:type="dxa" w:w="100"/>
              <w:bottom w:type="dxa" w:w="80"/>
              <w:right w:type="dxa" w:w="100"/>
            </w:tcMar>
          </w:tcPr>
          <w:p>
            <w:pPr>
              <w:jc w:val="left"/>
            </w:pPr>
            <w:r>
              <w:rPr/>
              <w:t xml:space="preserve">7.8</w:t>
            </w:r>
          </w:p>
        </w:tc>
      </w:tr>
      <w:tr>
        <w:tc>
          <w:tcPr>
            <w:tcW w:type="dxa" w:w="3200"/>
            <w:tcMar>
              <w:top w:type="dxa" w:w="80"/>
              <w:left w:type="dxa" w:w="100"/>
              <w:bottom w:type="dxa" w:w="80"/>
              <w:right w:type="dxa" w:w="100"/>
            </w:tcMar>
          </w:tcPr>
          <w:p>
            <w:pPr>
              <w:jc w:val="left"/>
            </w:pPr>
            <w:r>
              <w:rPr/>
              <w:t xml:space="preserve">AI-authored Chronicle narrative</w:t>
            </w:r>
          </w:p>
        </w:tc>
        <w:tc>
          <w:tcPr>
            <w:tcW w:type="dxa" w:w="3200"/>
            <w:tcMar>
              <w:top w:type="dxa" w:w="80"/>
              <w:left w:type="dxa" w:w="100"/>
              <w:bottom w:type="dxa" w:w="80"/>
              <w:right w:type="dxa" w:w="100"/>
            </w:tcMar>
          </w:tcPr>
          <w:p>
            <w:pPr>
              <w:jc w:val="left"/>
            </w:pPr>
            <w:r>
              <w:rPr/>
              <w:t xml:space="preserve">A real LLM credential — same blocker as BR-46</w:t>
            </w:r>
          </w:p>
        </w:tc>
        <w:tc>
          <w:tcPr>
            <w:tcW w:type="dxa" w:w="2000"/>
            <w:tcMar>
              <w:top w:type="dxa" w:w="80"/>
              <w:left w:type="dxa" w:w="100"/>
              <w:bottom w:type="dxa" w:w="80"/>
              <w:right w:type="dxa" w:w="100"/>
            </w:tcMar>
          </w:tcPr>
          <w:p>
            <w:pPr>
              <w:jc w:val="left"/>
            </w:pPr>
            <w:r>
              <w:rPr/>
              <w:t xml:space="preserve">7.9</w:t>
            </w:r>
          </w:p>
        </w:tc>
      </w:tr>
      <w:tr>
        <w:tc>
          <w:tcPr>
            <w:tcW w:type="dxa" w:w="3200"/>
            <w:tcMar>
              <w:top w:type="dxa" w:w="80"/>
              <w:left w:type="dxa" w:w="100"/>
              <w:bottom w:type="dxa" w:w="80"/>
              <w:right w:type="dxa" w:w="100"/>
            </w:tcMar>
          </w:tcPr>
          <w:p>
            <w:pPr>
              <w:jc w:val="left"/>
            </w:pPr>
            <w:r>
              <w:rPr/>
              <w:t xml:space="preserve">Knowledge Vault</w:t>
            </w:r>
          </w:p>
        </w:tc>
        <w:tc>
          <w:tcPr>
            <w:tcW w:type="dxa" w:w="3200"/>
            <w:tcMar>
              <w:top w:type="dxa" w:w="80"/>
              <w:left w:type="dxa" w:w="100"/>
              <w:bottom w:type="dxa" w:w="80"/>
              <w:right w:type="dxa" w:w="100"/>
            </w:tcMar>
          </w:tcPr>
          <w:p>
            <w:pPr>
              <w:jc w:val="left"/>
            </w:pPr>
            <w:r>
              <w:rPr/>
              <w:t xml:space="preserve">A critical mass of completed Chronicles; overlaps Section 5.3 Market Intelligence</w:t>
            </w:r>
          </w:p>
        </w:tc>
        <w:tc>
          <w:tcPr>
            <w:tcW w:type="dxa" w:w="2000"/>
            <w:tcMar>
              <w:top w:type="dxa" w:w="80"/>
              <w:left w:type="dxa" w:w="100"/>
              <w:bottom w:type="dxa" w:w="80"/>
              <w:right w:type="dxa" w:w="100"/>
            </w:tcMar>
          </w:tcPr>
          <w:p>
            <w:pPr>
              <w:jc w:val="left"/>
            </w:pPr>
            <w:r>
              <w:rPr/>
              <w:t xml:space="preserve">7.3</w:t>
            </w:r>
          </w:p>
        </w:tc>
      </w:tr>
    </w:tbl>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