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51A01" w14:textId="546566EA" w:rsidR="00F66682" w:rsidRPr="00F66682" w:rsidRDefault="00F66682" w:rsidP="00F6668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План маркетинга</w:t>
      </w:r>
    </w:p>
    <w:p w14:paraId="512A08CE" w14:textId="77777777" w:rsidR="00F66682" w:rsidRDefault="00F66682" w:rsidP="00F666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FFE012B" w14:textId="3BC331AA" w:rsidR="0030777D" w:rsidRPr="0030777D" w:rsidRDefault="0030777D" w:rsidP="00307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ООО «ПарсПей» работает исключительно в сегменте B2B. Сервис предназначен для компаний, которым нужны регулярные и структурированные данные с зарубежных маркетплейсов и сайтов брендов. Клиенты - юридические лица и предприниматели, использующие информацию для поиска товаров под параллельный импорт, анализа закупочных цен, построения логистики и подготовки датасетов для нейросетей. Сегменты B2C и B2G не рассматриваются.</w:t>
      </w:r>
    </w:p>
    <w:p w14:paraId="1E7F9727" w14:textId="7F9A352D" w:rsidR="0030777D" w:rsidRPr="0030777D" w:rsidRDefault="0030777D" w:rsidP="00307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Целевая аудитория - средний и крупный бизнес. Это селлеры на Wildberries, Ozon и Яндекс Маркете с оборотом от нескольких миллионов рублей в месяц, дистрибьюторы и оптовые компании, занимающиеся параллельным импортом из Китая, Турции и других стран, а также IT-отделы и аналитические подразделения, которым требуются чистые датасеты. Этим компаниям не хватает стабильных актуальных данных с зарубежных площадок. Самостоятельный сбор требует технических компетенций, качественных прокси и постоянного обновления, чего у большинства нет. Сервис берёт на себя всю техническую работу и поставляет готовый результат в удобном формате на условиях подписки. Мелкие продавцы в целевую аудиторию не входят - для них услуга либо слишком дорога, либо не нужна регулярно. Фокус сделан на компании, которые уже работают с параллельным импортом или активно ищут новые источники товаров и данных.</w:t>
      </w:r>
    </w:p>
    <w:p w14:paraId="1FD6866A" w14:textId="7DB7B581" w:rsidR="0030777D" w:rsidRPr="0030777D" w:rsidRDefault="0030777D" w:rsidP="00307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крупнейших российских маркетплейсах работает порядка 800–850 тысяч селлеров. Даже при консервативной оценке в 5–7 % от этого числа получается несколько десятков тысяч потенциальных клиентов, которым регулярно нужны данные с зарубежных площадок. К ним добавляются дистрибьюторы, оптовые импортёры и IT-команды. Ёмкость узкого сегмента - данные с зарубежных маркетплейсов плюс датасеты для нейросетей - оценивается в несколько сотен миллионов рублей в год. При средней стоимости подписки 30–80 тысяч рублей в месяц и выходе на 30–50 платящих </w:t>
        <w:lastRenderedPageBreak/>
        <w:t>клиентов в первый год выручка составит 10–40 миллионов рублей. Это примерно 3–10 % доступной ёмкости узкого сегмента. В перспективе двух-трёх лет при росте до 150–200 клиентов доля может увеличиться до 15–25 %.</w:t>
      </w:r>
    </w:p>
    <w:p w14:paraId="03EF62C8" w14:textId="0FFAC589" w:rsidR="0030777D" w:rsidRPr="0030777D" w:rsidRDefault="0030777D" w:rsidP="00307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Конкуренция в нише парсинга существует, но она слабо </w:t>
      </w:r>
      <w:r>
        <w:rPr>
          <w:rFonts w:ascii="Times New Roman" w:hAnsi="Times New Roman" w:cs="Times New Roman"/>
          <w:color w:val="FF0000"/>
          <w:sz w:val="28"/>
          <w:szCs w:val="28"/>
        </w:rPr>
        <w:t>ориентирована</w:t>
      </w:r>
      <w:r>
        <w:rPr>
          <w:rFonts w:ascii="Times New Roman" w:hAnsi="Times New Roman" w:cs="Times New Roman"/>
          <w:sz w:val="28"/>
          <w:szCs w:val="28"/>
        </w:rPr>
        <w:t xml:space="preserve"> под зарубежные площадки для задач параллельного импорта. Большинство сервисов </w:t>
      </w:r>
      <w:r>
        <w:rPr>
          <w:rFonts w:ascii="Times New Roman" w:hAnsi="Times New Roman" w:cs="Times New Roman"/>
          <w:color w:val="FF0000"/>
          <w:sz w:val="28"/>
          <w:szCs w:val="28"/>
        </w:rPr>
        <w:t>нацелены</w:t>
      </w:r>
      <w:r>
        <w:rPr>
          <w:rFonts w:ascii="Times New Roman" w:hAnsi="Times New Roman" w:cs="Times New Roman"/>
          <w:sz w:val="28"/>
          <w:szCs w:val="28"/>
        </w:rPr>
        <w:t xml:space="preserve"> на российские маркетплейсы и решают задачи мониторинга цен внутри страны. Со сложными зарубежными источниками - 1688, Taobao, Poizon и другими - они работают плохо или не работают вовсе. Студии и фрилансеры делают разовые выгрузки, но не предлагают стабильную подписочную модель с регулярными обновлениями. Западные инструменты либо недоступны, либо плохо адаптированы под российские процессы. В узком сегменте стабильного B2B-парсинга зарубежных площадок под параллельный импорт уровень конкуренции средний-низкий. Специализированных решений, сочетающих техническую надёжность, подписку и ориентацию на нужды российского бизнеса, пока немного.</w:t>
      </w:r>
    </w:p>
    <w:p w14:paraId="11AD5712" w14:textId="0B16974E" w:rsidR="0030777D" w:rsidRPr="0030777D" w:rsidRDefault="0030777D" w:rsidP="00307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Продукт - подписка на регулярный сбор и доставку данных с зарубежных маркетплейсов и сайтов брендов: цены, наличие, характеристики, отзывы. Дополнительно сервис готовит датасеты для обучения нейросетей. Клиент указывает источники и нужные поля, сервис настраивает сбор, обходит защиты, очищает данные и передаёт результат в таблицах, файлах или через API.</w:t>
      </w:r>
    </w:p>
    <w:p w14:paraId="41F1FACC" w14:textId="17810DB3" w:rsidR="0030777D" w:rsidRPr="0030777D" w:rsidRDefault="0030777D" w:rsidP="00307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Ценовая стратегия - премиальная подписка. Диапазон 30–80 тысяч рублей в месяц в зависимости от объёма источников, частоты обновлений и сложности задач. </w:t>
      </w:r>
      <w:r>
        <w:rPr>
          <w:rFonts w:ascii="Times New Roman" w:hAnsi="Times New Roman" w:cs="Times New Roman"/>
          <w:sz w:val="28"/>
          <w:szCs w:val="28"/>
          <w:highlight w:val="green"/>
        </w:rPr>
        <w:t xml:space="preserve">Стоимость определяется количеством подключаемых источников, частотой обновления данных (раз в сутки или несколько раз в день), числом собираемых полей, сложностью защиты на целевых площадках и форматом доставки (файлы или API)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крупных клиентов возможны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индивидуальные тарифы </w:t>
      </w:r>
      <w:r>
        <w:rPr>
          <w:rFonts w:ascii="Times New Roman" w:hAnsi="Times New Roman" w:cs="Times New Roman"/>
          <w:sz w:val="28"/>
          <w:szCs w:val="28"/>
        </w:rPr>
        <w:t xml:space="preserve">и пакеты на несколько месяцев. </w:t>
      </w:r>
      <w:r>
        <w:rPr>
          <w:rFonts w:ascii="Times New Roman" w:hAnsi="Times New Roman" w:cs="Times New Roman"/>
          <w:sz w:val="28"/>
          <w:szCs w:val="28"/>
          <w:highlight w:val="green"/>
        </w:rPr>
        <w:t xml:space="preserve">Например, пакеты на 3, 6 и 12 месяцев со скидкой 10, 15 и 20 % соответственно при предоплате, а также индивидуальные тарифы с фиксированной стоимостью под согласованный объём источников и сроки обновления.</w:t>
      </w:r>
      <w:r>
        <w:rPr>
          <w:rFonts w:ascii="Times New Roman" w:hAnsi="Times New Roman" w:cs="Times New Roman"/>
          <w:sz w:val="28"/>
          <w:szCs w:val="28"/>
        </w:rPr>
        <w:t xml:space="preserve"> Разовые выгрузки оцениваются выше, чтобы стимулировать переход на подписку. Такая модель даёт сервису предсказуемый доход, а клиенту - постоянный поток актуальных данных.</w:t>
      </w:r>
    </w:p>
    <w:p w14:paraId="7B2F32DB" w14:textId="1DFF5891" w:rsidR="0030777D" w:rsidRPr="0030777D" w:rsidRDefault="0030777D" w:rsidP="00307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Продажи ведутся напрямую. Основные каналы - профильные Telegram-каналы и чаты селлеров, отраслевые конференции, партнёрства с </w:t>
        <w:lastRenderedPageBreak/>
        <w:t>логистическими и таможенными компаниями, холодные продажи в компании, уже работающие с параллельным импортом. Клиент оставляет заявку, уточняются детали, заключается договор и настраивается сбор. Работа полностью удалённая, результат доставляется в цифровом виде.</w:t>
      </w:r>
    </w:p>
    <w:p w14:paraId="5CBEF817" w14:textId="4D093014" w:rsidR="0030777D" w:rsidRPr="0030777D" w:rsidRDefault="0030777D" w:rsidP="00307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Продвижение строится на экспертном контенте и прямых продажах. Ключевые инструменты - регулярные кейсы в Telegram-каналах селлеров, участие в профильных конференциях, партнёрские публикации с логистическими компаниями, холодные письма и звонки. Широкая реклама малоэффективна из-за узкой специализации. Акцент делается на конкретной пользе: свежие данные позволяют находить более выгодные товары и повышать маржу.</w:t>
      </w:r>
    </w:p>
    <w:p w14:paraId="7053D574" w14:textId="3BE750B8" w:rsidR="00060608" w:rsidRPr="0030777D" w:rsidRDefault="0030777D" w:rsidP="003077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Рекламный бюджет на первый год составляет 800–1500 тысяч рублей. </w:t>
      </w:r>
      <w:r>
        <w:rPr>
          <w:rFonts w:ascii="Times New Roman" w:hAnsi="Times New Roman" w:cs="Times New Roman"/>
          <w:sz w:val="28"/>
          <w:szCs w:val="28"/>
          <w:highlight w:val="green"/>
        </w:rPr>
        <w:t xml:space="preserve">Распределение бюджета по месяцам представлено в таблице ниже.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Основная часть направляется на работу с Telegram-каналами и чатами селлеров, участие в отраслевых конференциях, партнёрства с логистическими компаниями и холодные продажи. Небольшая доля выделяется на тестовые рекламные материалы. Бюджет корректируется по результатам: при выходе на 30–50 клиентов его можно увеличивать пропорционально росту выручки. Главные показатели - количество квалифицированных заявок, конверсия в оплату и стоимость привлечения одного платящего клиента.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0" w:type="dxa"/>
          <w:right w:w="100" w:type="dxa"/>
        </w:tblCellMar>
      </w:tblPr>
      <w:tblGrid>
        <w:gridCol w:w="1500"/>
        <w:gridCol w:w="2000"/>
        <w:gridCol w:w="5855"/>
      </w:tblGrid>
      <w:tr>
        <w:tc>
          <w:tcPr>
            <w:tcW w:w="1500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  <w:t xml:space="preserve">Месяц</w:t>
            </w:r>
          </w:p>
        </w:tc>
        <w:tc>
          <w:tcPr>
            <w:tcW w:w="2000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  <w:t xml:space="preserve">Бюджет, тыс. руб.</w:t>
            </w:r>
          </w:p>
        </w:tc>
        <w:tc>
          <w:tcPr>
            <w:tcW w:w="5855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  <w:t xml:space="preserve">Основные направления</w:t>
            </w:r>
          </w:p>
        </w:tc>
      </w:tr>
      <w:tr>
        <w:tc>
          <w:tcPr>
            <w:tcW w:w="1500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1</w:t>
            </w:r>
          </w:p>
        </w:tc>
        <w:tc>
          <w:tcPr>
            <w:tcW w:w="2000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40–70</w:t>
            </w:r>
          </w:p>
        </w:tc>
        <w:tc>
          <w:tcPr>
            <w:tcW w:w="5855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Подготовка тестовых рекламных материалов, оформление первых кейсов, запуск присутствия в Telegram</w:t>
            </w:r>
          </w:p>
        </w:tc>
      </w:tr>
      <w:tr>
        <w:tc>
          <w:tcPr>
            <w:tcW w:w="1500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2</w:t>
            </w:r>
          </w:p>
        </w:tc>
        <w:tc>
          <w:tcPr>
            <w:tcW w:w="2000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50–90</w:t>
            </w:r>
          </w:p>
        </w:tc>
        <w:tc>
          <w:tcPr>
            <w:tcW w:w="5855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Размещения в Telegram-каналах и чатах селлеров, запуск холодных рассылок и звонков</w:t>
            </w:r>
          </w:p>
        </w:tc>
      </w:tr>
      <w:tr>
        <w:tc>
          <w:tcPr>
            <w:tcW w:w="1500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3</w:t>
            </w:r>
          </w:p>
        </w:tc>
        <w:tc>
          <w:tcPr>
            <w:tcW w:w="2000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60–110</w:t>
            </w:r>
          </w:p>
        </w:tc>
        <w:tc>
          <w:tcPr>
            <w:tcW w:w="5855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Продолжение работы с Telegram, начало переговоров с логистическими и таможенными компаниями</w:t>
            </w:r>
          </w:p>
        </w:tc>
      </w:tr>
      <w:tr>
        <w:tc>
          <w:tcPr>
            <w:tcW w:w="1500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4–5</w:t>
            </w:r>
          </w:p>
        </w:tc>
        <w:tc>
          <w:tcPr>
            <w:tcW w:w="2000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70–130 в месяц</w:t>
            </w:r>
          </w:p>
        </w:tc>
        <w:tc>
          <w:tcPr>
            <w:tcW w:w="5855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Участие в первой отраслевой конференции, партнёрские публикации, холодные продажи</w:t>
            </w:r>
          </w:p>
        </w:tc>
      </w:tr>
      <w:tr>
        <w:tc>
          <w:tcPr>
            <w:tcW w:w="1500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6–8</w:t>
            </w:r>
          </w:p>
        </w:tc>
        <w:tc>
          <w:tcPr>
            <w:tcW w:w="2000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70–130 в месяц</w:t>
            </w:r>
          </w:p>
        </w:tc>
        <w:tc>
          <w:tcPr>
            <w:tcW w:w="5855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Telegram-каналы и чаты, публикация кейсов первых клиентов, холодные продажи</w:t>
            </w:r>
          </w:p>
        </w:tc>
      </w:tr>
      <w:tr>
        <w:tc>
          <w:tcPr>
            <w:tcW w:w="1500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9–10</w:t>
            </w:r>
          </w:p>
        </w:tc>
        <w:tc>
          <w:tcPr>
            <w:tcW w:w="2000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70–130 в месяц</w:t>
            </w:r>
          </w:p>
        </w:tc>
        <w:tc>
          <w:tcPr>
            <w:tcW w:w="5855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Участие во второй отраслевой конференции, расширение партнёрских каналов</w:t>
            </w:r>
          </w:p>
        </w:tc>
      </w:tr>
      <w:tr>
        <w:tc>
          <w:tcPr>
            <w:tcW w:w="1500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11–12</w:t>
            </w:r>
          </w:p>
        </w:tc>
        <w:tc>
          <w:tcPr>
            <w:tcW w:w="2000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80–160 в месяц</w:t>
            </w:r>
          </w:p>
        </w:tc>
        <w:tc>
          <w:tcPr>
            <w:tcW w:w="5855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Масштабирование результативных каналов, подведение итогов года и корректировка бюджета</w:t>
            </w:r>
          </w:p>
        </w:tc>
      </w:tr>
      <w:tr>
        <w:tc>
          <w:tcPr>
            <w:tcW w:w="1500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  <w:t xml:space="preserve">Итого</w:t>
            </w:r>
          </w:p>
        </w:tc>
        <w:tc>
          <w:tcPr>
            <w:tcW w:w="2000" w:type="dxa"/>
          </w:tcPr>
          <w:p>
            <w:pPr>
              <w:spacing w:after="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  <w:t xml:space="preserve">800–1500</w:t>
            </w:r>
          </w:p>
        </w:tc>
        <w:tc>
          <w:tcPr>
            <w:tcW w:w="5855" w:type="dxa"/>
          </w:tcPr>
          <w:p>
            <w:pPr>
              <w:spacing w:after="0" w:line="276" w:lineRule="auto"/>
            </w:pPr>
          </w:p>
        </w:tc>
      </w:tr>
    </w:tbl>
    <w:p>
      <w:pPr>
        <w:spacing w:after="0"/>
      </w:pPr>
    </w:p>
    <w:sectPr w:rsidR="00060608" w:rsidRPr="003077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B10A62"/>
    <w:multiLevelType w:val="multilevel"/>
    <w:tmpl w:val="1454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08"/>
    <w:rsid w:val="00060608"/>
    <w:rsid w:val="00252E96"/>
    <w:rsid w:val="0030777D"/>
    <w:rsid w:val="00384F9F"/>
    <w:rsid w:val="004372F6"/>
    <w:rsid w:val="00831E33"/>
    <w:rsid w:val="008B5BDD"/>
    <w:rsid w:val="00F6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EAF82"/>
  <w15:chartTrackingRefBased/>
  <w15:docId w15:val="{40E03916-843D-4DD6-80E2-F575318AE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0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0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06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06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06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06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06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06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0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06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06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06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06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0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Корчёмкин</dc:creator>
  <cp:keywords/>
  <dc:description/>
  <cp:lastModifiedBy>Ольга</cp:lastModifiedBy>
  <cp:revision>4</cp:revision>
  <dcterms:created xsi:type="dcterms:W3CDTF">2026-09-27T10:51:00Z</dcterms:created>
  <dcterms:modified xsi:type="dcterms:W3CDTF">2026-10-06T15:58:00Z</dcterms:modified>
</cp:coreProperties>
</file>