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AAC" w:rsidRDefault="00564F9A">
      <w:pPr>
        <w:rPr>
          <w:rFonts w:ascii="Segoe UI" w:hAnsi="Segoe UI" w:cs="Segoe UI"/>
          <w:color w:val="242424"/>
          <w:sz w:val="23"/>
          <w:szCs w:val="23"/>
          <w:shd w:val="clear" w:color="auto" w:fill="FFFFFF"/>
        </w:rPr>
      </w:pPr>
      <w:r>
        <w:rPr>
          <w:rFonts w:ascii="Segoe UI" w:hAnsi="Segoe UI" w:cs="Segoe UI"/>
          <w:color w:val="242424"/>
          <w:sz w:val="23"/>
          <w:szCs w:val="23"/>
          <w:shd w:val="clear" w:color="auto" w:fill="FFFFFF"/>
        </w:rPr>
        <w:t>Reviewer: 1</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Comments: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This paper constructs a deep learning benchmark for pneumonia detection, moving beyond the common research focus on accuracy alone. It takes clinical safety,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 statistical significance and computational efficiency into consideration. Supported by a sufficiently sized dataset and rigorous experimental design, it identifies the critical majority class collapse phenomenon and delivers clinical reference value. Nevertheless, it relies on a single combined dataset and performs only binary classification, and certain comparative analyses can be further deepened.</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Experiments are conducted merely on one combined dataset, which limits the generalizability of results. Cross validation on external datasets such as </w:t>
      </w:r>
      <w:proofErr w:type="spellStart"/>
      <w:r>
        <w:rPr>
          <w:rFonts w:ascii="Segoe UI" w:hAnsi="Segoe UI" w:cs="Segoe UI"/>
          <w:color w:val="242424"/>
          <w:sz w:val="23"/>
          <w:szCs w:val="23"/>
          <w:shd w:val="clear" w:color="auto" w:fill="FFFFFF"/>
        </w:rPr>
        <w:t>CheXpert</w:t>
      </w:r>
      <w:proofErr w:type="spellEnd"/>
      <w:r>
        <w:rPr>
          <w:rFonts w:ascii="Segoe UI" w:hAnsi="Segoe UI" w:cs="Segoe UI"/>
          <w:color w:val="242424"/>
          <w:sz w:val="23"/>
          <w:szCs w:val="23"/>
          <w:shd w:val="clear" w:color="auto" w:fill="FFFFFF"/>
        </w:rPr>
        <w:t xml:space="preserve"> and MIMIC CXR is recommended to verify the real world clinical performance of models.</w:t>
      </w:r>
      <w:r>
        <w:rPr>
          <w:rFonts w:ascii="Segoe UI" w:hAnsi="Segoe UI" w:cs="Segoe UI"/>
          <w:color w:val="242424"/>
          <w:sz w:val="23"/>
          <w:szCs w:val="23"/>
        </w:rPr>
        <w:br/>
      </w:r>
      <w:r>
        <w:rPr>
          <w:rFonts w:ascii="Segoe UI" w:hAnsi="Segoe UI" w:cs="Segoe UI"/>
          <w:color w:val="242424"/>
          <w:sz w:val="23"/>
          <w:szCs w:val="23"/>
          <w:shd w:val="clear" w:color="auto" w:fill="FFFFFF"/>
        </w:rPr>
        <w:t>Only binary classification (normal/pneumonia) is implemented without differentiating bacterial and viral pneumonia. It is suggested to illustrate the impact of this limitation on clinical deployment and supplement feasibility analysis for multi class classification.</w:t>
      </w:r>
      <w:r>
        <w:rPr>
          <w:rFonts w:ascii="Segoe UI" w:hAnsi="Segoe UI" w:cs="Segoe UI"/>
          <w:color w:val="242424"/>
          <w:sz w:val="23"/>
          <w:szCs w:val="23"/>
        </w:rPr>
        <w:br/>
      </w:r>
      <w:r>
        <w:rPr>
          <w:rFonts w:ascii="Segoe UI" w:hAnsi="Segoe UI" w:cs="Segoe UI"/>
          <w:color w:val="242424"/>
          <w:sz w:val="23"/>
          <w:szCs w:val="23"/>
          <w:shd w:val="clear" w:color="auto" w:fill="FFFFFF"/>
        </w:rPr>
        <w:t>Deep learning based approaches for pneumonia detection are of high practical value. Reference [1] also discusses diverse deep learning methods for disease diagnosis. Authors are expected to review methods presented in Reference [1] and appropriately discuss their applications in pneumonia detection.[1]</w:t>
      </w:r>
      <w:proofErr w:type="spellStart"/>
      <w:r>
        <w:rPr>
          <w:rFonts w:ascii="Segoe UI" w:hAnsi="Segoe UI" w:cs="Segoe UI"/>
          <w:color w:val="242424"/>
          <w:sz w:val="23"/>
          <w:szCs w:val="23"/>
          <w:shd w:val="clear" w:color="auto" w:fill="FFFFFF"/>
        </w:rPr>
        <w:t>Goswami</w:t>
      </w:r>
      <w:proofErr w:type="spellEnd"/>
      <w:r>
        <w:rPr>
          <w:rFonts w:ascii="Segoe UI" w:hAnsi="Segoe UI" w:cs="Segoe UI"/>
          <w:color w:val="242424"/>
          <w:sz w:val="23"/>
          <w:szCs w:val="23"/>
          <w:shd w:val="clear" w:color="auto" w:fill="FFFFFF"/>
        </w:rPr>
        <w:t xml:space="preserve"> et al. Comparison Among Deep Learning Approaches and Biomarkers in Early Detection of Parkinson’s Disease. Journal of Computational and Cognitive Engineering, 4(2), 132 141. </w:t>
      </w:r>
      <w:proofErr w:type="spellStart"/>
      <w:r>
        <w:rPr>
          <w:rFonts w:ascii="Segoe UI" w:hAnsi="Segoe UI" w:cs="Segoe UI"/>
          <w:color w:val="242424"/>
          <w:sz w:val="23"/>
          <w:szCs w:val="23"/>
          <w:shd w:val="clear" w:color="auto" w:fill="FFFFFF"/>
        </w:rPr>
        <w:t>Doi</w:t>
      </w:r>
      <w:proofErr w:type="spellEnd"/>
      <w:r>
        <w:rPr>
          <w:rFonts w:ascii="Segoe UI" w:hAnsi="Segoe UI" w:cs="Segoe UI"/>
          <w:color w:val="242424"/>
          <w:sz w:val="23"/>
          <w:szCs w:val="23"/>
          <w:shd w:val="clear" w:color="auto" w:fill="FFFFFF"/>
        </w:rPr>
        <w:t>: 10.47852/bonviewJCCE42023040</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Only vanilla </w:t>
      </w:r>
      <w:proofErr w:type="spellStart"/>
      <w:r>
        <w:rPr>
          <w:rFonts w:ascii="Segoe UI" w:hAnsi="Segoe UI" w:cs="Segoe UI"/>
          <w:color w:val="242424"/>
          <w:sz w:val="23"/>
          <w:szCs w:val="23"/>
          <w:shd w:val="clear" w:color="auto" w:fill="FFFFFF"/>
        </w:rPr>
        <w:t>ViT</w:t>
      </w:r>
      <w:proofErr w:type="spellEnd"/>
      <w:r>
        <w:rPr>
          <w:rFonts w:ascii="Segoe UI" w:hAnsi="Segoe UI" w:cs="Segoe UI"/>
          <w:color w:val="242424"/>
          <w:sz w:val="23"/>
          <w:szCs w:val="23"/>
          <w:shd w:val="clear" w:color="auto" w:fill="FFFFFF"/>
        </w:rPr>
        <w:t xml:space="preserve"> configurations are adopted without grid search </w:t>
      </w:r>
      <w:proofErr w:type="spellStart"/>
      <w:r>
        <w:rPr>
          <w:rFonts w:ascii="Segoe UI" w:hAnsi="Segoe UI" w:cs="Segoe UI"/>
          <w:color w:val="242424"/>
          <w:sz w:val="23"/>
          <w:szCs w:val="23"/>
          <w:shd w:val="clear" w:color="auto" w:fill="FFFFFF"/>
        </w:rPr>
        <w:t>hyperparameter</w:t>
      </w:r>
      <w:proofErr w:type="spellEnd"/>
      <w:r>
        <w:rPr>
          <w:rFonts w:ascii="Segoe UI" w:hAnsi="Segoe UI" w:cs="Segoe UI"/>
          <w:color w:val="242424"/>
          <w:sz w:val="23"/>
          <w:szCs w:val="23"/>
          <w:shd w:val="clear" w:color="auto" w:fill="FFFFFF"/>
        </w:rPr>
        <w:t xml:space="preserve"> tuning, which fails to fully reflect the potential of Transformers. It is recommended to state this experimental constraint or add lightweight </w:t>
      </w:r>
      <w:proofErr w:type="spellStart"/>
      <w:r>
        <w:rPr>
          <w:rFonts w:ascii="Segoe UI" w:hAnsi="Segoe UI" w:cs="Segoe UI"/>
          <w:color w:val="242424"/>
          <w:sz w:val="23"/>
          <w:szCs w:val="23"/>
          <w:shd w:val="clear" w:color="auto" w:fill="FFFFFF"/>
        </w:rPr>
        <w:t>ViT</w:t>
      </w:r>
      <w:proofErr w:type="spellEnd"/>
      <w:r>
        <w:rPr>
          <w:rFonts w:ascii="Segoe UI" w:hAnsi="Segoe UI" w:cs="Segoe UI"/>
          <w:color w:val="242424"/>
          <w:sz w:val="23"/>
          <w:szCs w:val="23"/>
          <w:shd w:val="clear" w:color="auto" w:fill="FFFFFF"/>
        </w:rPr>
        <w:t xml:space="preserve"> models for comparison.</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Only p values are reported for </w:t>
      </w:r>
      <w:proofErr w:type="spellStart"/>
      <w:r>
        <w:rPr>
          <w:rFonts w:ascii="Segoe UI" w:hAnsi="Segoe UI" w:cs="Segoe UI"/>
          <w:color w:val="242424"/>
          <w:sz w:val="23"/>
          <w:szCs w:val="23"/>
          <w:shd w:val="clear" w:color="auto" w:fill="FFFFFF"/>
        </w:rPr>
        <w:t>McNemar’s</w:t>
      </w:r>
      <w:proofErr w:type="spellEnd"/>
      <w:r>
        <w:rPr>
          <w:rFonts w:ascii="Segoe UI" w:hAnsi="Segoe UI" w:cs="Segoe UI"/>
          <w:color w:val="242424"/>
          <w:sz w:val="23"/>
          <w:szCs w:val="23"/>
          <w:shd w:val="clear" w:color="auto" w:fill="FFFFFF"/>
        </w:rPr>
        <w:t xml:space="preserve"> test. Examples of confusion matrices should be supplemented to intuitively demonstrate misclassified sample differences among models and improve the readability of statistical outcomes.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Grad CAM++ is only demonstrated via qualitative </w:t>
      </w:r>
      <w:proofErr w:type="spellStart"/>
      <w:r>
        <w:rPr>
          <w:rFonts w:ascii="Segoe UI" w:hAnsi="Segoe UI" w:cs="Segoe UI"/>
          <w:color w:val="242424"/>
          <w:sz w:val="23"/>
          <w:szCs w:val="23"/>
          <w:shd w:val="clear" w:color="auto" w:fill="FFFFFF"/>
        </w:rPr>
        <w:t>heatmaps</w:t>
      </w:r>
      <w:proofErr w:type="spellEnd"/>
      <w:r>
        <w:rPr>
          <w:rFonts w:ascii="Segoe UI" w:hAnsi="Segoe UI" w:cs="Segoe UI"/>
          <w:color w:val="242424"/>
          <w:sz w:val="23"/>
          <w:szCs w:val="23"/>
          <w:shd w:val="clear" w:color="auto" w:fill="FFFFFF"/>
        </w:rPr>
        <w:t xml:space="preserve"> without quantitative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 xml:space="preserve"> metrics. Quantitative lesion localization assessment should be added to underpin conclusions on model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w:t>
      </w:r>
      <w:r>
        <w:rPr>
          <w:rFonts w:ascii="Segoe UI" w:hAnsi="Segoe UI" w:cs="Segoe UI"/>
          <w:color w:val="242424"/>
          <w:sz w:val="23"/>
          <w:szCs w:val="23"/>
        </w:rPr>
        <w:br/>
      </w:r>
      <w:r>
        <w:rPr>
          <w:rFonts w:ascii="Segoe UI" w:hAnsi="Segoe UI" w:cs="Segoe UI"/>
          <w:color w:val="242424"/>
          <w:sz w:val="23"/>
          <w:szCs w:val="23"/>
          <w:shd w:val="clear" w:color="auto" w:fill="FFFFFF"/>
        </w:rPr>
        <w:t>Computational efficiency profiling is performed solely on a single GPU. Tests on CPUs and edge embedded devices should be supplemented to better guide grassroots level clinical deployment.</w:t>
      </w:r>
    </w:p>
    <w:p w:rsidR="00564F9A" w:rsidRDefault="00564F9A">
      <w:pPr>
        <w:rPr>
          <w:rFonts w:ascii="Segoe UI" w:hAnsi="Segoe UI" w:cs="Segoe UI"/>
          <w:color w:val="242424"/>
          <w:sz w:val="23"/>
          <w:szCs w:val="23"/>
          <w:shd w:val="clear" w:color="auto" w:fill="FFFFFF"/>
        </w:rPr>
      </w:pPr>
    </w:p>
    <w:p w:rsidR="00564F9A" w:rsidRDefault="00564F9A">
      <w:r>
        <w:rPr>
          <w:rFonts w:ascii="Segoe UI" w:hAnsi="Segoe UI" w:cs="Segoe UI"/>
          <w:color w:val="242424"/>
          <w:sz w:val="23"/>
          <w:szCs w:val="23"/>
          <w:shd w:val="clear" w:color="auto" w:fill="FFFFFF"/>
        </w:rPr>
        <w:t>Reviewer: 2</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lastRenderedPageBreak/>
        <w:t>Comments:</w:t>
      </w:r>
      <w:r>
        <w:rPr>
          <w:rFonts w:ascii="Segoe UI" w:hAnsi="Segoe UI" w:cs="Segoe UI"/>
          <w:color w:val="242424"/>
          <w:sz w:val="23"/>
          <w:szCs w:val="23"/>
        </w:rPr>
        <w:br/>
      </w:r>
      <w:r>
        <w:rPr>
          <w:rFonts w:ascii="Segoe UI" w:hAnsi="Segoe UI" w:cs="Segoe UI"/>
          <w:color w:val="242424"/>
          <w:sz w:val="23"/>
          <w:szCs w:val="23"/>
          <w:shd w:val="clear" w:color="auto" w:fill="FFFFFF"/>
        </w:rPr>
        <w:t>The paper presents interesting methodologies; however, the reviewer has several comments as follows.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1. The paper observes the clinical safety risk of majority class collapse for VGG 19 and </w:t>
      </w:r>
      <w:proofErr w:type="spellStart"/>
      <w:r>
        <w:rPr>
          <w:rFonts w:ascii="Segoe UI" w:hAnsi="Segoe UI" w:cs="Segoe UI"/>
          <w:color w:val="242424"/>
          <w:sz w:val="23"/>
          <w:szCs w:val="23"/>
          <w:shd w:val="clear" w:color="auto" w:fill="FFFFFF"/>
        </w:rPr>
        <w:t>Swin</w:t>
      </w:r>
      <w:proofErr w:type="spellEnd"/>
      <w:r>
        <w:rPr>
          <w:rFonts w:ascii="Segoe UI" w:hAnsi="Segoe UI" w:cs="Segoe UI"/>
          <w:color w:val="242424"/>
          <w:sz w:val="23"/>
          <w:szCs w:val="23"/>
          <w:shd w:val="clear" w:color="auto" w:fill="FFFFFF"/>
        </w:rPr>
        <w:t xml:space="preserve"> Tiny. However, it lacks theoretical attribution analysis and merely describes experimental phenomena. It does not derive the internal mechanism among model architectural characteristics (e.g., absence of batch normalization layers, window based attention mechanism, transfer learning adaptability), loss functions and class imbalance; only engineering mitigation measures are provided. Supplementary theoretical analysis is suggested to explain why certain architectures are more prone to majority class prediction collapse under moderate class imbalance conditions, and to clarify the inherent links between architectural flaws and failure modes.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2. This work adopts Grad CAM++ for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 xml:space="preserve"> analysis, yet only validates model focus on lung regions via qualitative heat map visualization. Quantifiable evaluation metrics for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 xml:space="preserve"> are missing. There is no theoretical definition for the validity of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 xml:space="preserve"> outputs, nor a quantitative evaluation paradigm bridging heat map masks and ground truth annotations of pneumonia lesions. It is recommended to introduce quantitative metrics such as lesion level </w:t>
      </w:r>
      <w:proofErr w:type="spellStart"/>
      <w:r>
        <w:rPr>
          <w:rFonts w:ascii="Segoe UI" w:hAnsi="Segoe UI" w:cs="Segoe UI"/>
          <w:color w:val="242424"/>
          <w:sz w:val="23"/>
          <w:szCs w:val="23"/>
          <w:shd w:val="clear" w:color="auto" w:fill="FFFFFF"/>
        </w:rPr>
        <w:t>IoU</w:t>
      </w:r>
      <w:proofErr w:type="spellEnd"/>
      <w:r>
        <w:rPr>
          <w:rFonts w:ascii="Segoe UI" w:hAnsi="Segoe UI" w:cs="Segoe UI"/>
          <w:color w:val="242424"/>
          <w:sz w:val="23"/>
          <w:szCs w:val="23"/>
          <w:shd w:val="clear" w:color="auto" w:fill="FFFFFF"/>
        </w:rPr>
        <w:t xml:space="preserve"> and attention scores, and to theoretically define qualification criteria for </w:t>
      </w:r>
      <w:proofErr w:type="spellStart"/>
      <w:r>
        <w:rPr>
          <w:rFonts w:ascii="Segoe UI" w:hAnsi="Segoe UI" w:cs="Segoe UI"/>
          <w:color w:val="242424"/>
          <w:sz w:val="23"/>
          <w:szCs w:val="23"/>
          <w:shd w:val="clear" w:color="auto" w:fill="FFFFFF"/>
        </w:rPr>
        <w:t>explainability</w:t>
      </w:r>
      <w:proofErr w:type="spellEnd"/>
      <w:r>
        <w:rPr>
          <w:rFonts w:ascii="Segoe UI" w:hAnsi="Segoe UI" w:cs="Segoe UI"/>
          <w:color w:val="242424"/>
          <w:sz w:val="23"/>
          <w:szCs w:val="23"/>
          <w:shd w:val="clear" w:color="auto" w:fill="FFFFFF"/>
        </w:rPr>
        <w:t xml:space="preserve"> results in medical image tasks, instead of relying purely on subjective visual inspection of heat maps.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3. All experiments are trained and validated solely on one merged mixed dataset. Cross dataset generalization experiments are absent. The reported observations including majority class collapse, model performance ranking and clinical safety conclusions have not been reproduced on external independent datasets (e.g., </w:t>
      </w:r>
      <w:proofErr w:type="spellStart"/>
      <w:r>
        <w:rPr>
          <w:rFonts w:ascii="Segoe UI" w:hAnsi="Segoe UI" w:cs="Segoe UI"/>
          <w:color w:val="242424"/>
          <w:sz w:val="23"/>
          <w:szCs w:val="23"/>
          <w:shd w:val="clear" w:color="auto" w:fill="FFFFFF"/>
        </w:rPr>
        <w:t>CheXpert</w:t>
      </w:r>
      <w:proofErr w:type="spellEnd"/>
      <w:r>
        <w:rPr>
          <w:rFonts w:ascii="Segoe UI" w:hAnsi="Segoe UI" w:cs="Segoe UI"/>
          <w:color w:val="242424"/>
          <w:sz w:val="23"/>
          <w:szCs w:val="23"/>
          <w:shd w:val="clear" w:color="auto" w:fill="FFFFFF"/>
        </w:rPr>
        <w:t>, MIMIC CXR). Cross dataset validation experiments should be added to examine model performance and verify whether majority class collapse recurs under varying data distributions and hospital acquisition hardware, so as to improve the generalizability of conclusions.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4. This study identifies the majority class collapse issue but only lists optional strategies such as weighted loss and resampling without corresponding ablation comparison experiments. Under identical experimental settings, it has not been verified whether weighted cross entropy, SMOTE, ensemble methods and other approaches can mitigate majority class collapse of VGG 19 and </w:t>
      </w:r>
      <w:proofErr w:type="spellStart"/>
      <w:r>
        <w:rPr>
          <w:rFonts w:ascii="Segoe UI" w:hAnsi="Segoe UI" w:cs="Segoe UI"/>
          <w:color w:val="242424"/>
          <w:sz w:val="23"/>
          <w:szCs w:val="23"/>
          <w:shd w:val="clear" w:color="auto" w:fill="FFFFFF"/>
        </w:rPr>
        <w:t>Swin</w:t>
      </w:r>
      <w:proofErr w:type="spellEnd"/>
      <w:r>
        <w:rPr>
          <w:rFonts w:ascii="Segoe UI" w:hAnsi="Segoe UI" w:cs="Segoe UI"/>
          <w:color w:val="242424"/>
          <w:sz w:val="23"/>
          <w:szCs w:val="23"/>
          <w:shd w:val="clear" w:color="auto" w:fill="FFFFFF"/>
        </w:rPr>
        <w:t xml:space="preserve"> Tiny. Quantitative comparisons of recall, F1 score and stability under different mitigation schemes are lacking. Supplementary ablation experiments are recommended to horizontally compare the repairing effects of diverse imbalance handling strategies on failure prone models, so as to provide more solid experimental evidence for clinical deployment.</w:t>
      </w:r>
      <w:bookmarkStart w:id="0" w:name="_GoBack"/>
      <w:bookmarkEnd w:id="0"/>
    </w:p>
    <w:sectPr w:rsidR="00564F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C4D"/>
    <w:rsid w:val="00564F9A"/>
    <w:rsid w:val="00CB52CE"/>
    <w:rsid w:val="00DD6C4D"/>
    <w:rsid w:val="00EE48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45F1"/>
  <w15:chartTrackingRefBased/>
  <w15:docId w15:val="{3141F71A-DEE4-4C78-9707-428FA99A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2026-10-15T11:59:00Z</dcterms:created>
  <dcterms:modified xsi:type="dcterms:W3CDTF">2026-10-15T11:59:00Z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ec2d6c0ea364e5b5461e228c4da58bb3800222b25a37defbdbcb44335e1aac2f</vt:lpwstr>
  </property>
</Properties>
</file>