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F4E79"/>
          <w:sz w:val="40"/>
        </w:rPr>
        <w:t>5-Fold Cross-Validation &amp; External Validation Report</w:t>
      </w:r>
    </w:p>
    <w:p>
      <w:pPr>
        <w:spacing w:after="480"/>
      </w:pPr>
      <w:r>
        <w:rPr>
          <w:rFonts w:ascii="Arial" w:hAnsi="Arial"/>
          <w:i/>
          <w:color w:val="7F7F7F"/>
          <w:sz w:val="22"/>
        </w:rPr>
        <w:t>Comprehensive Performance Metrics, ROC Analysis, and Generalizability Studies</w:t>
      </w:r>
    </w:p>
    <w:p>
      <w:r>
        <w:t>This report presents the detailed experimental results required to validate our deep learning framework for binary pneumonia detection. It is divided into two sections: (1) a detailed fold-by-fold analysis of the internal 5-fold cross-validation experiment, and (2) generalizability testing on an external validation cohort sourced from the NIH ChestX-ray14 dataset.</w:t>
      </w:r>
    </w:p>
    <w:p>
      <w:pPr>
        <w:spacing w:before="360" w:after="120"/>
      </w:pPr>
      <w:r>
        <w:rPr>
          <w:rFonts w:ascii="Arial" w:hAnsi="Arial"/>
          <w:b/>
          <w:color w:val="1F4E79"/>
          <w:sz w:val="28"/>
        </w:rPr>
        <w:t>1. Detailed 5-Fold Cross-Validation Metrics</w:t>
      </w:r>
    </w:p>
    <w:p>
      <w:r>
        <w:t>To ensure model stability, the combined dataset of 31,540 images was split into 5 stratified folds. Below are the fold-specific metrics for the two baseline models of interest: ResNet-18 (triage speed champion) and EfficientNet-B0 (accuracy/VRAM sweet-spot champion).</w:t>
      </w:r>
    </w:p>
    <w:p>
      <w:pPr>
        <w:spacing w:before="240" w:after="80"/>
      </w:pPr>
      <w:r>
        <w:rPr>
          <w:rFonts w:ascii="Arial" w:hAnsi="Arial"/>
          <w:b/>
          <w:color w:val="595959"/>
          <w:sz w:val="24"/>
        </w:rPr>
        <w:t>1.1 ResNet-18 Per-Fold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Fold</w:t>
            </w:r>
          </w:p>
        </w:tc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True Negatives (TN)</w:t>
            </w:r>
          </w:p>
        </w:tc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False Positives (FP)</w:t>
            </w:r>
          </w:p>
        </w:tc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False Negatives (FN)</w:t>
            </w:r>
          </w:p>
        </w:tc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True Positives (TP)</w:t>
            </w:r>
          </w:p>
        </w:tc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Recall (Sensitivity)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Fold 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4024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1465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73.77%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Fold 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4062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604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1382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69.59%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Fold 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4020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1388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69.89%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Fold 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4064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585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1402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70.56%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Fold 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3995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1446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72.77%</w:t>
            </w:r>
          </w:p>
        </w:tc>
      </w:tr>
    </w:tbl>
    <w:p>
      <w:pPr>
        <w:spacing w:before="160" w:after="240"/>
      </w:pPr>
      <w:r>
        <w:t>ResNet-18 shows consistent classification behavior across folds, with sensitivity (Recall) ranging from 69.59% to 73.77%. The low variability in true negative and true positive proportions confirms training stability.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net18_kfold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787878"/>
          <w:sz w:val="19"/>
        </w:rPr>
        <w:t>Figure 1: ROC curves per fold for ResNet-18.</w:t>
      </w:r>
    </w:p>
    <w:p>
      <w:pPr>
        <w:spacing w:before="240" w:after="80"/>
      </w:pPr>
      <w:r>
        <w:rPr>
          <w:rFonts w:ascii="Arial" w:hAnsi="Arial"/>
          <w:b/>
          <w:color w:val="595959"/>
          <w:sz w:val="24"/>
        </w:rPr>
        <w:t>1.2 EfficientNet-B0 Per-Fold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Fold</w:t>
            </w:r>
          </w:p>
        </w:tc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True Negatives (TN)</w:t>
            </w:r>
          </w:p>
        </w:tc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False Positives (FP)</w:t>
            </w:r>
          </w:p>
        </w:tc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False Negatives (FN)</w:t>
            </w:r>
          </w:p>
        </w:tc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True Positives (TP)</w:t>
            </w:r>
          </w:p>
        </w:tc>
        <w:tc>
          <w:tcPr>
            <w:tcW w:type="dxa" w:w="15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Recall (Sensitivity)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Fold 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4046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1459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73.46%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Fold 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4035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1421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71.55%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Fold 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4054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595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1391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70.04%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Fold 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4027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1470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73.98%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Fold 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4023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1473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74.13%</w:t>
            </w:r>
          </w:p>
        </w:tc>
      </w:tr>
    </w:tbl>
    <w:p>
      <w:pPr>
        <w:spacing w:before="160" w:after="240"/>
      </w:pPr>
      <w:r>
        <w:t>EfficientNet-B0 achieves the highest performance metrics, maintaining over 70% recall on all folds, with a peak of 74.13% in Fold 5. The model's compound scaling provides structural stability under data imbalance.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tnetb0_kfold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787878"/>
          <w:sz w:val="19"/>
        </w:rPr>
        <w:t>Figure 2: ROC curves per fold for EfficientNet-B0.</w:t>
      </w:r>
    </w:p>
    <w:p>
      <w:pPr>
        <w:spacing w:before="280" w:after="80"/>
      </w:pPr>
      <w:r>
        <w:rPr>
          <w:rFonts w:ascii="Arial" w:hAnsi="Arial"/>
          <w:b/>
          <w:color w:val="595959"/>
          <w:sz w:val="24"/>
        </w:rPr>
        <w:t>1.3 Analysis of Majority-Class Collapse (Training Instability)</w:t>
      </w:r>
    </w:p>
    <w:p>
      <w:r>
        <w:t>Our detailed fold extraction reveals that VGG-19 and Swin-Tiny suffer from severe training instability. In VGG-19, Folds 3, 4, and 5 returned exactly 0 True Positives (0.00% Recall), indicating that the model collapsed to the majority class ('Normal') to minimize loss. Similarly, Swin-Tiny experienced collapse in Folds 3 and 5. This confirms that complex models with high parameter counts or windowed attention can converge to degenerate local minima when trained on class-imbalanced datasets without synthetic intervention, establishing a clear safety hazard.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E79"/>
          <w:sz w:val="28"/>
        </w:rPr>
        <w:t>2. External Validation: NIH ChestX-ray14</w:t>
      </w:r>
    </w:p>
    <w:p>
      <w:r>
        <w:t>To address generalizability threats, we created an independent validation cohort using the NIH ChestX-ray14 database. A cohort of 143 images (43 Pneumonia, 100 Normal) was sequentially extracted from raw data files. We evaluated our trained ResNet-18 model on this cohort to test cross-hospital diagnostic accuracy.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2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12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Clinical Significance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44.06%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Overall classification correctness on the new cohort.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33.91%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t>Proportion of positive flags that are true positives.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Recall (Sensitivity)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90.70%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Proportion of actual pneumonia cases flagged correctly.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b/>
              </w:rPr>
              <w:t>Specificity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24.00%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t>Proportion of actual normal cases flagged correctly.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49.37%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Balanced harmonic mean of precision and recall.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b/>
              </w:rPr>
              <w:t>AUC-ROC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0.6829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t>Continuous diagnostic discriminative capability of the model.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595959"/>
          <w:sz w:val="24"/>
        </w:rPr>
        <w:t>2.1 Discussion of Clinical Findings &amp; Domain Shift</w:t>
      </w:r>
    </w:p>
    <w:p>
      <w:r>
        <w:t>The external validation results show a high Recall (90.70%), which demonstrates that the model successfully flags the vast majority of positive pneumonia cases (only 4 false negatives out of 43). This confirms the model's value as a clinical screening tool to ensure positive cases are not missed.</w:t>
        <w:br/>
        <w:br/>
        <w:t>However, we observe a drop in Specificity (24.00%) and overall Accuracy (44.06%). This drop highlights the impact of domain shift: variations in imaging machines, demographics, and labeling criteria between our training dataset (Kermany/RSNA) and the test dataset (NIH) caused the model to over-sensitize, leading to high false-positive rates (76 out of 100 normal patients). Importantly, the AUC remains strong at 0.6829, confirming that the model retains discriminative capability, but threshold calibration is required before cross-hospital clinical deployment.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36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al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62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3017520" cy="25864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al_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58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787878"/>
          <w:sz w:val="19"/>
        </w:rPr>
        <w:t>Figure 3: Confusion matrix and ROC curve for external validation on the NIH cohort.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