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i w:val="0"/>
          <w:sz w:val="32"/>
        </w:rPr>
        <w:t>Reality Check: Data Leakage and Imaging Shortcuts in 2D Brain-Tumor MRI Classification on Figshare-Style Benchmarks</w:t>
      </w:r>
    </w:p>
    <w:p>
      <w:pPr>
        <w:jc w:val="center"/>
      </w:pPr>
      <w:r>
        <w:rPr>
          <w:rFonts w:ascii="Times New Roman" w:hAnsi="Times New Roman" w:eastAsia="Times New Roman"/>
          <w:b w:val="0"/>
          <w:i/>
          <w:sz w:val="22"/>
        </w:rPr>
        <w:t>brain-tumor-radiogenomics — Paper A experimental manuscript draft</w:t>
      </w:r>
    </w:p>
    <w:p>
      <w:pPr>
        <w:spacing w:after="360"/>
        <w:jc w:val="center"/>
      </w:pPr>
      <w:r>
        <w:rPr>
          <w:rFonts w:ascii="Times New Roman" w:hAnsi="Times New Roman" w:eastAsia="Times New Roman"/>
          <w:b w:val="0"/>
          <w:i/>
          <w:color w:val="505050"/>
          <w:sz w:val="18"/>
        </w:rPr>
        <w:t>Working draft generated from frozen experiment artifacts (Paper_A_Leakage_Shortcuts_Manuscript.docx). Not a camera-ready journal submission.</w:t>
      </w:r>
    </w:p>
    <w:p>
      <w:pPr>
        <w:spacing w:before="360" w:after="120" w:line="276" w:lineRule="auto"/>
      </w:pPr>
      <w:r>
        <w:rPr>
          <w:rFonts w:ascii="Times New Roman" w:hAnsi="Times New Roman" w:eastAsia="Times New Roman"/>
          <w:b/>
          <w:i w:val="0"/>
          <w:sz w:val="28"/>
        </w:rPr>
        <w:t>Abstract</w:t>
      </w:r>
    </w:p>
    <w:p>
      <w:pPr>
        <w:spacing w:after="160" w:before="0" w:line="480" w:lineRule="auto"/>
        <w:jc w:val="both"/>
      </w:pPr>
      <w:r>
        <w:rPr>
          <w:rFonts w:ascii="Times New Roman" w:hAnsi="Times New Roman" w:eastAsia="Times New Roman"/>
          <w:b w:val="0"/>
          <w:i w:val="0"/>
          <w:sz w:val="22"/>
        </w:rPr>
        <w:t>High accuracies (often 98–99%) are routinely reported for convolutional neural networks on the Jun Cheng Figshare 2D brain-tumor MRI dataset. We ask how much of that performance reflects genuine patient-level generalization versus data leakage and non-tumor shortcuts. Using the same ResNet-18 recipe, we compare official patient-level five-fold cross-validation against an intentionally leaky slice-level random split, audit near-duplicate slices with perceptual hashing, evaluate Grad-CAM explanations, and run tumor-masked controls that zero the annotated tumor region. Patient-level ResNet-18 achieves mean macro-F1 0.951 ± 0.013 and accuracy 0.956 ± 0.013. The leaky slice-level protocol reaches macro-F1 0.978 while 99.0% of validation slices share patients with the training set. Zeroing tumors at evaluation drops fold-1 macro-F1 from 0.962 to 0.816, yet training from scratch on tumor-zeroed images still recovers macro-F1 0.957. We conclude that patient-level splits are necessary, that slice-level reporting systematically inflates scores, and that Figshare-style 2D benchmarks remain vulnerable to background shortcuts even when models attend to tumor tissue.</w:t>
      </w:r>
    </w:p>
    <w:p>
      <w:pPr>
        <w:spacing w:after="280" w:before="0" w:line="480" w:lineRule="auto"/>
        <w:jc w:val="both"/>
      </w:pPr>
      <w:r>
        <w:rPr>
          <w:rFonts w:ascii="Times New Roman" w:hAnsi="Times New Roman" w:eastAsia="Times New Roman"/>
          <w:b w:val="0"/>
          <w:i/>
          <w:sz w:val="22"/>
        </w:rPr>
        <w:t>Keywords: brain tumor MRI; data leakage; patient-level cross-validation; shortcut learning; Grad-CAM; Figshare; trustworthy medical AI.</w:t>
      </w:r>
    </w:p>
    <w:p>
      <w:pPr>
        <w:spacing w:before="360" w:after="120" w:line="276" w:lineRule="auto"/>
      </w:pPr>
      <w:r>
        <w:rPr>
          <w:rFonts w:ascii="Times New Roman" w:hAnsi="Times New Roman" w:eastAsia="Times New Roman"/>
          <w:b/>
          <w:i w:val="0"/>
          <w:sz w:val="28"/>
        </w:rPr>
        <w:t>1. Introduction</w:t>
      </w:r>
    </w:p>
    <w:p>
      <w:pPr>
        <w:spacing w:after="160" w:before="0" w:line="480" w:lineRule="auto"/>
        <w:ind w:firstLine="720"/>
        <w:jc w:val="both"/>
      </w:pPr>
      <w:r>
        <w:rPr>
          <w:rFonts w:ascii="Times New Roman" w:hAnsi="Times New Roman" w:eastAsia="Times New Roman"/>
          <w:b w:val="0"/>
          <w:i w:val="0"/>
          <w:sz w:val="22"/>
        </w:rPr>
        <w:t>Public 2D MRI collections such as the Jun Cheng Figshare brain-tumor dataset (3,064 contrast-enhanced T1-weighted slices from 233 patients; meningioma, glioma, pituitary) have become a default playground for deep classification papers. Many report near-perfect accuracy. Reviewers increasingly ask whether those numbers arise from leakage—especially slice-level splits that place different slices of the same patient in both train and test—or from shortcuts unrelated to tumor morphology (imaging plane, skull outline, intensity context outside the lesion).</w:t>
      </w:r>
    </w:p>
    <w:p>
      <w:pPr>
        <w:spacing w:after="160" w:before="0" w:line="480" w:lineRule="auto"/>
        <w:ind w:firstLine="720"/>
        <w:jc w:val="both"/>
      </w:pPr>
      <w:r>
        <w:rPr>
          <w:rFonts w:ascii="Times New Roman" w:hAnsi="Times New Roman" w:eastAsia="Times New Roman"/>
          <w:b w:val="0"/>
          <w:i w:val="0"/>
          <w:sz w:val="22"/>
        </w:rPr>
        <w:t>This manuscript packages Paper A of the brain-tumor-radiogenomics program: a methodology / meta-science study that freezes patient-level folds derived from the official cvind indices, trains a transparent ResNet-18 baseline, and stress-tests the claim surface with audits. We deliberately do not position a new state-of-the-art classifier as the contribution. The contribution is a quantified reality check and a reproducible experiment package.</w:t>
      </w:r>
    </w:p>
    <w:p>
      <w:pPr>
        <w:spacing w:after="160" w:before="0" w:line="480" w:lineRule="auto"/>
        <w:ind w:firstLine="720"/>
        <w:jc w:val="both"/>
      </w:pPr>
      <w:r>
        <w:rPr>
          <w:rFonts w:ascii="Times New Roman" w:hAnsi="Times New Roman" w:eastAsia="Times New Roman"/>
          <w:b w:val="0"/>
          <w:i w:val="0"/>
          <w:sz w:val="22"/>
        </w:rPr>
        <w:t>Our research question is: how much of the widely reported 98–99% accuracy on Figshare-style 2D brain-tumor classification comes from data leakage and shortcuts versus genuine patient-level generalization?</w:t>
      </w:r>
    </w:p>
    <w:p>
      <w:pPr>
        <w:spacing w:before="360" w:after="120" w:line="276" w:lineRule="auto"/>
      </w:pPr>
      <w:r>
        <w:rPr>
          <w:rFonts w:ascii="Times New Roman" w:hAnsi="Times New Roman" w:eastAsia="Times New Roman"/>
          <w:b/>
          <w:i w:val="0"/>
          <w:sz w:val="28"/>
        </w:rPr>
        <w:t>2. Related work and split protocols</w:t>
      </w:r>
    </w:p>
    <w:p>
      <w:pPr>
        <w:spacing w:after="160" w:before="0" w:line="480" w:lineRule="auto"/>
        <w:ind w:firstLine="720"/>
        <w:jc w:val="both"/>
      </w:pPr>
      <w:r>
        <w:rPr>
          <w:rFonts w:ascii="Times New Roman" w:hAnsi="Times New Roman" w:eastAsia="Times New Roman"/>
          <w:b w:val="0"/>
          <w:i w:val="0"/>
          <w:sz w:val="22"/>
        </w:rPr>
        <w:t>Prior Figshare studies span classical CNNs, CapsNets, hybrid CNN–SVM pipelines, and attention variants. Reporting practices vary widely: some cite patient-wise folds from cvind, while many describe random slice hold-outs without documenting patient overlap. Table 4 summarizes a compact literature snapshot used for discussion; it is not an exhaustive systematic review.</w:t>
      </w:r>
    </w:p>
    <w:p>
      <w:pPr>
        <w:spacing w:before="80" w:after="240" w:line="240" w:lineRule="auto"/>
        <w:jc w:val="center"/>
      </w:pPr>
      <w:r>
        <w:rPr>
          <w:rFonts w:ascii="Times New Roman" w:hAnsi="Times New Roman" w:eastAsia="Times New Roman"/>
          <w:b w:val="0"/>
          <w:i/>
          <w:sz w:val="20"/>
        </w:rPr>
        <w:t>Table 4. Illustrative comparison of Figshare split practices (literature snapshot).</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
              <w:rPr>
                <w:rFonts w:ascii="Times New Roman" w:hAnsi="Times New Roman" w:eastAsia="Times New Roman"/>
                <w:b/>
                <w:i w:val="0"/>
                <w:sz w:val="20"/>
              </w:rPr>
              <w:t>Study (illustrative)</w:t>
            </w:r>
          </w:p>
        </w:tc>
        <w:tc>
          <w:tcPr>
            <w:tcW w:type="dxa" w:w="3120"/>
          </w:tcPr>
          <w:p>
            <w:pPr>
              <w:jc w:val="center"/>
            </w:pPr>
            <w:r/>
            <w:r>
              <w:rPr>
                <w:rFonts w:ascii="Times New Roman" w:hAnsi="Times New Roman" w:eastAsia="Times New Roman"/>
                <w:b/>
                <w:i w:val="0"/>
                <w:sz w:val="20"/>
              </w:rPr>
              <w:t>Typical claim</w:t>
            </w:r>
          </w:p>
        </w:tc>
        <w:tc>
          <w:tcPr>
            <w:tcW w:type="dxa" w:w="3120"/>
          </w:tcPr>
          <w:p>
            <w:pPr>
              <w:jc w:val="center"/>
            </w:pPr>
            <w:r/>
            <w:r>
              <w:rPr>
                <w:rFonts w:ascii="Times New Roman" w:hAnsi="Times New Roman" w:eastAsia="Times New Roman"/>
                <w:b/>
                <w:i w:val="0"/>
                <w:sz w:val="20"/>
              </w:rPr>
              <w:t>Split practice (as commonly reported)</w:t>
            </w:r>
          </w:p>
        </w:tc>
      </w:tr>
      <w:tr>
        <w:tc>
          <w:tcPr>
            <w:tcW w:type="dxa" w:w="3120"/>
          </w:tcPr>
          <w:p>
            <w:pPr>
              <w:jc w:val="center"/>
            </w:pPr>
            <w:r/>
            <w:r>
              <w:rPr>
                <w:rFonts w:ascii="Times New Roman" w:hAnsi="Times New Roman" w:eastAsia="Times New Roman"/>
                <w:b w:val="0"/>
                <w:i w:val="0"/>
                <w:sz w:val="20"/>
              </w:rPr>
              <w:t>Cheng et al. (dataset)</w:t>
            </w:r>
          </w:p>
        </w:tc>
        <w:tc>
          <w:tcPr>
            <w:tcW w:type="dxa" w:w="3120"/>
          </w:tcPr>
          <w:p>
            <w:pPr>
              <w:jc w:val="center"/>
            </w:pPr>
            <w:r/>
            <w:r>
              <w:rPr>
                <w:rFonts w:ascii="Times New Roman" w:hAnsi="Times New Roman" w:eastAsia="Times New Roman"/>
                <w:b w:val="0"/>
                <w:i w:val="0"/>
                <w:sz w:val="20"/>
              </w:rPr>
              <w:t>Baseline resource</w:t>
            </w:r>
          </w:p>
        </w:tc>
        <w:tc>
          <w:tcPr>
            <w:tcW w:type="dxa" w:w="3120"/>
          </w:tcPr>
          <w:p>
            <w:pPr>
              <w:jc w:val="center"/>
            </w:pPr>
            <w:r/>
            <w:r>
              <w:rPr>
                <w:rFonts w:ascii="Times New Roman" w:hAnsi="Times New Roman" w:eastAsia="Times New Roman"/>
                <w:b w:val="0"/>
                <w:i w:val="0"/>
                <w:sz w:val="20"/>
              </w:rPr>
              <w:t>Official cvind patient folds</w:t>
            </w:r>
          </w:p>
        </w:tc>
      </w:tr>
      <w:tr>
        <w:tc>
          <w:tcPr>
            <w:tcW w:type="dxa" w:w="3120"/>
          </w:tcPr>
          <w:p>
            <w:pPr>
              <w:jc w:val="center"/>
            </w:pPr>
            <w:r/>
            <w:r>
              <w:rPr>
                <w:rFonts w:ascii="Times New Roman" w:hAnsi="Times New Roman" w:eastAsia="Times New Roman"/>
                <w:b w:val="0"/>
                <w:i w:val="0"/>
                <w:sz w:val="20"/>
              </w:rPr>
              <w:t>Many CNN / CapsNet papers</w:t>
            </w:r>
          </w:p>
        </w:tc>
        <w:tc>
          <w:tcPr>
            <w:tcW w:type="dxa" w:w="3120"/>
          </w:tcPr>
          <w:p>
            <w:pPr>
              <w:jc w:val="center"/>
            </w:pPr>
            <w:r/>
            <w:r>
              <w:rPr>
                <w:rFonts w:ascii="Times New Roman" w:hAnsi="Times New Roman" w:eastAsia="Times New Roman"/>
                <w:b w:val="0"/>
                <w:i w:val="0"/>
                <w:sz w:val="20"/>
              </w:rPr>
              <w:t>≈98–99% accuracy</w:t>
            </w:r>
          </w:p>
        </w:tc>
        <w:tc>
          <w:tcPr>
            <w:tcW w:type="dxa" w:w="3120"/>
          </w:tcPr>
          <w:p>
            <w:pPr>
              <w:jc w:val="center"/>
            </w:pPr>
            <w:r/>
            <w:r>
              <w:rPr>
                <w:rFonts w:ascii="Times New Roman" w:hAnsi="Times New Roman" w:eastAsia="Times New Roman"/>
                <w:b w:val="0"/>
                <w:i w:val="0"/>
                <w:sz w:val="20"/>
              </w:rPr>
              <w:t>Often slice-level or unclear</w:t>
            </w:r>
          </w:p>
        </w:tc>
      </w:tr>
      <w:tr>
        <w:tc>
          <w:tcPr>
            <w:tcW w:type="dxa" w:w="3120"/>
          </w:tcPr>
          <w:p>
            <w:pPr>
              <w:jc w:val="center"/>
            </w:pPr>
            <w:r/>
            <w:r>
              <w:rPr>
                <w:rFonts w:ascii="Times New Roman" w:hAnsi="Times New Roman" w:eastAsia="Times New Roman"/>
                <w:b w:val="0"/>
                <w:i w:val="0"/>
                <w:sz w:val="20"/>
              </w:rPr>
              <w:t>This work (Paper A)</w:t>
            </w:r>
          </w:p>
        </w:tc>
        <w:tc>
          <w:tcPr>
            <w:tcW w:type="dxa" w:w="3120"/>
          </w:tcPr>
          <w:p>
            <w:pPr>
              <w:jc w:val="center"/>
            </w:pPr>
            <w:r/>
            <w:r>
              <w:rPr>
                <w:rFonts w:ascii="Times New Roman" w:hAnsi="Times New Roman" w:eastAsia="Times New Roman"/>
                <w:b w:val="0"/>
                <w:i w:val="0"/>
                <w:sz w:val="20"/>
              </w:rPr>
              <w:t>Honest ~95% macro-F1</w:t>
            </w:r>
          </w:p>
        </w:tc>
        <w:tc>
          <w:tcPr>
            <w:tcW w:type="dxa" w:w="3120"/>
          </w:tcPr>
          <w:p>
            <w:pPr>
              <w:jc w:val="center"/>
            </w:pPr>
            <w:r/>
            <w:r>
              <w:rPr>
                <w:rFonts w:ascii="Times New Roman" w:hAnsi="Times New Roman" w:eastAsia="Times New Roman"/>
                <w:b w:val="0"/>
                <w:i w:val="0"/>
                <w:sz w:val="20"/>
              </w:rPr>
              <w:t>Frozen patient-level 5-fold + leaky contrast</w:t>
            </w:r>
          </w:p>
        </w:tc>
      </w:tr>
    </w:tbl>
    <w:p/>
    <w:p>
      <w:pPr>
        <w:spacing w:before="360" w:after="120" w:line="276" w:lineRule="auto"/>
      </w:pPr>
      <w:r>
        <w:rPr>
          <w:rFonts w:ascii="Times New Roman" w:hAnsi="Times New Roman" w:eastAsia="Times New Roman"/>
          <w:b/>
          <w:i w:val="0"/>
          <w:sz w:val="28"/>
        </w:rPr>
        <w:t>3. Methods</w:t>
      </w:r>
    </w:p>
    <w:p>
      <w:pPr>
        <w:spacing w:before="240" w:after="120" w:line="276" w:lineRule="auto"/>
      </w:pPr>
      <w:r>
        <w:rPr>
          <w:rFonts w:ascii="Times New Roman" w:hAnsi="Times New Roman" w:eastAsia="Times New Roman"/>
          <w:b/>
          <w:i w:val="0"/>
          <w:sz w:val="24"/>
        </w:rPr>
        <w:t>3.1 Dataset</w:t>
      </w:r>
    </w:p>
    <w:p>
      <w:pPr>
        <w:spacing w:after="160" w:before="0" w:line="480" w:lineRule="auto"/>
        <w:ind w:firstLine="720"/>
        <w:jc w:val="both"/>
      </w:pPr>
      <w:r>
        <w:rPr>
          <w:rFonts w:ascii="Times New Roman" w:hAnsi="Times New Roman" w:eastAsia="Times New Roman"/>
          <w:b w:val="0"/>
          <w:i w:val="0"/>
          <w:sz w:val="22"/>
        </w:rPr>
        <w:t>We use the Jun Cheng Figshare collection (DOI 10.6084/m9.figshare.1512427; CC BY 4.0): 3,064 T1c slices, 233 patients, three classes (1=meningioma, 2=glioma, 3=pituitary), with per-slice tumor masks. A packaged PNG export and frozen splits CSV were used for GPU training on Kaggle (`itxsamad/btlab-figshare-paper-a`).</w:t>
      </w:r>
    </w:p>
    <w:p>
      <w:pPr>
        <w:spacing w:before="80" w:after="240" w:line="240" w:lineRule="auto"/>
        <w:jc w:val="center"/>
      </w:pPr>
      <w:r>
        <w:rPr>
          <w:rFonts w:ascii="Times New Roman" w:hAnsi="Times New Roman" w:eastAsia="Times New Roman"/>
          <w:b w:val="0"/>
          <w:i/>
          <w:sz w:val="20"/>
        </w:rPr>
        <w:t>Table 1. Dataset summary.</w:t>
      </w:r>
    </w:p>
    <w:tbl>
      <w:tblPr>
        <w:tblStyle w:val="TableGrid"/>
        <w:tblW w:type="auto" w:w="0"/>
        <w:tblLook w:firstColumn="1" w:firstRow="1" w:lastColumn="0" w:lastRow="0" w:noHBand="0" w:noVBand="1" w:val="04A0"/>
      </w:tblPr>
      <w:tblGrid>
        <w:gridCol w:w="4680"/>
        <w:gridCol w:w="4680"/>
      </w:tblGrid>
      <w:tr>
        <w:tc>
          <w:tcPr>
            <w:tcW w:type="dxa" w:w="4680"/>
          </w:tcPr>
          <w:p>
            <w:pPr>
              <w:jc w:val="center"/>
            </w:pPr>
            <w:r/>
            <w:r>
              <w:rPr>
                <w:rFonts w:ascii="Times New Roman" w:hAnsi="Times New Roman" w:eastAsia="Times New Roman"/>
                <w:b/>
                <w:i w:val="0"/>
                <w:sz w:val="20"/>
              </w:rPr>
              <w:t>Item</w:t>
            </w:r>
          </w:p>
        </w:tc>
        <w:tc>
          <w:tcPr>
            <w:tcW w:type="dxa" w:w="4680"/>
          </w:tcPr>
          <w:p>
            <w:pPr>
              <w:jc w:val="center"/>
            </w:pPr>
            <w:r/>
            <w:r>
              <w:rPr>
                <w:rFonts w:ascii="Times New Roman" w:hAnsi="Times New Roman" w:eastAsia="Times New Roman"/>
                <w:b/>
                <w:i w:val="0"/>
                <w:sz w:val="20"/>
              </w:rPr>
              <w:t>Value</w:t>
            </w:r>
          </w:p>
        </w:tc>
      </w:tr>
      <w:tr>
        <w:tc>
          <w:tcPr>
            <w:tcW w:type="dxa" w:w="4680"/>
          </w:tcPr>
          <w:p>
            <w:pPr>
              <w:jc w:val="center"/>
            </w:pPr>
            <w:r/>
            <w:r>
              <w:rPr>
                <w:rFonts w:ascii="Times New Roman" w:hAnsi="Times New Roman" w:eastAsia="Times New Roman"/>
                <w:b w:val="0"/>
                <w:i w:val="0"/>
                <w:sz w:val="20"/>
              </w:rPr>
              <w:t>Slices</w:t>
            </w:r>
          </w:p>
        </w:tc>
        <w:tc>
          <w:tcPr>
            <w:tcW w:type="dxa" w:w="4680"/>
          </w:tcPr>
          <w:p>
            <w:pPr>
              <w:jc w:val="center"/>
            </w:pPr>
            <w:r/>
            <w:r>
              <w:rPr>
                <w:rFonts w:ascii="Times New Roman" w:hAnsi="Times New Roman" w:eastAsia="Times New Roman"/>
                <w:b w:val="0"/>
                <w:i w:val="0"/>
                <w:sz w:val="20"/>
              </w:rPr>
              <w:t>3,064</w:t>
            </w:r>
          </w:p>
        </w:tc>
      </w:tr>
      <w:tr>
        <w:tc>
          <w:tcPr>
            <w:tcW w:type="dxa" w:w="4680"/>
          </w:tcPr>
          <w:p>
            <w:pPr>
              <w:jc w:val="center"/>
            </w:pPr>
            <w:r/>
            <w:r>
              <w:rPr>
                <w:rFonts w:ascii="Times New Roman" w:hAnsi="Times New Roman" w:eastAsia="Times New Roman"/>
                <w:b w:val="0"/>
                <w:i w:val="0"/>
                <w:sz w:val="20"/>
              </w:rPr>
              <w:t>Patients</w:t>
            </w:r>
          </w:p>
        </w:tc>
        <w:tc>
          <w:tcPr>
            <w:tcW w:type="dxa" w:w="4680"/>
          </w:tcPr>
          <w:p>
            <w:pPr>
              <w:jc w:val="center"/>
            </w:pPr>
            <w:r/>
            <w:r>
              <w:rPr>
                <w:rFonts w:ascii="Times New Roman" w:hAnsi="Times New Roman" w:eastAsia="Times New Roman"/>
                <w:b w:val="0"/>
                <w:i w:val="0"/>
                <w:sz w:val="20"/>
              </w:rPr>
              <w:t>233</w:t>
            </w:r>
          </w:p>
        </w:tc>
      </w:tr>
      <w:tr>
        <w:tc>
          <w:tcPr>
            <w:tcW w:type="dxa" w:w="4680"/>
          </w:tcPr>
          <w:p>
            <w:pPr>
              <w:jc w:val="center"/>
            </w:pPr>
            <w:r/>
            <w:r>
              <w:rPr>
                <w:rFonts w:ascii="Times New Roman" w:hAnsi="Times New Roman" w:eastAsia="Times New Roman"/>
                <w:b w:val="0"/>
                <w:i w:val="0"/>
                <w:sz w:val="20"/>
              </w:rPr>
              <w:t>Classes</w:t>
            </w:r>
          </w:p>
        </w:tc>
        <w:tc>
          <w:tcPr>
            <w:tcW w:type="dxa" w:w="4680"/>
          </w:tcPr>
          <w:p>
            <w:pPr>
              <w:jc w:val="center"/>
            </w:pPr>
            <w:r/>
            <w:r>
              <w:rPr>
                <w:rFonts w:ascii="Times New Roman" w:hAnsi="Times New Roman" w:eastAsia="Times New Roman"/>
                <w:b w:val="0"/>
                <w:i w:val="0"/>
                <w:sz w:val="20"/>
              </w:rPr>
              <w:t>meningioma / glioma / pituitary</w:t>
            </w:r>
          </w:p>
        </w:tc>
      </w:tr>
      <w:tr>
        <w:tc>
          <w:tcPr>
            <w:tcW w:type="dxa" w:w="4680"/>
          </w:tcPr>
          <w:p>
            <w:pPr>
              <w:jc w:val="center"/>
            </w:pPr>
            <w:r/>
            <w:r>
              <w:rPr>
                <w:rFonts w:ascii="Times New Roman" w:hAnsi="Times New Roman" w:eastAsia="Times New Roman"/>
                <w:b w:val="0"/>
                <w:i w:val="0"/>
                <w:sz w:val="20"/>
              </w:rPr>
              <w:t>Modality</w:t>
            </w:r>
          </w:p>
        </w:tc>
        <w:tc>
          <w:tcPr>
            <w:tcW w:type="dxa" w:w="4680"/>
          </w:tcPr>
          <w:p>
            <w:pPr>
              <w:jc w:val="center"/>
            </w:pPr>
            <w:r/>
            <w:r>
              <w:rPr>
                <w:rFonts w:ascii="Times New Roman" w:hAnsi="Times New Roman" w:eastAsia="Times New Roman"/>
                <w:b w:val="0"/>
                <w:i w:val="0"/>
                <w:sz w:val="20"/>
              </w:rPr>
              <w:t>2D T1-weighted contrast-enhanced MRI</w:t>
            </w:r>
          </w:p>
        </w:tc>
      </w:tr>
      <w:tr>
        <w:tc>
          <w:tcPr>
            <w:tcW w:type="dxa" w:w="4680"/>
          </w:tcPr>
          <w:p>
            <w:pPr>
              <w:jc w:val="center"/>
            </w:pPr>
            <w:r/>
            <w:r>
              <w:rPr>
                <w:rFonts w:ascii="Times New Roman" w:hAnsi="Times New Roman" w:eastAsia="Times New Roman"/>
                <w:b w:val="0"/>
                <w:i w:val="0"/>
                <w:sz w:val="20"/>
              </w:rPr>
              <w:t>Primary split</w:t>
            </w:r>
          </w:p>
        </w:tc>
        <w:tc>
          <w:tcPr>
            <w:tcW w:type="dxa" w:w="4680"/>
          </w:tcPr>
          <w:p>
            <w:pPr>
              <w:jc w:val="center"/>
            </w:pPr>
            <w:r/>
            <w:r>
              <w:rPr>
                <w:rFonts w:ascii="Times New Roman" w:hAnsi="Times New Roman" w:eastAsia="Times New Roman"/>
                <w:b w:val="0"/>
                <w:i w:val="0"/>
                <w:sz w:val="20"/>
              </w:rPr>
              <w:t>Patient-level 5-fold (cvind-majority)</w:t>
            </w:r>
          </w:p>
        </w:tc>
      </w:tr>
      <w:tr>
        <w:tc>
          <w:tcPr>
            <w:tcW w:type="dxa" w:w="4680"/>
          </w:tcPr>
          <w:p>
            <w:pPr>
              <w:jc w:val="center"/>
            </w:pPr>
            <w:r/>
            <w:r>
              <w:rPr>
                <w:rFonts w:ascii="Times New Roman" w:hAnsi="Times New Roman" w:eastAsia="Times New Roman"/>
                <w:b w:val="0"/>
                <w:i w:val="0"/>
                <w:sz w:val="20"/>
              </w:rPr>
              <w:t>Comparison split</w:t>
            </w:r>
          </w:p>
        </w:tc>
        <w:tc>
          <w:tcPr>
            <w:tcW w:type="dxa" w:w="4680"/>
          </w:tcPr>
          <w:p>
            <w:pPr>
              <w:jc w:val="center"/>
            </w:pPr>
            <w:r/>
            <w:r>
              <w:rPr>
                <w:rFonts w:ascii="Times New Roman" w:hAnsi="Times New Roman" w:eastAsia="Times New Roman"/>
                <w:b w:val="0"/>
                <w:i w:val="0"/>
                <w:sz w:val="20"/>
              </w:rPr>
              <w:t>Slice-level stratified 80/20 (leaky)</w:t>
            </w:r>
          </w:p>
        </w:tc>
      </w:tr>
    </w:tbl>
    <w:p/>
    <w:p>
      <w:pPr>
        <w:spacing w:before="240" w:after="120" w:line="276" w:lineRule="auto"/>
      </w:pPr>
      <w:r>
        <w:rPr>
          <w:rFonts w:ascii="Times New Roman" w:hAnsi="Times New Roman" w:eastAsia="Times New Roman"/>
          <w:b/>
          <w:i w:val="0"/>
          <w:sz w:val="24"/>
        </w:rPr>
        <w:t>3.2 Splits</w:t>
      </w:r>
    </w:p>
    <w:p>
      <w:pPr>
        <w:spacing w:after="160" w:before="0" w:line="480" w:lineRule="auto"/>
        <w:ind w:firstLine="720"/>
        <w:jc w:val="both"/>
      </w:pPr>
      <w:r>
        <w:rPr>
          <w:rFonts w:ascii="Times New Roman" w:hAnsi="Times New Roman" w:eastAsia="Times New Roman"/>
          <w:b w:val="0"/>
          <w:i w:val="0"/>
          <w:sz w:val="22"/>
        </w:rPr>
        <w:t>Primary protocol: patient-level five-fold cross-validation. No patient appears in more than one fold’s validation set. Comparison protocol: intentionally leaky slice-level random split (seed 42, 20% validation, stratified by label). Under the leaky protocol, 199 patients appear in both train and validation, and 99.0% of validation slices come from those shared patients.</w:t>
      </w:r>
    </w:p>
    <w:p>
      <w:pPr>
        <w:spacing w:before="240" w:after="120" w:line="276" w:lineRule="auto"/>
      </w:pPr>
      <w:r>
        <w:rPr>
          <w:rFonts w:ascii="Times New Roman" w:hAnsi="Times New Roman" w:eastAsia="Times New Roman"/>
          <w:b/>
          <w:i w:val="0"/>
          <w:sz w:val="24"/>
        </w:rPr>
        <w:t>3.3 Model and training</w:t>
      </w:r>
    </w:p>
    <w:p>
      <w:pPr>
        <w:spacing w:after="160" w:before="0" w:line="480" w:lineRule="auto"/>
        <w:ind w:firstLine="720"/>
        <w:jc w:val="both"/>
      </w:pPr>
      <w:r>
        <w:rPr>
          <w:rFonts w:ascii="Times New Roman" w:hAnsi="Times New Roman" w:eastAsia="Times New Roman"/>
          <w:b w:val="0"/>
          <w:i w:val="0"/>
          <w:sz w:val="22"/>
        </w:rPr>
        <w:t>Architecture: ResNet-18 with ImageNet initialization; final fully connected layer remapped to three classes. Images are resized to 224×224, grayscale expanded to three channels, normalized to mean/std 0.5. Training uses AdamW (lr 1e-4, weight decay 1e-4), cross-entropy, random horizontal flip and ±15° rotation on the training set, up to 30 epochs on Kaggle GPU with resumable checkpoint_last / checkpoint_best. Primary seed: 42. Fold isolation was enforced so multi-fold jobs cannot resume from another fold’s checkpoint.</w:t>
      </w:r>
    </w:p>
    <w:p>
      <w:pPr>
        <w:spacing w:before="240" w:after="120" w:line="276" w:lineRule="auto"/>
      </w:pPr>
      <w:r>
        <w:rPr>
          <w:rFonts w:ascii="Times New Roman" w:hAnsi="Times New Roman" w:eastAsia="Times New Roman"/>
          <w:b/>
          <w:i w:val="0"/>
          <w:sz w:val="24"/>
        </w:rPr>
        <w:t>3.4 Metrics</w:t>
      </w:r>
    </w:p>
    <w:p>
      <w:pPr>
        <w:spacing w:after="160" w:before="0" w:line="480" w:lineRule="auto"/>
        <w:ind w:firstLine="720"/>
        <w:jc w:val="both"/>
      </w:pPr>
      <w:r>
        <w:rPr>
          <w:rFonts w:ascii="Times New Roman" w:hAnsi="Times New Roman" w:eastAsia="Times New Roman"/>
          <w:b w:val="0"/>
          <w:i w:val="0"/>
          <w:sz w:val="22"/>
        </w:rPr>
        <w:t>We report accuracy, macro-F1 (primary), balanced accuracy, per-class precision/recall/F1, one-vs-rest AUROC and AUPRC, expected calibration error (ECE) with reliability diagrams, and bootstrap 95% confidence intervals on macro-F1 and accuracy for each fold evaluation.</w:t>
      </w:r>
    </w:p>
    <w:p>
      <w:pPr>
        <w:spacing w:before="240" w:after="120" w:line="276" w:lineRule="auto"/>
      </w:pPr>
      <w:r>
        <w:rPr>
          <w:rFonts w:ascii="Times New Roman" w:hAnsi="Times New Roman" w:eastAsia="Times New Roman"/>
          <w:b/>
          <w:i w:val="0"/>
          <w:sz w:val="24"/>
        </w:rPr>
        <w:t>3.5 Audits</w:t>
      </w:r>
    </w:p>
    <w:p>
      <w:pPr>
        <w:spacing w:after="160" w:before="0" w:line="480" w:lineRule="auto"/>
        <w:ind w:firstLine="720"/>
        <w:jc w:val="both"/>
      </w:pPr>
      <w:r>
        <w:rPr>
          <w:rFonts w:ascii="Times New Roman" w:hAnsi="Times New Roman" w:eastAsia="Times New Roman"/>
          <w:b w:val="0"/>
          <w:i w:val="0"/>
          <w:sz w:val="22"/>
        </w:rPr>
        <w:t>(1) Split audit — same model on patient-level vs leaky slice-level protocols. (2) Near-duplicate audit — difference hash (dHash) across patients. (3) Tumor-masked control — evaluate a patient-level checkpoint with tumor pixels zeroed; additionally train from scratch on tumor-zeroed images for 10 epochs. (4) Grad-CAM on correct and incorrect validation predictions (ResNet layer4).</w:t>
      </w:r>
    </w:p>
    <w:p>
      <w:pPr>
        <w:spacing w:before="360" w:after="120" w:line="276" w:lineRule="auto"/>
      </w:pPr>
      <w:r>
        <w:rPr>
          <w:rFonts w:ascii="Times New Roman" w:hAnsi="Times New Roman" w:eastAsia="Times New Roman"/>
          <w:b/>
          <w:i w:val="0"/>
          <w:sz w:val="28"/>
        </w:rPr>
        <w:t>4. Results</w:t>
      </w:r>
    </w:p>
    <w:p>
      <w:pPr>
        <w:spacing w:before="240" w:after="120" w:line="276" w:lineRule="auto"/>
      </w:pPr>
      <w:r>
        <w:rPr>
          <w:rFonts w:ascii="Times New Roman" w:hAnsi="Times New Roman" w:eastAsia="Times New Roman"/>
          <w:b/>
          <w:i w:val="0"/>
          <w:sz w:val="24"/>
        </w:rPr>
        <w:t>4.1 Patient-level five-fold performance</w:t>
      </w:r>
    </w:p>
    <w:p>
      <w:pPr>
        <w:spacing w:after="160" w:before="0" w:line="480" w:lineRule="auto"/>
        <w:jc w:val="both"/>
      </w:pPr>
      <w:r>
        <w:rPr>
          <w:rFonts w:ascii="Times New Roman" w:hAnsi="Times New Roman" w:eastAsia="Times New Roman"/>
          <w:b w:val="0"/>
          <w:i w:val="0"/>
          <w:sz w:val="22"/>
        </w:rPr>
        <w:t>Across five patient-level folds, ResNet-18 obtains mean macro-F1 0.951 ± 0.013 and mean accuracy 0.956 ± 0.013. Fold-wise metrics are listed in Table 2. AUROC remains high (≈0.989–0.998) while ECE stays modest (≈0.017–0.043), indicating strong ranking performance with reasonably calibrated probabilities on this clean 2D task.</w:t>
      </w:r>
    </w:p>
    <w:p>
      <w:pPr>
        <w:spacing w:before="80" w:after="240" w:line="240" w:lineRule="auto"/>
        <w:jc w:val="center"/>
      </w:pPr>
      <w:r>
        <w:rPr>
          <w:rFonts w:ascii="Times New Roman" w:hAnsi="Times New Roman" w:eastAsia="Times New Roman"/>
          <w:b w:val="0"/>
          <w:i/>
          <w:sz w:val="20"/>
        </w:rPr>
        <w:t>Table 2. Patient-level ResNet-18 five-fold results.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
              <w:rPr>
                <w:rFonts w:ascii="Times New Roman" w:hAnsi="Times New Roman" w:eastAsia="Times New Roman"/>
                <w:b/>
                <w:i w:val="0"/>
                <w:sz w:val="20"/>
              </w:rPr>
              <w:t>Fold</w:t>
            </w:r>
          </w:p>
        </w:tc>
        <w:tc>
          <w:tcPr>
            <w:tcW w:type="dxa" w:w="1560"/>
          </w:tcPr>
          <w:p>
            <w:pPr>
              <w:jc w:val="center"/>
            </w:pPr>
            <w:r/>
            <w:r>
              <w:rPr>
                <w:rFonts w:ascii="Times New Roman" w:hAnsi="Times New Roman" w:eastAsia="Times New Roman"/>
                <w:b/>
                <w:i w:val="0"/>
                <w:sz w:val="20"/>
              </w:rPr>
              <w:t>Accuracy</w:t>
            </w:r>
          </w:p>
        </w:tc>
        <w:tc>
          <w:tcPr>
            <w:tcW w:type="dxa" w:w="1560"/>
          </w:tcPr>
          <w:p>
            <w:pPr>
              <w:jc w:val="center"/>
            </w:pPr>
            <w:r/>
            <w:r>
              <w:rPr>
                <w:rFonts w:ascii="Times New Roman" w:hAnsi="Times New Roman" w:eastAsia="Times New Roman"/>
                <w:b/>
                <w:i w:val="0"/>
                <w:sz w:val="20"/>
              </w:rPr>
              <w:t>Macro-F1</w:t>
            </w:r>
          </w:p>
        </w:tc>
        <w:tc>
          <w:tcPr>
            <w:tcW w:type="dxa" w:w="1560"/>
          </w:tcPr>
          <w:p>
            <w:pPr>
              <w:jc w:val="center"/>
            </w:pPr>
            <w:r/>
            <w:r>
              <w:rPr>
                <w:rFonts w:ascii="Times New Roman" w:hAnsi="Times New Roman" w:eastAsia="Times New Roman"/>
                <w:b/>
                <w:i w:val="0"/>
                <w:sz w:val="20"/>
              </w:rPr>
              <w:t>AUROC</w:t>
            </w:r>
          </w:p>
        </w:tc>
        <w:tc>
          <w:tcPr>
            <w:tcW w:type="dxa" w:w="1560"/>
          </w:tcPr>
          <w:p>
            <w:pPr>
              <w:jc w:val="center"/>
            </w:pPr>
            <w:r/>
            <w:r>
              <w:rPr>
                <w:rFonts w:ascii="Times New Roman" w:hAnsi="Times New Roman" w:eastAsia="Times New Roman"/>
                <w:b/>
                <w:i w:val="0"/>
                <w:sz w:val="20"/>
              </w:rPr>
              <w:t>ECE</w:t>
            </w:r>
          </w:p>
        </w:tc>
        <w:tc>
          <w:tcPr>
            <w:tcW w:type="dxa" w:w="1560"/>
          </w:tcPr>
          <w:p>
            <w:pPr>
              <w:jc w:val="center"/>
            </w:pPr>
            <w:r/>
            <w:r>
              <w:rPr>
                <w:rFonts w:ascii="Times New Roman" w:hAnsi="Times New Roman" w:eastAsia="Times New Roman"/>
                <w:b/>
                <w:i w:val="0"/>
                <w:sz w:val="20"/>
              </w:rPr>
              <w:t>Macro-F1 95% CI</w:t>
            </w:r>
          </w:p>
        </w:tc>
      </w:tr>
      <w:tr>
        <w:tc>
          <w:tcPr>
            <w:tcW w:type="dxa" w:w="1560"/>
          </w:tcPr>
          <w:p>
            <w:pPr>
              <w:jc w:val="center"/>
            </w:pPr>
            <w:r/>
            <w:r>
              <w:rPr>
                <w:rFonts w:ascii="Times New Roman" w:hAnsi="Times New Roman" w:eastAsia="Times New Roman"/>
                <w:b w:val="0"/>
                <w:i w:val="0"/>
                <w:sz w:val="20"/>
              </w:rPr>
              <w:t>1</w:t>
            </w:r>
          </w:p>
        </w:tc>
        <w:tc>
          <w:tcPr>
            <w:tcW w:type="dxa" w:w="1560"/>
          </w:tcPr>
          <w:p>
            <w:pPr>
              <w:jc w:val="center"/>
            </w:pPr>
            <w:r/>
            <w:r>
              <w:rPr>
                <w:rFonts w:ascii="Times New Roman" w:hAnsi="Times New Roman" w:eastAsia="Times New Roman"/>
                <w:b w:val="0"/>
                <w:i w:val="0"/>
                <w:sz w:val="20"/>
              </w:rPr>
              <w:t>0.967</w:t>
            </w:r>
          </w:p>
        </w:tc>
        <w:tc>
          <w:tcPr>
            <w:tcW w:type="dxa" w:w="1560"/>
          </w:tcPr>
          <w:p>
            <w:pPr>
              <w:jc w:val="center"/>
            </w:pPr>
            <w:r/>
            <w:r>
              <w:rPr>
                <w:rFonts w:ascii="Times New Roman" w:hAnsi="Times New Roman" w:eastAsia="Times New Roman"/>
                <w:b w:val="0"/>
                <w:i w:val="0"/>
                <w:sz w:val="20"/>
              </w:rPr>
              <w:t>0.962</w:t>
            </w:r>
          </w:p>
        </w:tc>
        <w:tc>
          <w:tcPr>
            <w:tcW w:type="dxa" w:w="1560"/>
          </w:tcPr>
          <w:p>
            <w:pPr>
              <w:jc w:val="center"/>
            </w:pPr>
            <w:r/>
            <w:r>
              <w:rPr>
                <w:rFonts w:ascii="Times New Roman" w:hAnsi="Times New Roman" w:eastAsia="Times New Roman"/>
                <w:b w:val="0"/>
                <w:i w:val="0"/>
                <w:sz w:val="20"/>
              </w:rPr>
              <w:t>0.998</w:t>
            </w:r>
          </w:p>
        </w:tc>
        <w:tc>
          <w:tcPr>
            <w:tcW w:type="dxa" w:w="1560"/>
          </w:tcPr>
          <w:p>
            <w:pPr>
              <w:jc w:val="center"/>
            </w:pPr>
            <w:r/>
            <w:r>
              <w:rPr>
                <w:rFonts w:ascii="Times New Roman" w:hAnsi="Times New Roman" w:eastAsia="Times New Roman"/>
                <w:b w:val="0"/>
                <w:i w:val="0"/>
                <w:sz w:val="20"/>
              </w:rPr>
              <w:t>0.017</w:t>
            </w:r>
          </w:p>
        </w:tc>
        <w:tc>
          <w:tcPr>
            <w:tcW w:type="dxa" w:w="1560"/>
          </w:tcPr>
          <w:p>
            <w:pPr>
              <w:jc w:val="center"/>
            </w:pPr>
            <w:r/>
            <w:r>
              <w:rPr>
                <w:rFonts w:ascii="Times New Roman" w:hAnsi="Times New Roman" w:eastAsia="Times New Roman"/>
                <w:b w:val="0"/>
                <w:i w:val="0"/>
                <w:sz w:val="20"/>
              </w:rPr>
              <w:t>0.943–0.978</w:t>
            </w:r>
          </w:p>
        </w:tc>
      </w:tr>
      <w:tr>
        <w:tc>
          <w:tcPr>
            <w:tcW w:type="dxa" w:w="1560"/>
          </w:tcPr>
          <w:p>
            <w:pPr>
              <w:jc w:val="center"/>
            </w:pPr>
            <w:r/>
            <w:r>
              <w:rPr>
                <w:rFonts w:ascii="Times New Roman" w:hAnsi="Times New Roman" w:eastAsia="Times New Roman"/>
                <w:b w:val="0"/>
                <w:i w:val="0"/>
                <w:sz w:val="20"/>
              </w:rPr>
              <w:t>2</w:t>
            </w:r>
          </w:p>
        </w:tc>
        <w:tc>
          <w:tcPr>
            <w:tcW w:type="dxa" w:w="1560"/>
          </w:tcPr>
          <w:p>
            <w:pPr>
              <w:jc w:val="center"/>
            </w:pPr>
            <w:r/>
            <w:r>
              <w:rPr>
                <w:rFonts w:ascii="Times New Roman" w:hAnsi="Times New Roman" w:eastAsia="Times New Roman"/>
                <w:b w:val="0"/>
                <w:i w:val="0"/>
                <w:sz w:val="20"/>
              </w:rPr>
              <w:t>0.944</w:t>
            </w:r>
          </w:p>
        </w:tc>
        <w:tc>
          <w:tcPr>
            <w:tcW w:type="dxa" w:w="1560"/>
          </w:tcPr>
          <w:p>
            <w:pPr>
              <w:jc w:val="center"/>
            </w:pPr>
            <w:r/>
            <w:r>
              <w:rPr>
                <w:rFonts w:ascii="Times New Roman" w:hAnsi="Times New Roman" w:eastAsia="Times New Roman"/>
                <w:b w:val="0"/>
                <w:i w:val="0"/>
                <w:sz w:val="20"/>
              </w:rPr>
              <w:t>0.940</w:t>
            </w:r>
          </w:p>
        </w:tc>
        <w:tc>
          <w:tcPr>
            <w:tcW w:type="dxa" w:w="1560"/>
          </w:tcPr>
          <w:p>
            <w:pPr>
              <w:jc w:val="center"/>
            </w:pPr>
            <w:r/>
            <w:r>
              <w:rPr>
                <w:rFonts w:ascii="Times New Roman" w:hAnsi="Times New Roman" w:eastAsia="Times New Roman"/>
                <w:b w:val="0"/>
                <w:i w:val="0"/>
                <w:sz w:val="20"/>
              </w:rPr>
              <w:t>0.993</w:t>
            </w:r>
          </w:p>
        </w:tc>
        <w:tc>
          <w:tcPr>
            <w:tcW w:type="dxa" w:w="1560"/>
          </w:tcPr>
          <w:p>
            <w:pPr>
              <w:jc w:val="center"/>
            </w:pPr>
            <w:r/>
            <w:r>
              <w:rPr>
                <w:rFonts w:ascii="Times New Roman" w:hAnsi="Times New Roman" w:eastAsia="Times New Roman"/>
                <w:b w:val="0"/>
                <w:i w:val="0"/>
                <w:sz w:val="20"/>
              </w:rPr>
              <w:t>0.039</w:t>
            </w:r>
          </w:p>
        </w:tc>
        <w:tc>
          <w:tcPr>
            <w:tcW w:type="dxa" w:w="1560"/>
          </w:tcPr>
          <w:p>
            <w:pPr>
              <w:jc w:val="center"/>
            </w:pPr>
            <w:r/>
            <w:r>
              <w:rPr>
                <w:rFonts w:ascii="Times New Roman" w:hAnsi="Times New Roman" w:eastAsia="Times New Roman"/>
                <w:b w:val="0"/>
                <w:i w:val="0"/>
                <w:sz w:val="20"/>
              </w:rPr>
              <w:t>0.920–0.956</w:t>
            </w:r>
          </w:p>
        </w:tc>
      </w:tr>
      <w:tr>
        <w:tc>
          <w:tcPr>
            <w:tcW w:type="dxa" w:w="1560"/>
          </w:tcPr>
          <w:p>
            <w:pPr>
              <w:jc w:val="center"/>
            </w:pPr>
            <w:r/>
            <w:r>
              <w:rPr>
                <w:rFonts w:ascii="Times New Roman" w:hAnsi="Times New Roman" w:eastAsia="Times New Roman"/>
                <w:b w:val="0"/>
                <w:i w:val="0"/>
                <w:sz w:val="20"/>
              </w:rPr>
              <w:t>3</w:t>
            </w:r>
          </w:p>
        </w:tc>
        <w:tc>
          <w:tcPr>
            <w:tcW w:type="dxa" w:w="1560"/>
          </w:tcPr>
          <w:p>
            <w:pPr>
              <w:jc w:val="center"/>
            </w:pPr>
            <w:r/>
            <w:r>
              <w:rPr>
                <w:rFonts w:ascii="Times New Roman" w:hAnsi="Times New Roman" w:eastAsia="Times New Roman"/>
                <w:b w:val="0"/>
                <w:i w:val="0"/>
                <w:sz w:val="20"/>
              </w:rPr>
              <w:t>0.956</w:t>
            </w:r>
          </w:p>
        </w:tc>
        <w:tc>
          <w:tcPr>
            <w:tcW w:type="dxa" w:w="1560"/>
          </w:tcPr>
          <w:p>
            <w:pPr>
              <w:jc w:val="center"/>
            </w:pPr>
            <w:r/>
            <w:r>
              <w:rPr>
                <w:rFonts w:ascii="Times New Roman" w:hAnsi="Times New Roman" w:eastAsia="Times New Roman"/>
                <w:b w:val="0"/>
                <w:i w:val="0"/>
                <w:sz w:val="20"/>
              </w:rPr>
              <w:t>0.952</w:t>
            </w:r>
          </w:p>
        </w:tc>
        <w:tc>
          <w:tcPr>
            <w:tcW w:type="dxa" w:w="1560"/>
          </w:tcPr>
          <w:p>
            <w:pPr>
              <w:jc w:val="center"/>
            </w:pPr>
            <w:r/>
            <w:r>
              <w:rPr>
                <w:rFonts w:ascii="Times New Roman" w:hAnsi="Times New Roman" w:eastAsia="Times New Roman"/>
                <w:b w:val="0"/>
                <w:i w:val="0"/>
                <w:sz w:val="20"/>
              </w:rPr>
              <w:t>0.992</w:t>
            </w:r>
          </w:p>
        </w:tc>
        <w:tc>
          <w:tcPr>
            <w:tcW w:type="dxa" w:w="1560"/>
          </w:tcPr>
          <w:p>
            <w:pPr>
              <w:jc w:val="center"/>
            </w:pPr>
            <w:r/>
            <w:r>
              <w:rPr>
                <w:rFonts w:ascii="Times New Roman" w:hAnsi="Times New Roman" w:eastAsia="Times New Roman"/>
                <w:b w:val="0"/>
                <w:i w:val="0"/>
                <w:sz w:val="20"/>
              </w:rPr>
              <w:t>0.031</w:t>
            </w:r>
          </w:p>
        </w:tc>
        <w:tc>
          <w:tcPr>
            <w:tcW w:type="dxa" w:w="1560"/>
          </w:tcPr>
          <w:p>
            <w:pPr>
              <w:jc w:val="center"/>
            </w:pPr>
            <w:r/>
            <w:r>
              <w:rPr>
                <w:rFonts w:ascii="Times New Roman" w:hAnsi="Times New Roman" w:eastAsia="Times New Roman"/>
                <w:b w:val="0"/>
                <w:i w:val="0"/>
                <w:sz w:val="20"/>
              </w:rPr>
              <w:t>0.934–0.970</w:t>
            </w:r>
          </w:p>
        </w:tc>
      </w:tr>
      <w:tr>
        <w:tc>
          <w:tcPr>
            <w:tcW w:type="dxa" w:w="1560"/>
          </w:tcPr>
          <w:p>
            <w:pPr>
              <w:jc w:val="center"/>
            </w:pPr>
            <w:r/>
            <w:r>
              <w:rPr>
                <w:rFonts w:ascii="Times New Roman" w:hAnsi="Times New Roman" w:eastAsia="Times New Roman"/>
                <w:b w:val="0"/>
                <w:i w:val="0"/>
                <w:sz w:val="20"/>
              </w:rPr>
              <w:t>4</w:t>
            </w:r>
          </w:p>
        </w:tc>
        <w:tc>
          <w:tcPr>
            <w:tcW w:type="dxa" w:w="1560"/>
          </w:tcPr>
          <w:p>
            <w:pPr>
              <w:jc w:val="center"/>
            </w:pPr>
            <w:r/>
            <w:r>
              <w:rPr>
                <w:rFonts w:ascii="Times New Roman" w:hAnsi="Times New Roman" w:eastAsia="Times New Roman"/>
                <w:b w:val="0"/>
                <w:i w:val="0"/>
                <w:sz w:val="20"/>
              </w:rPr>
              <w:t>0.975</w:t>
            </w:r>
          </w:p>
        </w:tc>
        <w:tc>
          <w:tcPr>
            <w:tcW w:type="dxa" w:w="1560"/>
          </w:tcPr>
          <w:p>
            <w:pPr>
              <w:jc w:val="center"/>
            </w:pPr>
            <w:r/>
            <w:r>
              <w:rPr>
                <w:rFonts w:ascii="Times New Roman" w:hAnsi="Times New Roman" w:eastAsia="Times New Roman"/>
                <w:b w:val="0"/>
                <w:i w:val="0"/>
                <w:sz w:val="20"/>
              </w:rPr>
              <w:t>0.969</w:t>
            </w:r>
          </w:p>
        </w:tc>
        <w:tc>
          <w:tcPr>
            <w:tcW w:type="dxa" w:w="1560"/>
          </w:tcPr>
          <w:p>
            <w:pPr>
              <w:jc w:val="center"/>
            </w:pPr>
            <w:r/>
            <w:r>
              <w:rPr>
                <w:rFonts w:ascii="Times New Roman" w:hAnsi="Times New Roman" w:eastAsia="Times New Roman"/>
                <w:b w:val="0"/>
                <w:i w:val="0"/>
                <w:sz w:val="20"/>
              </w:rPr>
              <w:t>0.996</w:t>
            </w:r>
          </w:p>
        </w:tc>
        <w:tc>
          <w:tcPr>
            <w:tcW w:type="dxa" w:w="1560"/>
          </w:tcPr>
          <w:p>
            <w:pPr>
              <w:jc w:val="center"/>
            </w:pPr>
            <w:r/>
            <w:r>
              <w:rPr>
                <w:rFonts w:ascii="Times New Roman" w:hAnsi="Times New Roman" w:eastAsia="Times New Roman"/>
                <w:b w:val="0"/>
                <w:i w:val="0"/>
                <w:sz w:val="20"/>
              </w:rPr>
              <w:t>0.021</w:t>
            </w:r>
          </w:p>
        </w:tc>
        <w:tc>
          <w:tcPr>
            <w:tcW w:type="dxa" w:w="1560"/>
          </w:tcPr>
          <w:p>
            <w:pPr>
              <w:jc w:val="center"/>
            </w:pPr>
            <w:r/>
            <w:r>
              <w:rPr>
                <w:rFonts w:ascii="Times New Roman" w:hAnsi="Times New Roman" w:eastAsia="Times New Roman"/>
                <w:b w:val="0"/>
                <w:i w:val="0"/>
                <w:sz w:val="20"/>
              </w:rPr>
              <w:t>0.952–0.981</w:t>
            </w:r>
          </w:p>
        </w:tc>
      </w:tr>
      <w:tr>
        <w:tc>
          <w:tcPr>
            <w:tcW w:type="dxa" w:w="1560"/>
          </w:tcPr>
          <w:p>
            <w:pPr>
              <w:jc w:val="center"/>
            </w:pPr>
            <w:r/>
            <w:r>
              <w:rPr>
                <w:rFonts w:ascii="Times New Roman" w:hAnsi="Times New Roman" w:eastAsia="Times New Roman"/>
                <w:b w:val="0"/>
                <w:i w:val="0"/>
                <w:sz w:val="20"/>
              </w:rPr>
              <w:t>5</w:t>
            </w:r>
          </w:p>
        </w:tc>
        <w:tc>
          <w:tcPr>
            <w:tcW w:type="dxa" w:w="1560"/>
          </w:tcPr>
          <w:p>
            <w:pPr>
              <w:jc w:val="center"/>
            </w:pPr>
            <w:r/>
            <w:r>
              <w:rPr>
                <w:rFonts w:ascii="Times New Roman" w:hAnsi="Times New Roman" w:eastAsia="Times New Roman"/>
                <w:b w:val="0"/>
                <w:i w:val="0"/>
                <w:sz w:val="20"/>
              </w:rPr>
              <w:t>0.939</w:t>
            </w:r>
          </w:p>
        </w:tc>
        <w:tc>
          <w:tcPr>
            <w:tcW w:type="dxa" w:w="1560"/>
          </w:tcPr>
          <w:p>
            <w:pPr>
              <w:jc w:val="center"/>
            </w:pPr>
            <w:r/>
            <w:r>
              <w:rPr>
                <w:rFonts w:ascii="Times New Roman" w:hAnsi="Times New Roman" w:eastAsia="Times New Roman"/>
                <w:b w:val="0"/>
                <w:i w:val="0"/>
                <w:sz w:val="20"/>
              </w:rPr>
              <w:t>0.933</w:t>
            </w:r>
          </w:p>
        </w:tc>
        <w:tc>
          <w:tcPr>
            <w:tcW w:type="dxa" w:w="1560"/>
          </w:tcPr>
          <w:p>
            <w:pPr>
              <w:jc w:val="center"/>
            </w:pPr>
            <w:r/>
            <w:r>
              <w:rPr>
                <w:rFonts w:ascii="Times New Roman" w:hAnsi="Times New Roman" w:eastAsia="Times New Roman"/>
                <w:b w:val="0"/>
                <w:i w:val="0"/>
                <w:sz w:val="20"/>
              </w:rPr>
              <w:t>0.989</w:t>
            </w:r>
          </w:p>
        </w:tc>
        <w:tc>
          <w:tcPr>
            <w:tcW w:type="dxa" w:w="1560"/>
          </w:tcPr>
          <w:p>
            <w:pPr>
              <w:jc w:val="center"/>
            </w:pPr>
            <w:r/>
            <w:r>
              <w:rPr>
                <w:rFonts w:ascii="Times New Roman" w:hAnsi="Times New Roman" w:eastAsia="Times New Roman"/>
                <w:b w:val="0"/>
                <w:i w:val="0"/>
                <w:sz w:val="20"/>
              </w:rPr>
              <w:t>0.043</w:t>
            </w:r>
          </w:p>
        </w:tc>
        <w:tc>
          <w:tcPr>
            <w:tcW w:type="dxa" w:w="1560"/>
          </w:tcPr>
          <w:p>
            <w:pPr>
              <w:jc w:val="center"/>
            </w:pPr>
            <w:r/>
            <w:r>
              <w:rPr>
                <w:rFonts w:ascii="Times New Roman" w:hAnsi="Times New Roman" w:eastAsia="Times New Roman"/>
                <w:b w:val="0"/>
                <w:i w:val="0"/>
                <w:sz w:val="20"/>
              </w:rPr>
              <w:t>0.911–0.952</w:t>
            </w:r>
          </w:p>
        </w:tc>
      </w:tr>
      <w:tr>
        <w:tc>
          <w:tcPr>
            <w:tcW w:type="dxa" w:w="1560"/>
          </w:tcPr>
          <w:p>
            <w:pPr>
              <w:jc w:val="center"/>
            </w:pPr>
            <w:r/>
            <w:r>
              <w:rPr>
                <w:rFonts w:ascii="Times New Roman" w:hAnsi="Times New Roman" w:eastAsia="Times New Roman"/>
                <w:b w:val="0"/>
                <w:i w:val="0"/>
                <w:sz w:val="20"/>
              </w:rPr>
              <w:t>Mean±SD</w:t>
            </w:r>
          </w:p>
        </w:tc>
        <w:tc>
          <w:tcPr>
            <w:tcW w:type="dxa" w:w="1560"/>
          </w:tcPr>
          <w:p>
            <w:pPr>
              <w:jc w:val="center"/>
            </w:pPr>
            <w:r/>
            <w:r>
              <w:rPr>
                <w:rFonts w:ascii="Times New Roman" w:hAnsi="Times New Roman" w:eastAsia="Times New Roman"/>
                <w:b w:val="0"/>
                <w:i w:val="0"/>
                <w:sz w:val="20"/>
              </w:rPr>
              <w:t>0.956±0.013</w:t>
            </w:r>
          </w:p>
        </w:tc>
        <w:tc>
          <w:tcPr>
            <w:tcW w:type="dxa" w:w="1560"/>
          </w:tcPr>
          <w:p>
            <w:pPr>
              <w:jc w:val="center"/>
            </w:pPr>
            <w:r/>
            <w:r>
              <w:rPr>
                <w:rFonts w:ascii="Times New Roman" w:hAnsi="Times New Roman" w:eastAsia="Times New Roman"/>
                <w:b w:val="0"/>
                <w:i w:val="0"/>
                <w:sz w:val="20"/>
              </w:rPr>
              <w:t>0.951±0.013</w:t>
            </w:r>
          </w:p>
        </w:tc>
        <w:tc>
          <w:tcPr>
            <w:tcW w:type="dxa" w:w="1560"/>
          </w:tcPr>
          <w:p>
            <w:pPr>
              <w:jc w:val="center"/>
            </w:pPr>
            <w:r/>
            <w:r>
              <w:rPr>
                <w:rFonts w:ascii="Times New Roman" w:hAnsi="Times New Roman" w:eastAsia="Times New Roman"/>
                <w:b w:val="0"/>
                <w:i w:val="0"/>
                <w:sz w:val="20"/>
              </w:rPr>
              <w:t>—</w:t>
            </w:r>
          </w:p>
        </w:tc>
        <w:tc>
          <w:tcPr>
            <w:tcW w:type="dxa" w:w="1560"/>
          </w:tcPr>
          <w:p>
            <w:pPr>
              <w:jc w:val="center"/>
            </w:pPr>
            <w:r/>
            <w:r>
              <w:rPr>
                <w:rFonts w:ascii="Times New Roman" w:hAnsi="Times New Roman" w:eastAsia="Times New Roman"/>
                <w:b w:val="0"/>
                <w:i w:val="0"/>
                <w:sz w:val="20"/>
              </w:rPr>
              <w:t>—</w:t>
            </w:r>
          </w:p>
        </w:tc>
        <w:tc>
          <w:tcPr>
            <w:tcW w:type="dxa" w:w="1560"/>
          </w:tcPr>
          <w:p>
            <w:pPr>
              <w:jc w:val="center"/>
            </w:pPr>
            <w:r/>
            <w:r>
              <w:rPr>
                <w:rFonts w:ascii="Times New Roman" w:hAnsi="Times New Roman" w:eastAsia="Times New Roman"/>
                <w:b w:val="0"/>
                <w:i w:val="0"/>
                <w:sz w:val="20"/>
              </w:rPr>
              <w:t>—</w:t>
            </w:r>
          </w:p>
        </w:tc>
      </w:tr>
    </w:tbl>
    <w:p/>
    <w:p>
      <w:pPr>
        <w:spacing w:after="160" w:before="0" w:line="480" w:lineRule="auto"/>
        <w:jc w:val="both"/>
      </w:pPr>
      <w:r>
        <w:rPr>
          <w:rFonts w:ascii="Times New Roman" w:hAnsi="Times New Roman" w:eastAsia="Times New Roman"/>
          <w:b w:val="0"/>
          <w:i w:val="0"/>
          <w:sz w:val="22"/>
        </w:rPr>
        <w:t>Fold 1 per-class F1 scores: meningioma 0.935, glioma 0.979, pituitary 0.970. Representative fold-1 figures follow.</w:t>
      </w:r>
    </w:p>
    <w:p>
      <w:pPr>
        <w:spacing w:before="160" w:after="40"/>
        <w:jc w:val="center"/>
      </w:pPr>
      <w:r>
        <w:drawing>
          <wp:inline xmlns:a="http://schemas.openxmlformats.org/drawingml/2006/main" xmlns:pic="http://schemas.openxmlformats.org/drawingml/2006/picture">
            <wp:extent cx="4114800" cy="3453282"/>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4114800" cy="3453282"/>
                    </a:xfrm>
                    <a:prstGeom prst="rect"/>
                  </pic:spPr>
                </pic:pic>
              </a:graphicData>
            </a:graphic>
          </wp:inline>
        </w:drawing>
      </w:r>
    </w:p>
    <w:p>
      <w:pPr>
        <w:spacing w:before="80" w:after="240" w:line="240" w:lineRule="auto"/>
        <w:jc w:val="center"/>
      </w:pPr>
      <w:r>
        <w:rPr>
          <w:rFonts w:ascii="Times New Roman" w:hAnsi="Times New Roman" w:eastAsia="Times New Roman"/>
          <w:b w:val="0"/>
          <w:i/>
          <w:sz w:val="20"/>
        </w:rPr>
        <w:t>Figure 4. Fold-1 confusion matrix (patient-level ResNet-18).</w:t>
      </w:r>
    </w:p>
    <w:p>
      <w:pPr>
        <w:spacing w:before="160" w:after="40"/>
        <w:jc w:val="center"/>
      </w:pPr>
      <w:r>
        <w:drawing>
          <wp:inline xmlns:a="http://schemas.openxmlformats.org/drawingml/2006/main" xmlns:pic="http://schemas.openxmlformats.org/drawingml/2006/picture">
            <wp:extent cx="4572000" cy="3793870"/>
            <wp:docPr id="2" name="Picture 2"/>
            <wp:cNvGraphicFramePr>
              <a:graphicFrameLocks noChangeAspect="1"/>
            </wp:cNvGraphicFramePr>
            <a:graphic>
              <a:graphicData uri="http://schemas.openxmlformats.org/drawingml/2006/picture">
                <pic:pic>
                  <pic:nvPicPr>
                    <pic:cNvPr id="0" name="roc.png"/>
                    <pic:cNvPicPr/>
                  </pic:nvPicPr>
                  <pic:blipFill>
                    <a:blip r:embed="rId10"/>
                    <a:stretch>
                      <a:fillRect/>
                    </a:stretch>
                  </pic:blipFill>
                  <pic:spPr>
                    <a:xfrm>
                      <a:off x="0" y="0"/>
                      <a:ext cx="4572000" cy="3793870"/>
                    </a:xfrm>
                    <a:prstGeom prst="rect"/>
                  </pic:spPr>
                </pic:pic>
              </a:graphicData>
            </a:graphic>
          </wp:inline>
        </w:drawing>
      </w:r>
    </w:p>
    <w:p>
      <w:pPr>
        <w:spacing w:before="80" w:after="240" w:line="240" w:lineRule="auto"/>
        <w:jc w:val="center"/>
      </w:pPr>
      <w:r>
        <w:rPr>
          <w:rFonts w:ascii="Times New Roman" w:hAnsi="Times New Roman" w:eastAsia="Times New Roman"/>
          <w:b w:val="0"/>
          <w:i/>
          <w:sz w:val="20"/>
        </w:rPr>
        <w:t>Figure 5a. Fold-1 one-vs-rest ROC curves.</w:t>
      </w:r>
    </w:p>
    <w:p>
      <w:pPr>
        <w:spacing w:before="160" w:after="40"/>
        <w:jc w:val="center"/>
      </w:pPr>
      <w:r>
        <w:drawing>
          <wp:inline xmlns:a="http://schemas.openxmlformats.org/drawingml/2006/main" xmlns:pic="http://schemas.openxmlformats.org/drawingml/2006/picture">
            <wp:extent cx="4572000" cy="3789336"/>
            <wp:docPr id="3" name="Picture 3"/>
            <wp:cNvGraphicFramePr>
              <a:graphicFrameLocks noChangeAspect="1"/>
            </wp:cNvGraphicFramePr>
            <a:graphic>
              <a:graphicData uri="http://schemas.openxmlformats.org/drawingml/2006/picture">
                <pic:pic>
                  <pic:nvPicPr>
                    <pic:cNvPr id="0" name="pr.png"/>
                    <pic:cNvPicPr/>
                  </pic:nvPicPr>
                  <pic:blipFill>
                    <a:blip r:embed="rId11"/>
                    <a:stretch>
                      <a:fillRect/>
                    </a:stretch>
                  </pic:blipFill>
                  <pic:spPr>
                    <a:xfrm>
                      <a:off x="0" y="0"/>
                      <a:ext cx="4572000" cy="3789336"/>
                    </a:xfrm>
                    <a:prstGeom prst="rect"/>
                  </pic:spPr>
                </pic:pic>
              </a:graphicData>
            </a:graphic>
          </wp:inline>
        </w:drawing>
      </w:r>
    </w:p>
    <w:p>
      <w:pPr>
        <w:spacing w:before="80" w:after="240" w:line="240" w:lineRule="auto"/>
        <w:jc w:val="center"/>
      </w:pPr>
      <w:r>
        <w:rPr>
          <w:rFonts w:ascii="Times New Roman" w:hAnsi="Times New Roman" w:eastAsia="Times New Roman"/>
          <w:b w:val="0"/>
          <w:i/>
          <w:sz w:val="20"/>
        </w:rPr>
        <w:t>Figure 5b. Fold-1 precision–recall curves.</w:t>
      </w:r>
    </w:p>
    <w:p>
      <w:pPr>
        <w:spacing w:before="160" w:after="40"/>
        <w:jc w:val="center"/>
      </w:pPr>
      <w:r>
        <w:drawing>
          <wp:inline xmlns:a="http://schemas.openxmlformats.org/drawingml/2006/main" xmlns:pic="http://schemas.openxmlformats.org/drawingml/2006/picture">
            <wp:extent cx="4572000" cy="4558018"/>
            <wp:docPr id="4" name="Picture 4"/>
            <wp:cNvGraphicFramePr>
              <a:graphicFrameLocks noChangeAspect="1"/>
            </wp:cNvGraphicFramePr>
            <a:graphic>
              <a:graphicData uri="http://schemas.openxmlformats.org/drawingml/2006/picture">
                <pic:pic>
                  <pic:nvPicPr>
                    <pic:cNvPr id="0" name="reliability.png"/>
                    <pic:cNvPicPr/>
                  </pic:nvPicPr>
                  <pic:blipFill>
                    <a:blip r:embed="rId12"/>
                    <a:stretch>
                      <a:fillRect/>
                    </a:stretch>
                  </pic:blipFill>
                  <pic:spPr>
                    <a:xfrm>
                      <a:off x="0" y="0"/>
                      <a:ext cx="4572000" cy="4558018"/>
                    </a:xfrm>
                    <a:prstGeom prst="rect"/>
                  </pic:spPr>
                </pic:pic>
              </a:graphicData>
            </a:graphic>
          </wp:inline>
        </w:drawing>
      </w:r>
    </w:p>
    <w:p>
      <w:pPr>
        <w:spacing w:before="80" w:after="240" w:line="240" w:lineRule="auto"/>
        <w:jc w:val="center"/>
      </w:pPr>
      <w:r>
        <w:rPr>
          <w:rFonts w:ascii="Times New Roman" w:hAnsi="Times New Roman" w:eastAsia="Times New Roman"/>
          <w:b w:val="0"/>
          <w:i/>
          <w:sz w:val="20"/>
        </w:rPr>
        <w:t>Figure 6. Fold-1 reliability / calibration diagram.</w:t>
      </w:r>
    </w:p>
    <w:p>
      <w:pPr>
        <w:spacing w:before="160" w:after="40"/>
        <w:jc w:val="center"/>
      </w:pPr>
      <w:r>
        <w:drawing>
          <wp:inline xmlns:a="http://schemas.openxmlformats.org/drawingml/2006/main" xmlns:pic="http://schemas.openxmlformats.org/drawingml/2006/picture">
            <wp:extent cx="4754880" cy="1867389"/>
            <wp:docPr id="5" name="Picture 5"/>
            <wp:cNvGraphicFramePr>
              <a:graphicFrameLocks noChangeAspect="1"/>
            </wp:cNvGraphicFramePr>
            <a:graphic>
              <a:graphicData uri="http://schemas.openxmlformats.org/drawingml/2006/picture">
                <pic:pic>
                  <pic:nvPicPr>
                    <pic:cNvPr id="0" name="training_curves.png"/>
                    <pic:cNvPicPr/>
                  </pic:nvPicPr>
                  <pic:blipFill>
                    <a:blip r:embed="rId13"/>
                    <a:stretch>
                      <a:fillRect/>
                    </a:stretch>
                  </pic:blipFill>
                  <pic:spPr>
                    <a:xfrm>
                      <a:off x="0" y="0"/>
                      <a:ext cx="4754880" cy="1867389"/>
                    </a:xfrm>
                    <a:prstGeom prst="rect"/>
                  </pic:spPr>
                </pic:pic>
              </a:graphicData>
            </a:graphic>
          </wp:inline>
        </w:drawing>
      </w:r>
    </w:p>
    <w:p>
      <w:pPr>
        <w:spacing w:before="80" w:after="240" w:line="240" w:lineRule="auto"/>
        <w:jc w:val="center"/>
      </w:pPr>
      <w:r>
        <w:rPr>
          <w:rFonts w:ascii="Times New Roman" w:hAnsi="Times New Roman" w:eastAsia="Times New Roman"/>
          <w:b w:val="0"/>
          <w:i/>
          <w:sz w:val="20"/>
        </w:rPr>
        <w:t>Figure 7. Fold-1 training curves (loss and macro-F1).</w:t>
      </w:r>
    </w:p>
    <w:p>
      <w:pPr>
        <w:spacing w:before="240" w:after="120" w:line="276" w:lineRule="auto"/>
      </w:pPr>
      <w:r>
        <w:rPr>
          <w:rFonts w:ascii="Times New Roman" w:hAnsi="Times New Roman" w:eastAsia="Times New Roman"/>
          <w:b/>
          <w:i w:val="0"/>
          <w:sz w:val="24"/>
        </w:rPr>
        <w:t>4.2 Leaky slice-level protocol</w:t>
      </w:r>
    </w:p>
    <w:p>
      <w:pPr>
        <w:spacing w:after="160" w:before="0" w:line="480" w:lineRule="auto"/>
        <w:ind w:firstLine="720"/>
        <w:jc w:val="both"/>
      </w:pPr>
      <w:r>
        <w:rPr>
          <w:rFonts w:ascii="Times New Roman" w:hAnsi="Times New Roman" w:eastAsia="Times New Roman"/>
          <w:b w:val="0"/>
          <w:i w:val="0"/>
          <w:sz w:val="22"/>
        </w:rPr>
        <w:t>Under slice-level random splitting, the same architecture reaches accuracy 0.980 and macro-F1 0.978 (AUROC 0.998, ECE 0.012). The absolute macro-F1 gap versus the patient-level mean is approximately 0.027. Because nearly all validation slices share patients with training, this gap is best read as leakage-driven inflation rather than an architectural improvement.</w:t>
      </w:r>
    </w:p>
    <w:p>
      <w:pPr>
        <w:spacing w:before="160" w:after="40"/>
        <w:jc w:val="center"/>
      </w:pPr>
      <w:r>
        <w:drawing>
          <wp:inline xmlns:a="http://schemas.openxmlformats.org/drawingml/2006/main" xmlns:pic="http://schemas.openxmlformats.org/drawingml/2006/picture">
            <wp:extent cx="4754880" cy="2671823"/>
            <wp:docPr id="6" name="Picture 6"/>
            <wp:cNvGraphicFramePr>
              <a:graphicFrameLocks noChangeAspect="1"/>
            </wp:cNvGraphicFramePr>
            <a:graphic>
              <a:graphicData uri="http://schemas.openxmlformats.org/drawingml/2006/picture">
                <pic:pic>
                  <pic:nvPicPr>
                    <pic:cNvPr id="0" name="patient_vs_slice_macro_f1.png"/>
                    <pic:cNvPicPr/>
                  </pic:nvPicPr>
                  <pic:blipFill>
                    <a:blip r:embed="rId14"/>
                    <a:stretch>
                      <a:fillRect/>
                    </a:stretch>
                  </pic:blipFill>
                  <pic:spPr>
                    <a:xfrm>
                      <a:off x="0" y="0"/>
                      <a:ext cx="4754880" cy="2671823"/>
                    </a:xfrm>
                    <a:prstGeom prst="rect"/>
                  </pic:spPr>
                </pic:pic>
              </a:graphicData>
            </a:graphic>
          </wp:inline>
        </w:drawing>
      </w:r>
    </w:p>
    <w:p>
      <w:pPr>
        <w:spacing w:before="80" w:after="240" w:line="240" w:lineRule="auto"/>
        <w:jc w:val="center"/>
      </w:pPr>
      <w:r>
        <w:rPr>
          <w:rFonts w:ascii="Times New Roman" w:hAnsi="Times New Roman" w:eastAsia="Times New Roman"/>
          <w:b w:val="0"/>
          <w:i/>
          <w:sz w:val="20"/>
        </w:rPr>
        <w:t>Figure 3. Macro-F1 comparison: patient-level mean vs leaky slice-level vs tumor-zeroed evaluation.</w:t>
      </w:r>
    </w:p>
    <w:p>
      <w:pPr>
        <w:spacing w:before="240" w:after="120" w:line="276" w:lineRule="auto"/>
      </w:pPr>
      <w:r>
        <w:rPr>
          <w:rFonts w:ascii="Times New Roman" w:hAnsi="Times New Roman" w:eastAsia="Times New Roman"/>
          <w:b/>
          <w:i w:val="0"/>
          <w:sz w:val="24"/>
        </w:rPr>
        <w:t>4.3 Near-duplicate audit</w:t>
      </w:r>
    </w:p>
    <w:p>
      <w:pPr>
        <w:spacing w:after="160" w:before="0" w:line="480" w:lineRule="auto"/>
        <w:ind w:firstLine="720"/>
        <w:jc w:val="both"/>
      </w:pPr>
      <w:r>
        <w:rPr>
          <w:rFonts w:ascii="Times New Roman" w:hAnsi="Times New Roman" w:eastAsia="Times New Roman"/>
          <w:b w:val="0"/>
          <w:i w:val="0"/>
          <w:sz w:val="22"/>
        </w:rPr>
        <w:t>Difference hashing over all 3,064 slices found 3,050 unique hashes and five cross-patient identical-hash groups. Near-duplicates therefore exist but are limited; they do not alone explain the larger inflation from slice-level splitting, which is dominated by intra-patient slice reuse across splits.</w:t>
      </w:r>
    </w:p>
    <w:p>
      <w:pPr>
        <w:spacing w:before="240" w:after="120" w:line="276" w:lineRule="auto"/>
      </w:pPr>
      <w:r>
        <w:rPr>
          <w:rFonts w:ascii="Times New Roman" w:hAnsi="Times New Roman" w:eastAsia="Times New Roman"/>
          <w:b/>
          <w:i w:val="0"/>
          <w:sz w:val="24"/>
        </w:rPr>
        <w:t>4.4 Tumor-masked control</w:t>
      </w:r>
    </w:p>
    <w:p>
      <w:pPr>
        <w:spacing w:after="160" w:before="0" w:line="480" w:lineRule="auto"/>
        <w:ind w:firstLine="720"/>
        <w:jc w:val="both"/>
      </w:pPr>
      <w:r>
        <w:rPr>
          <w:rFonts w:ascii="Times New Roman" w:hAnsi="Times New Roman" w:eastAsia="Times New Roman"/>
          <w:b w:val="0"/>
          <w:i w:val="0"/>
          <w:sz w:val="22"/>
        </w:rPr>
        <w:t>Evaluating the fold-1 patient-level checkpoint on images with tumor pixels zeroed yields accuracy 0.856 and macro-F1 0.816 (drop of 0.145 macro-F1 relative to unmasked fold-1). Meningioma recall collapses most severely, consistent with reliance on lesion appearance. However, training from scratch for 10 epochs on tumor-zeroed images still reaches best macro-F1 0.957—nearly matching the honest patient-level mean. Models therefore both use tumor evidence and exploit strong non-tumor context when forced to.</w:t>
      </w:r>
    </w:p>
    <w:p>
      <w:pPr>
        <w:spacing w:before="80" w:after="240" w:line="240" w:lineRule="auto"/>
        <w:jc w:val="center"/>
      </w:pPr>
      <w:r>
        <w:rPr>
          <w:rFonts w:ascii="Times New Roman" w:hAnsi="Times New Roman" w:eastAsia="Times New Roman"/>
          <w:b w:val="0"/>
          <w:i/>
          <w:sz w:val="20"/>
        </w:rPr>
        <w:t>Table 3. Ablation / audit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
              <w:rPr>
                <w:rFonts w:ascii="Times New Roman" w:hAnsi="Times New Roman" w:eastAsia="Times New Roman"/>
                <w:b/>
                <w:i w:val="0"/>
                <w:sz w:val="20"/>
              </w:rPr>
              <w:t>Protocol</w:t>
            </w:r>
          </w:p>
        </w:tc>
        <w:tc>
          <w:tcPr>
            <w:tcW w:type="dxa" w:w="2340"/>
          </w:tcPr>
          <w:p>
            <w:pPr>
              <w:jc w:val="center"/>
            </w:pPr>
            <w:r/>
            <w:r>
              <w:rPr>
                <w:rFonts w:ascii="Times New Roman" w:hAnsi="Times New Roman" w:eastAsia="Times New Roman"/>
                <w:b/>
                <w:i w:val="0"/>
                <w:sz w:val="20"/>
              </w:rPr>
              <w:t>Macro-F1</w:t>
            </w:r>
          </w:p>
        </w:tc>
        <w:tc>
          <w:tcPr>
            <w:tcW w:type="dxa" w:w="2340"/>
          </w:tcPr>
          <w:p>
            <w:pPr>
              <w:jc w:val="center"/>
            </w:pPr>
            <w:r/>
            <w:r>
              <w:rPr>
                <w:rFonts w:ascii="Times New Roman" w:hAnsi="Times New Roman" w:eastAsia="Times New Roman"/>
                <w:b/>
                <w:i w:val="0"/>
                <w:sz w:val="20"/>
              </w:rPr>
              <w:t>Accuracy</w:t>
            </w:r>
          </w:p>
        </w:tc>
        <w:tc>
          <w:tcPr>
            <w:tcW w:type="dxa" w:w="2340"/>
          </w:tcPr>
          <w:p>
            <w:pPr>
              <w:jc w:val="center"/>
            </w:pPr>
            <w:r/>
            <w:r>
              <w:rPr>
                <w:rFonts w:ascii="Times New Roman" w:hAnsi="Times New Roman" w:eastAsia="Times New Roman"/>
                <w:b/>
                <w:i w:val="0"/>
                <w:sz w:val="20"/>
              </w:rPr>
              <w:t>Interpretation</w:t>
            </w:r>
          </w:p>
        </w:tc>
      </w:tr>
      <w:tr>
        <w:tc>
          <w:tcPr>
            <w:tcW w:type="dxa" w:w="2340"/>
          </w:tcPr>
          <w:p>
            <w:pPr>
              <w:jc w:val="center"/>
            </w:pPr>
            <w:r/>
            <w:r>
              <w:rPr>
                <w:rFonts w:ascii="Times New Roman" w:hAnsi="Times New Roman" w:eastAsia="Times New Roman"/>
                <w:b w:val="0"/>
                <w:i w:val="0"/>
                <w:sz w:val="20"/>
              </w:rPr>
              <w:t>Patient-level (5-fold mean)</w:t>
            </w:r>
          </w:p>
        </w:tc>
        <w:tc>
          <w:tcPr>
            <w:tcW w:type="dxa" w:w="2340"/>
          </w:tcPr>
          <w:p>
            <w:pPr>
              <w:jc w:val="center"/>
            </w:pPr>
            <w:r/>
            <w:r>
              <w:rPr>
                <w:rFonts w:ascii="Times New Roman" w:hAnsi="Times New Roman" w:eastAsia="Times New Roman"/>
                <w:b w:val="0"/>
                <w:i w:val="0"/>
                <w:sz w:val="20"/>
              </w:rPr>
              <w:t>0.951</w:t>
            </w:r>
          </w:p>
        </w:tc>
        <w:tc>
          <w:tcPr>
            <w:tcW w:type="dxa" w:w="2340"/>
          </w:tcPr>
          <w:p>
            <w:pPr>
              <w:jc w:val="center"/>
            </w:pPr>
            <w:r/>
            <w:r>
              <w:rPr>
                <w:rFonts w:ascii="Times New Roman" w:hAnsi="Times New Roman" w:eastAsia="Times New Roman"/>
                <w:b w:val="0"/>
                <w:i w:val="0"/>
                <w:sz w:val="20"/>
              </w:rPr>
              <w:t>0.956</w:t>
            </w:r>
          </w:p>
        </w:tc>
        <w:tc>
          <w:tcPr>
            <w:tcW w:type="dxa" w:w="2340"/>
          </w:tcPr>
          <w:p>
            <w:pPr>
              <w:jc w:val="center"/>
            </w:pPr>
            <w:r/>
            <w:r>
              <w:rPr>
                <w:rFonts w:ascii="Times New Roman" w:hAnsi="Times New Roman" w:eastAsia="Times New Roman"/>
                <w:b w:val="0"/>
                <w:i w:val="0"/>
                <w:sz w:val="20"/>
              </w:rPr>
              <w:t>Primary honest estimate</w:t>
            </w:r>
          </w:p>
        </w:tc>
      </w:tr>
      <w:tr>
        <w:tc>
          <w:tcPr>
            <w:tcW w:type="dxa" w:w="2340"/>
          </w:tcPr>
          <w:p>
            <w:pPr>
              <w:jc w:val="center"/>
            </w:pPr>
            <w:r/>
            <w:r>
              <w:rPr>
                <w:rFonts w:ascii="Times New Roman" w:hAnsi="Times New Roman" w:eastAsia="Times New Roman"/>
                <w:b w:val="0"/>
                <w:i w:val="0"/>
                <w:sz w:val="20"/>
              </w:rPr>
              <w:t>Slice-level leaky</w:t>
            </w:r>
          </w:p>
        </w:tc>
        <w:tc>
          <w:tcPr>
            <w:tcW w:type="dxa" w:w="2340"/>
          </w:tcPr>
          <w:p>
            <w:pPr>
              <w:jc w:val="center"/>
            </w:pPr>
            <w:r/>
            <w:r>
              <w:rPr>
                <w:rFonts w:ascii="Times New Roman" w:hAnsi="Times New Roman" w:eastAsia="Times New Roman"/>
                <w:b w:val="0"/>
                <w:i w:val="0"/>
                <w:sz w:val="20"/>
              </w:rPr>
              <w:t>0.978</w:t>
            </w:r>
          </w:p>
        </w:tc>
        <w:tc>
          <w:tcPr>
            <w:tcW w:type="dxa" w:w="2340"/>
          </w:tcPr>
          <w:p>
            <w:pPr>
              <w:jc w:val="center"/>
            </w:pPr>
            <w:r/>
            <w:r>
              <w:rPr>
                <w:rFonts w:ascii="Times New Roman" w:hAnsi="Times New Roman" w:eastAsia="Times New Roman"/>
                <w:b w:val="0"/>
                <w:i w:val="0"/>
                <w:sz w:val="20"/>
              </w:rPr>
              <w:t>0.980</w:t>
            </w:r>
          </w:p>
        </w:tc>
        <w:tc>
          <w:tcPr>
            <w:tcW w:type="dxa" w:w="2340"/>
          </w:tcPr>
          <w:p>
            <w:pPr>
              <w:jc w:val="center"/>
            </w:pPr>
            <w:r/>
            <w:r>
              <w:rPr>
                <w:rFonts w:ascii="Times New Roman" w:hAnsi="Times New Roman" w:eastAsia="Times New Roman"/>
                <w:b w:val="0"/>
                <w:i w:val="0"/>
                <w:sz w:val="20"/>
              </w:rPr>
              <w:t>Inflated by patient overlap</w:t>
            </w:r>
          </w:p>
        </w:tc>
      </w:tr>
      <w:tr>
        <w:tc>
          <w:tcPr>
            <w:tcW w:type="dxa" w:w="2340"/>
          </w:tcPr>
          <w:p>
            <w:pPr>
              <w:jc w:val="center"/>
            </w:pPr>
            <w:r/>
            <w:r>
              <w:rPr>
                <w:rFonts w:ascii="Times New Roman" w:hAnsi="Times New Roman" w:eastAsia="Times New Roman"/>
                <w:b w:val="0"/>
                <w:i w:val="0"/>
                <w:sz w:val="20"/>
              </w:rPr>
              <w:t>Tumor-zeroed eval (fold 1)</w:t>
            </w:r>
          </w:p>
        </w:tc>
        <w:tc>
          <w:tcPr>
            <w:tcW w:type="dxa" w:w="2340"/>
          </w:tcPr>
          <w:p>
            <w:pPr>
              <w:jc w:val="center"/>
            </w:pPr>
            <w:r/>
            <w:r>
              <w:rPr>
                <w:rFonts w:ascii="Times New Roman" w:hAnsi="Times New Roman" w:eastAsia="Times New Roman"/>
                <w:b w:val="0"/>
                <w:i w:val="0"/>
                <w:sz w:val="20"/>
              </w:rPr>
              <w:t>0.816</w:t>
            </w:r>
          </w:p>
        </w:tc>
        <w:tc>
          <w:tcPr>
            <w:tcW w:type="dxa" w:w="2340"/>
          </w:tcPr>
          <w:p>
            <w:pPr>
              <w:jc w:val="center"/>
            </w:pPr>
            <w:r/>
            <w:r>
              <w:rPr>
                <w:rFonts w:ascii="Times New Roman" w:hAnsi="Times New Roman" w:eastAsia="Times New Roman"/>
                <w:b w:val="0"/>
                <w:i w:val="0"/>
                <w:sz w:val="20"/>
              </w:rPr>
              <w:t>0.856</w:t>
            </w:r>
          </w:p>
        </w:tc>
        <w:tc>
          <w:tcPr>
            <w:tcW w:type="dxa" w:w="2340"/>
          </w:tcPr>
          <w:p>
            <w:pPr>
              <w:jc w:val="center"/>
            </w:pPr>
            <w:r/>
            <w:r>
              <w:rPr>
                <w:rFonts w:ascii="Times New Roman" w:hAnsi="Times New Roman" w:eastAsia="Times New Roman"/>
                <w:b w:val="0"/>
                <w:i w:val="0"/>
                <w:sz w:val="20"/>
              </w:rPr>
              <w:t>Uses tumor region</w:t>
            </w:r>
          </w:p>
        </w:tc>
      </w:tr>
      <w:tr>
        <w:tc>
          <w:tcPr>
            <w:tcW w:type="dxa" w:w="2340"/>
          </w:tcPr>
          <w:p>
            <w:pPr>
              <w:jc w:val="center"/>
            </w:pPr>
            <w:r/>
            <w:r>
              <w:rPr>
                <w:rFonts w:ascii="Times New Roman" w:hAnsi="Times New Roman" w:eastAsia="Times New Roman"/>
                <w:b w:val="0"/>
                <w:i w:val="0"/>
                <w:sz w:val="20"/>
              </w:rPr>
              <w:t>Tumor-zeroed train (fold 1)</w:t>
            </w:r>
          </w:p>
        </w:tc>
        <w:tc>
          <w:tcPr>
            <w:tcW w:type="dxa" w:w="2340"/>
          </w:tcPr>
          <w:p>
            <w:pPr>
              <w:jc w:val="center"/>
            </w:pPr>
            <w:r/>
            <w:r>
              <w:rPr>
                <w:rFonts w:ascii="Times New Roman" w:hAnsi="Times New Roman" w:eastAsia="Times New Roman"/>
                <w:b w:val="0"/>
                <w:i w:val="0"/>
                <w:sz w:val="20"/>
              </w:rPr>
              <w:t>0.957</w:t>
            </w:r>
          </w:p>
        </w:tc>
        <w:tc>
          <w:tcPr>
            <w:tcW w:type="dxa" w:w="2340"/>
          </w:tcPr>
          <w:p>
            <w:pPr>
              <w:jc w:val="center"/>
            </w:pPr>
            <w:r/>
            <w:r>
              <w:rPr>
                <w:rFonts w:ascii="Times New Roman" w:hAnsi="Times New Roman" w:eastAsia="Times New Roman"/>
                <w:b w:val="0"/>
                <w:i w:val="0"/>
                <w:sz w:val="20"/>
              </w:rPr>
              <w:t>—</w:t>
            </w:r>
          </w:p>
        </w:tc>
        <w:tc>
          <w:tcPr>
            <w:tcW w:type="dxa" w:w="2340"/>
          </w:tcPr>
          <w:p>
            <w:pPr>
              <w:jc w:val="center"/>
            </w:pPr>
            <w:r/>
            <w:r>
              <w:rPr>
                <w:rFonts w:ascii="Times New Roman" w:hAnsi="Times New Roman" w:eastAsia="Times New Roman"/>
                <w:b w:val="0"/>
                <w:i w:val="0"/>
                <w:sz w:val="20"/>
              </w:rPr>
              <w:t>Background shortcuts remain</w:t>
            </w:r>
          </w:p>
        </w:tc>
      </w:tr>
    </w:tbl>
    <w:p/>
    <w:p>
      <w:pPr>
        <w:spacing w:before="240" w:after="120" w:line="276" w:lineRule="auto"/>
      </w:pPr>
      <w:r>
        <w:rPr>
          <w:rFonts w:ascii="Times New Roman" w:hAnsi="Times New Roman" w:eastAsia="Times New Roman"/>
          <w:b/>
          <w:i w:val="0"/>
          <w:sz w:val="24"/>
        </w:rPr>
        <w:t>4.5 Grad-CAM examples</w:t>
      </w:r>
    </w:p>
    <w:p>
      <w:pPr>
        <w:spacing w:after="160" w:before="0" w:line="480" w:lineRule="auto"/>
        <w:jc w:val="both"/>
      </w:pPr>
      <w:r>
        <w:rPr>
          <w:rFonts w:ascii="Times New Roman" w:hAnsi="Times New Roman" w:eastAsia="Times New Roman"/>
          <w:b w:val="0"/>
          <w:i w:val="0"/>
          <w:sz w:val="22"/>
        </w:rPr>
        <w:t>Grad-CAM overlays on fold-1 validation slices show attention concentrated near lesions for many correct predictions, while some failures highlight peripheral structure—qualitatively aligned with the masked-control evidence for mixed tumor and context use.</w:t>
      </w:r>
    </w:p>
    <w:p>
      <w:pPr>
        <w:spacing w:before="160" w:after="40"/>
        <w:jc w:val="center"/>
      </w:pPr>
      <w:r>
        <w:drawing>
          <wp:inline xmlns:a="http://schemas.openxmlformats.org/drawingml/2006/main" xmlns:pic="http://schemas.openxmlformats.org/drawingml/2006/picture">
            <wp:extent cx="5029200" cy="2514600"/>
            <wp:docPr id="7" name="Picture 7"/>
            <wp:cNvGraphicFramePr>
              <a:graphicFrameLocks noChangeAspect="1"/>
            </wp:cNvGraphicFramePr>
            <a:graphic>
              <a:graphicData uri="http://schemas.openxmlformats.org/drawingml/2006/picture">
                <pic:pic>
                  <pic:nvPicPr>
                    <pic:cNvPr id="0" name="correct_0.png"/>
                    <pic:cNvPicPr/>
                  </pic:nvPicPr>
                  <pic:blipFill>
                    <a:blip r:embed="rId15"/>
                    <a:stretch>
                      <a:fillRect/>
                    </a:stretch>
                  </pic:blipFill>
                  <pic:spPr>
                    <a:xfrm>
                      <a:off x="0" y="0"/>
                      <a:ext cx="5029200" cy="2514600"/>
                    </a:xfrm>
                    <a:prstGeom prst="rect"/>
                  </pic:spPr>
                </pic:pic>
              </a:graphicData>
            </a:graphic>
          </wp:inline>
        </w:drawing>
      </w:r>
    </w:p>
    <w:p>
      <w:pPr>
        <w:spacing w:before="80" w:after="240" w:line="240" w:lineRule="auto"/>
        <w:jc w:val="center"/>
      </w:pPr>
      <w:r>
        <w:rPr>
          <w:rFonts w:ascii="Times New Roman" w:hAnsi="Times New Roman" w:eastAsia="Times New Roman"/>
          <w:b w:val="0"/>
          <w:i/>
          <w:sz w:val="20"/>
        </w:rPr>
        <w:t>Figure 8a. Grad-CAM — correct prediction example.</w:t>
      </w:r>
    </w:p>
    <w:p>
      <w:pPr>
        <w:spacing w:before="160" w:after="40"/>
        <w:jc w:val="center"/>
      </w:pPr>
      <w:r>
        <w:drawing>
          <wp:inline xmlns:a="http://schemas.openxmlformats.org/drawingml/2006/main" xmlns:pic="http://schemas.openxmlformats.org/drawingml/2006/picture">
            <wp:extent cx="5029200" cy="2514600"/>
            <wp:docPr id="8" name="Picture 8"/>
            <wp:cNvGraphicFramePr>
              <a:graphicFrameLocks noChangeAspect="1"/>
            </wp:cNvGraphicFramePr>
            <a:graphic>
              <a:graphicData uri="http://schemas.openxmlformats.org/drawingml/2006/picture">
                <pic:pic>
                  <pic:nvPicPr>
                    <pic:cNvPr id="0" name="wrong_0.png"/>
                    <pic:cNvPicPr/>
                  </pic:nvPicPr>
                  <pic:blipFill>
                    <a:blip r:embed="rId16"/>
                    <a:stretch>
                      <a:fillRect/>
                    </a:stretch>
                  </pic:blipFill>
                  <pic:spPr>
                    <a:xfrm>
                      <a:off x="0" y="0"/>
                      <a:ext cx="5029200" cy="2514600"/>
                    </a:xfrm>
                    <a:prstGeom prst="rect"/>
                  </pic:spPr>
                </pic:pic>
              </a:graphicData>
            </a:graphic>
          </wp:inline>
        </w:drawing>
      </w:r>
    </w:p>
    <w:p>
      <w:pPr>
        <w:spacing w:before="80" w:after="240" w:line="240" w:lineRule="auto"/>
        <w:jc w:val="center"/>
      </w:pPr>
      <w:r>
        <w:rPr>
          <w:rFonts w:ascii="Times New Roman" w:hAnsi="Times New Roman" w:eastAsia="Times New Roman"/>
          <w:b w:val="0"/>
          <w:i/>
          <w:sz w:val="20"/>
        </w:rPr>
        <w:t>Figure 8b. Grad-CAM — incorrect prediction example.</w:t>
      </w:r>
    </w:p>
    <w:p>
      <w:pPr>
        <w:spacing w:before="160" w:after="40"/>
        <w:jc w:val="center"/>
      </w:pPr>
      <w:r>
        <w:drawing>
          <wp:inline xmlns:a="http://schemas.openxmlformats.org/drawingml/2006/main" xmlns:pic="http://schemas.openxmlformats.org/drawingml/2006/picture">
            <wp:extent cx="5029200" cy="2514600"/>
            <wp:docPr id="9" name="Picture 9"/>
            <wp:cNvGraphicFramePr>
              <a:graphicFrameLocks noChangeAspect="1"/>
            </wp:cNvGraphicFramePr>
            <a:graphic>
              <a:graphicData uri="http://schemas.openxmlformats.org/drawingml/2006/picture">
                <pic:pic>
                  <pic:nvPicPr>
                    <pic:cNvPr id="0" name="correct_1.png"/>
                    <pic:cNvPicPr/>
                  </pic:nvPicPr>
                  <pic:blipFill>
                    <a:blip r:embed="rId17"/>
                    <a:stretch>
                      <a:fillRect/>
                    </a:stretch>
                  </pic:blipFill>
                  <pic:spPr>
                    <a:xfrm>
                      <a:off x="0" y="0"/>
                      <a:ext cx="5029200" cy="2514600"/>
                    </a:xfrm>
                    <a:prstGeom prst="rect"/>
                  </pic:spPr>
                </pic:pic>
              </a:graphicData>
            </a:graphic>
          </wp:inline>
        </w:drawing>
      </w:r>
    </w:p>
    <w:p>
      <w:pPr>
        <w:spacing w:before="80" w:after="240" w:line="240" w:lineRule="auto"/>
        <w:jc w:val="center"/>
      </w:pPr>
      <w:r>
        <w:rPr>
          <w:rFonts w:ascii="Times New Roman" w:hAnsi="Times New Roman" w:eastAsia="Times New Roman"/>
          <w:b w:val="0"/>
          <w:i/>
          <w:sz w:val="20"/>
        </w:rPr>
        <w:t>Figure 8c. Grad-CAM — additional correct example.</w:t>
      </w:r>
    </w:p>
    <w:p>
      <w:pPr>
        <w:spacing w:before="160" w:after="40"/>
        <w:jc w:val="center"/>
      </w:pPr>
      <w:r>
        <w:drawing>
          <wp:inline xmlns:a="http://schemas.openxmlformats.org/drawingml/2006/main" xmlns:pic="http://schemas.openxmlformats.org/drawingml/2006/picture">
            <wp:extent cx="5029200" cy="2514600"/>
            <wp:docPr id="10" name="Picture 10"/>
            <wp:cNvGraphicFramePr>
              <a:graphicFrameLocks noChangeAspect="1"/>
            </wp:cNvGraphicFramePr>
            <a:graphic>
              <a:graphicData uri="http://schemas.openxmlformats.org/drawingml/2006/picture">
                <pic:pic>
                  <pic:nvPicPr>
                    <pic:cNvPr id="0" name="wrong_1.png"/>
                    <pic:cNvPicPr/>
                  </pic:nvPicPr>
                  <pic:blipFill>
                    <a:blip r:embed="rId18"/>
                    <a:stretch>
                      <a:fillRect/>
                    </a:stretch>
                  </pic:blipFill>
                  <pic:spPr>
                    <a:xfrm>
                      <a:off x="0" y="0"/>
                      <a:ext cx="5029200" cy="2514600"/>
                    </a:xfrm>
                    <a:prstGeom prst="rect"/>
                  </pic:spPr>
                </pic:pic>
              </a:graphicData>
            </a:graphic>
          </wp:inline>
        </w:drawing>
      </w:r>
    </w:p>
    <w:p>
      <w:pPr>
        <w:spacing w:before="80" w:after="240" w:line="240" w:lineRule="auto"/>
        <w:jc w:val="center"/>
      </w:pPr>
      <w:r>
        <w:rPr>
          <w:rFonts w:ascii="Times New Roman" w:hAnsi="Times New Roman" w:eastAsia="Times New Roman"/>
          <w:b w:val="0"/>
          <w:i/>
          <w:sz w:val="20"/>
        </w:rPr>
        <w:t>Figure 8d. Grad-CAM — additional failure example.</w:t>
      </w:r>
    </w:p>
    <w:p>
      <w:pPr>
        <w:spacing w:before="360" w:after="120" w:line="276" w:lineRule="auto"/>
      </w:pPr>
      <w:r>
        <w:rPr>
          <w:rFonts w:ascii="Times New Roman" w:hAnsi="Times New Roman" w:eastAsia="Times New Roman"/>
          <w:b/>
          <w:i w:val="0"/>
          <w:sz w:val="28"/>
        </w:rPr>
        <w:t>5. Discussion</w:t>
      </w:r>
    </w:p>
    <w:p>
      <w:pPr>
        <w:spacing w:after="160" w:before="0" w:line="480" w:lineRule="auto"/>
        <w:ind w:firstLine="720"/>
        <w:jc w:val="both"/>
      </w:pPr>
      <w:r>
        <w:rPr>
          <w:rFonts w:ascii="Times New Roman" w:hAnsi="Times New Roman" w:eastAsia="Times New Roman"/>
          <w:b w:val="0"/>
          <w:i w:val="0"/>
          <w:sz w:val="22"/>
        </w:rPr>
        <w:t>Three takeaways follow. First, an honest patient-level ResNet-18 on Figshare lands near macro-F1 0.95, not 0.99: still strong, but less spectacular than many slice-level reports. Second, slice-level random splits create extreme patient overlap (~99% of validation slices) and inflate metrics; journals should require patient-level protocols and overlap audits. Third, tumor masking shows a nuanced shortcut story: pretrained patient-level models lose performance when tumors are removed (they do look at lesions), yet models can re-learn high accuracy from background alone—so Grad-CAM “tumor focus” does not prove shortcut-free decision making.</w:t>
      </w:r>
    </w:p>
    <w:p>
      <w:pPr>
        <w:spacing w:after="160" w:before="0" w:line="480" w:lineRule="auto"/>
        <w:ind w:firstLine="720"/>
        <w:jc w:val="both"/>
      </w:pPr>
      <w:r>
        <w:rPr>
          <w:rFonts w:ascii="Times New Roman" w:hAnsi="Times New Roman" w:eastAsia="Times New Roman"/>
          <w:b w:val="0"/>
          <w:i w:val="0"/>
          <w:sz w:val="22"/>
        </w:rPr>
        <w:t>Limitations: this draft uses a single backbone (ResNet-18) and primary seed; ResNet-50 and multi-seed sensitivity remain optional. Imaging-plane metadata is incomplete on Figshare, so plane-only baselines were not fully quantified. The literature table is illustrative, not a PRISMA-style review. Figshare is 2D and saturated; Papers B–D move to 3D multi-parametric MRI, radiogenomics, survival, and segmentation robustness with overlap-safe external tests.</w:t>
      </w:r>
    </w:p>
    <w:p>
      <w:pPr>
        <w:spacing w:before="360" w:after="120" w:line="276" w:lineRule="auto"/>
      </w:pPr>
      <w:r>
        <w:rPr>
          <w:rFonts w:ascii="Times New Roman" w:hAnsi="Times New Roman" w:eastAsia="Times New Roman"/>
          <w:b/>
          <w:i w:val="0"/>
          <w:sz w:val="28"/>
        </w:rPr>
        <w:t>6. Conclusion</w:t>
      </w:r>
    </w:p>
    <w:p>
      <w:pPr>
        <w:spacing w:after="160" w:before="0" w:line="480" w:lineRule="auto"/>
        <w:ind w:firstLine="720"/>
        <w:jc w:val="both"/>
      </w:pPr>
      <w:r>
        <w:rPr>
          <w:rFonts w:ascii="Times New Roman" w:hAnsi="Times New Roman" w:eastAsia="Times New Roman"/>
          <w:b w:val="0"/>
          <w:i w:val="0"/>
          <w:sz w:val="22"/>
        </w:rPr>
        <w:t>Patient-level evaluation, leakage audits, and tumor-masked controls jointly show that Figshare-style 2D brain-tumor classification results are easy to overstate. We recommend frozen patient folds, mandatory overlap statistics, calibration reporting, and shortcut controls before claiming clinical relevance. Code, splits, metrics, and figures are packaged under experiments/paper_a/ in the brain-tumor-radiogenomics repository.</w:t>
      </w:r>
    </w:p>
    <w:p>
      <w:pPr>
        <w:spacing w:before="360" w:after="120" w:line="276" w:lineRule="auto"/>
      </w:pPr>
      <w:r>
        <w:rPr>
          <w:rFonts w:ascii="Times New Roman" w:hAnsi="Times New Roman" w:eastAsia="Times New Roman"/>
          <w:b/>
          <w:i w:val="0"/>
          <w:sz w:val="28"/>
        </w:rPr>
        <w:t>7. Reproducibility</w:t>
      </w:r>
    </w:p>
    <w:p>
      <w:pPr>
        <w:spacing w:after="160" w:before="0" w:line="480" w:lineRule="auto"/>
        <w:jc w:val="both"/>
      </w:pPr>
      <w:r>
        <w:rPr>
          <w:rFonts w:ascii="Times New Roman" w:hAnsi="Times New Roman" w:eastAsia="Times New Roman"/>
          <w:b w:val="0"/>
          <w:i w:val="0"/>
          <w:sz w:val="22"/>
        </w:rPr>
        <w:t>Repository: https://github.com/itxsamad1/brain-tumor-radiogenomics. Data DOI: 10.6084/m9.figshare.1512427. Kaggle dataset: itxsamad/btlab-figshare-paper-a. Training kernel: itxsamad/btlab-paper-a-full. Artifacts: experiments/paper_a/summary.json, fold*_resnet18/, leaky_slice_split/, tumor_masked/, gradcam/, audits/. Interactive demo: streamlit app under app/paper_a_demo.py.</w:t>
      </w:r>
    </w:p>
    <w:p>
      <w:pPr>
        <w:spacing w:before="360" w:after="120" w:line="276" w:lineRule="auto"/>
      </w:pPr>
      <w:r>
        <w:rPr>
          <w:rFonts w:ascii="Times New Roman" w:hAnsi="Times New Roman" w:eastAsia="Times New Roman"/>
          <w:b/>
          <w:i w:val="0"/>
          <w:sz w:val="28"/>
        </w:rPr>
        <w:t>References</w:t>
      </w:r>
    </w:p>
    <w:p>
      <w:pPr>
        <w:spacing w:after="80" w:line="276" w:lineRule="auto"/>
        <w:ind w:left="360" w:hanging="360"/>
      </w:pPr>
      <w:r>
        <w:rPr>
          <w:rFonts w:ascii="Times New Roman" w:hAnsi="Times New Roman" w:eastAsia="Times New Roman"/>
          <w:b w:val="0"/>
          <w:i w:val="0"/>
          <w:sz w:val="20"/>
        </w:rPr>
        <w:t>[1] Cheng, J. et al. Figshare brain tumor dataset. https://doi.org/10.6084/m9.figshare.1512427</w:t>
      </w:r>
    </w:p>
    <w:p>
      <w:pPr>
        <w:spacing w:after="80" w:line="276" w:lineRule="auto"/>
        <w:ind w:left="360" w:hanging="360"/>
      </w:pPr>
      <w:r>
        <w:rPr>
          <w:rFonts w:ascii="Times New Roman" w:hAnsi="Times New Roman" w:eastAsia="Times New Roman"/>
          <w:b w:val="0"/>
          <w:i w:val="0"/>
          <w:sz w:val="20"/>
        </w:rPr>
        <w:t>[2] He, K. et al. Deep Residual Learning for Image Recognition. CVPR 2016.</w:t>
      </w:r>
    </w:p>
    <w:p>
      <w:pPr>
        <w:spacing w:after="80" w:line="276" w:lineRule="auto"/>
        <w:ind w:left="360" w:hanging="360"/>
      </w:pPr>
      <w:r>
        <w:rPr>
          <w:rFonts w:ascii="Times New Roman" w:hAnsi="Times New Roman" w:eastAsia="Times New Roman"/>
          <w:b w:val="0"/>
          <w:i w:val="0"/>
          <w:sz w:val="20"/>
        </w:rPr>
        <w:t>[3] Selvaraju, R.R. et al. Grad-CAM: Visual Explanations from Deep Networks. ICCV 2017.</w:t>
      </w:r>
    </w:p>
    <w:p>
      <w:pPr>
        <w:spacing w:after="80" w:line="276" w:lineRule="auto"/>
        <w:ind w:left="360" w:hanging="360"/>
      </w:pPr>
      <w:r>
        <w:rPr>
          <w:rFonts w:ascii="Times New Roman" w:hAnsi="Times New Roman" w:eastAsia="Times New Roman"/>
          <w:b w:val="0"/>
          <w:i w:val="0"/>
          <w:sz w:val="20"/>
        </w:rPr>
        <w:t>[4] Geirhos, R. et al. Shortcut Learning in Deep Neural Networks. Nature Machine Intelligence 2020.</w:t>
      </w:r>
    </w:p>
    <w:p>
      <w:pPr>
        <w:spacing w:after="80" w:line="276" w:lineRule="auto"/>
        <w:ind w:left="360" w:hanging="360"/>
      </w:pPr>
      <w:r>
        <w:rPr>
          <w:rFonts w:ascii="Times New Roman" w:hAnsi="Times New Roman" w:eastAsia="Times New Roman"/>
          <w:b w:val="0"/>
          <w:i w:val="0"/>
          <w:sz w:val="20"/>
        </w:rPr>
        <w:t>[5] Roberts, M. et al. Common pitfalls and recommendations for using machine learning to detect and prognosticate for COVID-19 using chest radiographs and CT scans. Nature Machine Intelligence 2021 (broader medical-ML leakage lessons).</w:t>
      </w:r>
    </w:p>
    <w:p>
      <w:pPr>
        <w:spacing w:after="80" w:line="276" w:lineRule="auto"/>
        <w:ind w:left="360" w:hanging="360"/>
      </w:pPr>
      <w:r>
        <w:rPr>
          <w:rFonts w:ascii="Times New Roman" w:hAnsi="Times New Roman" w:eastAsia="Times New Roman"/>
          <w:b w:val="0"/>
          <w:i w:val="0"/>
          <w:sz w:val="20"/>
        </w:rPr>
        <w:t>[6] brain-tumor-radiogenomics project docs/PAPER_PUBLISH_PLAN.md (internal experimental plan).</w:t>
      </w:r>
    </w:p>
    <w:p>
      <w:pPr>
        <w:spacing w:before="360" w:after="120" w:line="276" w:lineRule="auto"/>
      </w:pPr>
      <w:r>
        <w:rPr>
          <w:rFonts w:ascii="Times New Roman" w:hAnsi="Times New Roman" w:eastAsia="Times New Roman"/>
          <w:b/>
          <w:i w:val="0"/>
          <w:sz w:val="28"/>
        </w:rPr>
        <w:t>Appendix A. Status relative to full publish checklist</w:t>
      </w:r>
    </w:p>
    <w:p>
      <w:pPr>
        <w:spacing w:after="160" w:before="0" w:line="480" w:lineRule="auto"/>
        <w:jc w:val="both"/>
      </w:pPr>
      <w:r>
        <w:rPr>
          <w:rFonts w:ascii="Times New Roman" w:hAnsi="Times New Roman" w:eastAsia="Times New Roman"/>
          <w:b w:val="0"/>
          <w:i w:val="0"/>
          <w:sz w:val="22"/>
        </w:rPr>
        <w:t>Completed: metrics pipeline; 5-fold ResNet-18; leaky baseline; dHash audit; Grad-CAM; tumor-masked eval+train; aggregated REPORT and this manuscript draft. Optional remaining: ResNet-50 / multi-seed; formal systematic literature table; camera-ready journal formatting and CLAIM checklist for later clinical papers (B–D).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