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Offer Evaluation – Functional Description</w:t>
      </w:r>
    </w:p>
    <w:p>
      <w:pPr>
        <w:pStyle w:val="Heading1"/>
        <w:spacing w:before="160" w:after="80"/>
      </w:pPr>
      <w:r>
        <w:t>1. Objective</w:t>
      </w:r>
    </w:p>
    <w:p>
      <w:r>
        <w:t>The system shall automatically evaluate and rank all submitted offers using the same standardized scoring method.</w:t>
      </w:r>
    </w:p>
    <w:p>
      <w:r>
        <w:t>Each offer must be assessed both:</w:t>
      </w:r>
    </w:p>
    <w:p>
      <w:pPr>
        <w:pStyle w:val="ListBullet"/>
        <w:spacing w:after="40"/>
      </w:pPr>
      <w:r>
        <w:t>on the total offer level, and</w:t>
      </w:r>
    </w:p>
    <w:p>
      <w:pPr>
        <w:pStyle w:val="ListBullet"/>
        <w:spacing w:after="40"/>
      </w:pPr>
      <w:r>
        <w:t>on the individual line-item level.</w:t>
      </w:r>
    </w:p>
    <w:p>
      <w:r>
        <w:t>The objective is to identify the economically most reasonable and reliable offer, not simply the cheapest one. The system must therefore penalize both excessively high prices and unusually low or implausible prices. The maximum score is 100 points.</w:t>
      </w:r>
    </w:p>
    <w:p>
      <w:pPr>
        <w:pStyle w:val="Heading1"/>
        <w:spacing w:before="160" w:after="80"/>
      </w:pPr>
      <w:r>
        <w:t>2. Scoring Structure</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Evaluation Category</w:t>
            </w:r>
          </w:p>
        </w:tc>
        <w:tc>
          <w:tcPr>
            <w:tcW w:type="dxa" w:w="5040"/>
            <w:shd w:fill="1F4E78"/>
          </w:tcPr>
          <w:p>
            <w:r>
              <w:rPr>
                <w:b/>
                <w:color w:val="FFFFFF"/>
              </w:rPr>
              <w:t>Maximum Points</w:t>
            </w:r>
          </w:p>
        </w:tc>
      </w:tr>
      <w:tr>
        <w:tc>
          <w:tcPr>
            <w:tcW w:type="dxa" w:w="5040"/>
            <w:vAlign w:val="center"/>
          </w:tcPr>
          <w:p>
            <w:r>
              <w:t>Price – Total Offer</w:t>
            </w:r>
          </w:p>
        </w:tc>
        <w:tc>
          <w:tcPr>
            <w:tcW w:type="dxa" w:w="5040"/>
            <w:vAlign w:val="center"/>
          </w:tcPr>
          <w:p>
            <w:r>
              <w:t>45</w:t>
            </w:r>
          </w:p>
        </w:tc>
      </w:tr>
      <w:tr>
        <w:tc>
          <w:tcPr>
            <w:tcW w:type="dxa" w:w="5040"/>
            <w:vAlign w:val="center"/>
          </w:tcPr>
          <w:p>
            <w:r>
              <w:t>Price Plausibility – Individual Positions</w:t>
            </w:r>
          </w:p>
        </w:tc>
        <w:tc>
          <w:tcPr>
            <w:tcW w:type="dxa" w:w="5040"/>
            <w:vAlign w:val="center"/>
          </w:tcPr>
          <w:p>
            <w:r>
              <w:t>15</w:t>
            </w:r>
          </w:p>
        </w:tc>
      </w:tr>
      <w:tr>
        <w:tc>
          <w:tcPr>
            <w:tcW w:type="dxa" w:w="5040"/>
            <w:vAlign w:val="center"/>
          </w:tcPr>
          <w:p>
            <w:r>
              <w:t>Property Manager Rating</w:t>
            </w:r>
          </w:p>
        </w:tc>
        <w:tc>
          <w:tcPr>
            <w:tcW w:type="dxa" w:w="5040"/>
            <w:vAlign w:val="center"/>
          </w:tcPr>
          <w:p>
            <w:r>
              <w:t>12</w:t>
            </w:r>
          </w:p>
        </w:tc>
      </w:tr>
      <w:tr>
        <w:tc>
          <w:tcPr>
            <w:tcW w:type="dxa" w:w="5040"/>
            <w:vAlign w:val="center"/>
          </w:tcPr>
          <w:p>
            <w:r>
              <w:t>VERGO System Supplier Rating</w:t>
            </w:r>
          </w:p>
        </w:tc>
        <w:tc>
          <w:tcPr>
            <w:tcW w:type="dxa" w:w="5040"/>
            <w:vAlign w:val="center"/>
          </w:tcPr>
          <w:p>
            <w:r>
              <w:t>12</w:t>
            </w:r>
          </w:p>
        </w:tc>
      </w:tr>
      <w:tr>
        <w:tc>
          <w:tcPr>
            <w:tcW w:type="dxa" w:w="5040"/>
            <w:vAlign w:val="center"/>
          </w:tcPr>
          <w:p>
            <w:r>
              <w:t>Start Date and Expected Completion Date</w:t>
            </w:r>
          </w:p>
        </w:tc>
        <w:tc>
          <w:tcPr>
            <w:tcW w:type="dxa" w:w="5040"/>
            <w:vAlign w:val="center"/>
          </w:tcPr>
          <w:p>
            <w:r>
              <w:t>11</w:t>
            </w:r>
          </w:p>
        </w:tc>
      </w:tr>
      <w:tr>
        <w:tc>
          <w:tcPr>
            <w:tcW w:type="dxa" w:w="5040"/>
            <w:vAlign w:val="center"/>
          </w:tcPr>
          <w:p>
            <w:r>
              <w:t>Previous Experience at the Property</w:t>
            </w:r>
          </w:p>
        </w:tc>
        <w:tc>
          <w:tcPr>
            <w:tcW w:type="dxa" w:w="5040"/>
            <w:vAlign w:val="center"/>
          </w:tcPr>
          <w:p>
            <w:r>
              <w:t>5</w:t>
            </w:r>
          </w:p>
        </w:tc>
      </w:tr>
      <w:tr>
        <w:tc>
          <w:tcPr>
            <w:tcW w:type="dxa" w:w="5040"/>
            <w:vAlign w:val="center"/>
          </w:tcPr>
          <w:p>
            <w:r>
              <w:t>Total</w:t>
            </w:r>
          </w:p>
        </w:tc>
        <w:tc>
          <w:tcPr>
            <w:tcW w:type="dxa" w:w="5040"/>
            <w:vAlign w:val="center"/>
          </w:tcPr>
          <w:p>
            <w:r>
              <w:t>100</w:t>
            </w:r>
          </w:p>
        </w:tc>
      </w:tr>
    </w:tbl>
    <w:p>
      <w:r>
        <w:t>Price therefore represents 60% of the total evaluation. There shall be no fixed maximum price limit or automatic exclusion based on price difference. Higher-priced offers must instead lose points proportionally through the scoring model.</w:t>
      </w:r>
    </w:p>
    <w:p>
      <w:pPr>
        <w:pStyle w:val="Heading1"/>
        <w:spacing w:before="160" w:after="80"/>
      </w:pPr>
      <w:r>
        <w:t>3. Total Price Evaluation – Maximum 45 Points</w:t>
      </w:r>
    </w:p>
    <w:p>
      <w:r>
        <w:t>The system shall compare the total price of each offer against all other comparable offers. The cheapest offer must not automatically receive the highest score. Before awarding price points, the system must determine whether the total price is economically plausible.</w:t>
      </w:r>
    </w:p>
    <w:p>
      <w:r>
        <w:t>The following values shall be calculated for every offer:</w:t>
      </w:r>
    </w:p>
    <w:p>
      <w:pPr>
        <w:pStyle w:val="ListBullet"/>
        <w:spacing w:after="40"/>
      </w:pPr>
      <w:r>
        <w:t>total offer price,</w:t>
      </w:r>
    </w:p>
    <w:p>
      <w:pPr>
        <w:pStyle w:val="ListBullet"/>
        <w:spacing w:after="40"/>
      </w:pPr>
      <w:r>
        <w:t>absolute difference in CHF compared with competing offers,</w:t>
      </w:r>
    </w:p>
    <w:p>
      <w:pPr>
        <w:pStyle w:val="ListBullet"/>
        <w:spacing w:after="40"/>
      </w:pPr>
      <w:r>
        <w:t>percentage price difference,</w:t>
      </w:r>
    </w:p>
    <w:p>
      <w:pPr>
        <w:pStyle w:val="ListBullet"/>
        <w:spacing w:after="40"/>
      </w:pPr>
      <w:r>
        <w:t>deviation from the median of comparable offers,</w:t>
      </w:r>
    </w:p>
    <w:p>
      <w:pPr>
        <w:pStyle w:val="ListBullet"/>
        <w:spacing w:after="40"/>
      </w:pPr>
      <w:r>
        <w:t>deviation from historical comparable prices, where sufficient historical data exists.</w:t>
      </w:r>
    </w:p>
    <w:p>
      <w:r>
        <w:t>Both the absolute CHF difference and the percentage difference must influence the evaluation. For smaller and medium-sized maintenance orders, relatively small absolute differences can already be commercially significant. For larger orders, percentage differences should have a stronger influence. A substantially more expensive offer must therefore lose enough price points that superior ratings in the other categories do not automatically compensate for an excessive price difference.</w:t>
      </w:r>
    </w:p>
    <w:p>
      <w:pPr>
        <w:pStyle w:val="Heading1"/>
        <w:spacing w:before="160" w:after="80"/>
      </w:pPr>
      <w:r>
        <w:t>4. Individual Position Evaluation – Maximum 15 Points</w:t>
      </w:r>
    </w:p>
    <w:p>
      <w:r>
        <w:t>Every individual offer position must be evaluated separately.</w:t>
      </w:r>
    </w:p>
    <w:p>
      <w:r>
        <w:t>For each position, the system shall process at least:</w:t>
      </w:r>
    </w:p>
    <w:p>
      <w:pPr>
        <w:pStyle w:val="ListBullet"/>
        <w:spacing w:after="40"/>
      </w:pPr>
      <w:r>
        <w:t>description of the service,</w:t>
      </w:r>
    </w:p>
    <w:p>
      <w:pPr>
        <w:pStyle w:val="ListBullet"/>
        <w:spacing w:after="40"/>
      </w:pPr>
      <w:r>
        <w:t>quantity,</w:t>
      </w:r>
    </w:p>
    <w:p>
      <w:pPr>
        <w:pStyle w:val="ListBullet"/>
        <w:spacing w:after="40"/>
      </w:pPr>
      <w:r>
        <w:t>unit,</w:t>
      </w:r>
    </w:p>
    <w:p>
      <w:pPr>
        <w:pStyle w:val="ListBullet"/>
        <w:spacing w:after="40"/>
      </w:pPr>
      <w:r>
        <w:t>unit price,</w:t>
      </w:r>
    </w:p>
    <w:p>
      <w:pPr>
        <w:pStyle w:val="ListBullet"/>
        <w:spacing w:after="40"/>
      </w:pPr>
      <w:r>
        <w:t>total position price,</w:t>
      </w:r>
    </w:p>
    <w:p>
      <w:pPr>
        <w:pStyle w:val="ListBullet"/>
        <w:spacing w:after="40"/>
      </w:pPr>
      <w:r>
        <w:t>corresponding positions from competing offers,</w:t>
      </w:r>
    </w:p>
    <w:p>
      <w:pPr>
        <w:pStyle w:val="ListBullet"/>
        <w:spacing w:after="40"/>
      </w:pPr>
      <w:r>
        <w:t>historical comparable prices.</w:t>
      </w:r>
    </w:p>
    <w:p>
      <w:r>
        <w:t>Comparable positions from different suppliers must be matched and evaluated against each other. The position-level evaluation shall determine whether the offered price is economically plausible.</w:t>
      </w:r>
    </w:p>
    <w:p>
      <w:pPr>
        <w:pStyle w:val="Heading1"/>
        <w:spacing w:before="160" w:after="80"/>
      </w:pPr>
      <w:r>
        <w:t>5. Unit Price Evaluation</w:t>
      </w:r>
    </w:p>
    <w:p>
      <w:r>
        <w:t>The system shall calculate or use the unit price for each position:</w:t>
      </w:r>
    </w:p>
    <w:p>
      <w:r>
        <w:rPr>
          <w:b/>
        </w:rPr>
        <w:t>Unit Price = Total Position Price / Quantity</w:t>
      </w:r>
    </w:p>
    <w:p>
      <w:r>
        <w:t>The unit price shall be compared with:</w:t>
      </w:r>
    </w:p>
    <w:p>
      <w:pPr>
        <w:pStyle w:val="ListBullet"/>
        <w:spacing w:after="40"/>
      </w:pPr>
      <w:r>
        <w:t>unit prices from other suppliers in the same tender process,</w:t>
      </w:r>
    </w:p>
    <w:p>
      <w:pPr>
        <w:pStyle w:val="ListBullet"/>
        <w:spacing w:after="40"/>
      </w:pPr>
      <w:r>
        <w:t>historical unit prices from the same supplier,</w:t>
      </w:r>
    </w:p>
    <w:p>
      <w:pPr>
        <w:pStyle w:val="ListBullet"/>
        <w:spacing w:after="40"/>
      </w:pPr>
      <w:r>
        <w:t>historical unit prices from other suppliers,</w:t>
      </w:r>
    </w:p>
    <w:p>
      <w:pPr>
        <w:pStyle w:val="ListBullet"/>
        <w:spacing w:after="40"/>
      </w:pPr>
      <w:r>
        <w:t>historical prices for comparable services,</w:t>
      </w:r>
    </w:p>
    <w:p>
      <w:pPr>
        <w:pStyle w:val="ListBullet"/>
        <w:spacing w:after="40"/>
      </w:pPr>
      <w:r>
        <w:t>historical prices for comparable properties,</w:t>
      </w:r>
    </w:p>
    <w:p>
      <w:pPr>
        <w:pStyle w:val="ListBullet"/>
        <w:spacing w:after="40"/>
      </w:pPr>
      <w:r>
        <w:t>historical prices for the same trade and service type.</w:t>
      </w:r>
    </w:p>
    <w:p>
      <w:r>
        <w:t>The system should primarily compare like-for-like combinations of Trade + Service + Unit where sufficient data is available.</w:t>
      </w:r>
    </w:p>
    <w:p>
      <w:pPr>
        <w:pStyle w:val="Heading1"/>
        <w:spacing w:before="160" w:after="80"/>
      </w:pPr>
      <w:r>
        <w:t>6. Quantity Plausibility</w:t>
      </w:r>
    </w:p>
    <w:p>
      <w:r>
        <w:t>The system must also evaluate the offered quantity of each position. Quantities shall be compared against:</w:t>
      </w:r>
    </w:p>
    <w:p>
      <w:pPr>
        <w:pStyle w:val="ListBullet"/>
        <w:spacing w:after="40"/>
      </w:pPr>
      <w:r>
        <w:t>quantities offered by competing suppliers,</w:t>
      </w:r>
    </w:p>
    <w:p>
      <w:pPr>
        <w:pStyle w:val="ListBullet"/>
        <w:spacing w:after="40"/>
      </w:pPr>
      <w:r>
        <w:t>quantities specified in the tender process,</w:t>
      </w:r>
    </w:p>
    <w:p>
      <w:pPr>
        <w:pStyle w:val="ListBullet"/>
        <w:spacing w:after="40"/>
      </w:pPr>
      <w:r>
        <w:t>historical quantities for comparable work where applicable.</w:t>
      </w:r>
    </w:p>
    <w:p>
      <w:r>
        <w:t>The system shall detect significant deviations, including:</w:t>
      </w:r>
    </w:p>
    <w:p>
      <w:pPr>
        <w:pStyle w:val="ListBullet"/>
        <w:spacing w:after="40"/>
      </w:pPr>
      <w:r>
        <w:t>unusually low quantities,</w:t>
      </w:r>
    </w:p>
    <w:p>
      <w:pPr>
        <w:pStyle w:val="ListBullet"/>
        <w:spacing w:after="40"/>
      </w:pPr>
      <w:r>
        <w:t>unusually high quantities,</w:t>
      </w:r>
    </w:p>
    <w:p>
      <w:pPr>
        <w:pStyle w:val="ListBullet"/>
        <w:spacing w:after="40"/>
      </w:pPr>
      <w:r>
        <w:t>quantities inconsistent with competing offers,</w:t>
      </w:r>
    </w:p>
    <w:p>
      <w:pPr>
        <w:pStyle w:val="ListBullet"/>
        <w:spacing w:after="40"/>
      </w:pPr>
      <w:r>
        <w:t>quantities inconsistent with reference data,</w:t>
      </w:r>
    </w:p>
    <w:p>
      <w:pPr>
        <w:pStyle w:val="ListBullet"/>
        <w:spacing w:after="40"/>
      </w:pPr>
      <w:r>
        <w:t>implausible combinations of quantity and unit price.</w:t>
      </w:r>
    </w:p>
    <w:p>
      <w:r>
        <w:t>A supplier must not receive an artificially good price score because an incorrect or incomplete quantity makes the total price appear lower. Quantity anomalies must negatively affect the price plausibility score of the corresponding position.</w:t>
      </w:r>
    </w:p>
    <w:p>
      <w:pPr>
        <w:pStyle w:val="Heading1"/>
        <w:spacing w:before="160" w:after="80"/>
      </w:pPr>
      <w:r>
        <w:t>7. Detection of Prices That Are Too Low</w:t>
      </w:r>
    </w:p>
    <w:p>
      <w:r>
        <w:t>An unusually low price must be treated as a potential pricing anomaly. A very low price may indicate:</w:t>
      </w:r>
    </w:p>
    <w:p>
      <w:pPr>
        <w:pStyle w:val="ListBullet"/>
        <w:spacing w:after="40"/>
      </w:pPr>
      <w:r>
        <w:t>incorrect quantity,</w:t>
      </w:r>
    </w:p>
    <w:p>
      <w:pPr>
        <w:pStyle w:val="ListBullet"/>
        <w:spacing w:after="40"/>
      </w:pPr>
      <w:r>
        <w:t>incorrect unit,</w:t>
      </w:r>
    </w:p>
    <w:p>
      <w:pPr>
        <w:pStyle w:val="ListBullet"/>
        <w:spacing w:after="40"/>
      </w:pPr>
      <w:r>
        <w:t>incomplete scope,</w:t>
      </w:r>
    </w:p>
    <w:p>
      <w:pPr>
        <w:pStyle w:val="ListBullet"/>
        <w:spacing w:after="40"/>
      </w:pPr>
      <w:r>
        <w:t>misunderstood service requirements,</w:t>
      </w:r>
    </w:p>
    <w:p>
      <w:pPr>
        <w:pStyle w:val="ListBullet"/>
        <w:spacing w:after="40"/>
      </w:pPr>
      <w:r>
        <w:t>missing material,</w:t>
      </w:r>
    </w:p>
    <w:p>
      <w:pPr>
        <w:pStyle w:val="ListBullet"/>
        <w:spacing w:after="40"/>
      </w:pPr>
      <w:r>
        <w:t>missing ancillary work,</w:t>
      </w:r>
    </w:p>
    <w:p>
      <w:pPr>
        <w:pStyle w:val="ListBullet"/>
        <w:spacing w:after="40"/>
      </w:pPr>
      <w:r>
        <w:t>data-entry errors,</w:t>
      </w:r>
    </w:p>
    <w:p>
      <w:pPr>
        <w:pStyle w:val="ListBullet"/>
        <w:spacing w:after="40"/>
      </w:pPr>
      <w:r>
        <w:t>unrealistic calculation,</w:t>
      </w:r>
    </w:p>
    <w:p>
      <w:pPr>
        <w:pStyle w:val="ListBullet"/>
        <w:spacing w:after="40"/>
      </w:pPr>
      <w:r>
        <w:t>incorrect unit pricing.</w:t>
      </w:r>
    </w:p>
    <w:p>
      <w:r>
        <w:t>Therefore, the system must not assume that the lowest price is automatically the best price. An unusually low unit price or total position price must reduce the relevant price score when it falls outside the expected plausible range.</w:t>
      </w:r>
    </w:p>
    <w:p>
      <w:pPr>
        <w:pStyle w:val="Heading1"/>
        <w:spacing w:before="160" w:after="80"/>
      </w:pPr>
      <w:r>
        <w:t>8. Detection of Prices That Are Too High</w:t>
      </w:r>
    </w:p>
    <w:p>
      <w:r>
        <w:t>The same principle applies to unusually high prices.</w:t>
      </w:r>
    </w:p>
    <w:p>
      <w:r>
        <w:t>A position or total offer must lose points if its price is significantly higher than:</w:t>
      </w:r>
    </w:p>
    <w:p>
      <w:pPr>
        <w:pStyle w:val="ListBullet"/>
        <w:spacing w:after="40"/>
      </w:pPr>
      <w:r>
        <w:t>competing offers,</w:t>
      </w:r>
    </w:p>
    <w:p>
      <w:pPr>
        <w:pStyle w:val="ListBullet"/>
        <w:spacing w:after="40"/>
      </w:pPr>
      <w:r>
        <w:t>the median price,</w:t>
      </w:r>
    </w:p>
    <w:p>
      <w:pPr>
        <w:pStyle w:val="ListBullet"/>
        <w:spacing w:after="40"/>
      </w:pPr>
      <w:r>
        <w:t>historical comparable prices,</w:t>
      </w:r>
    </w:p>
    <w:p>
      <w:pPr>
        <w:pStyle w:val="ListBullet"/>
        <w:spacing w:after="40"/>
      </w:pPr>
      <w:r>
        <w:t>the established plausible price range.</w:t>
      </w:r>
    </w:p>
    <w:p>
      <w:r>
        <w:t>The scoring model shall therefore reward economically plausible prices, rather than simply rewarding the lowest price.</w:t>
      </w:r>
    </w:p>
    <w:p>
      <w:pPr>
        <w:pStyle w:val="Heading1"/>
        <w:spacing w:before="160" w:after="80"/>
      </w:pPr>
      <w:r>
        <w:t>9. Historical Price Comparison</w:t>
      </w:r>
    </w:p>
    <w:p>
      <w:r>
        <w:t>The VERGO system shall use historical offer data as an additional benchmark. Historical data should be filtered, where possible, according to:</w:t>
      </w:r>
    </w:p>
    <w:p>
      <w:pPr>
        <w:pStyle w:val="ListBullet"/>
        <w:spacing w:after="40"/>
      </w:pPr>
      <w:r>
        <w:t>trade,</w:t>
      </w:r>
    </w:p>
    <w:p>
      <w:pPr>
        <w:pStyle w:val="ListBullet"/>
        <w:spacing w:after="40"/>
      </w:pPr>
      <w:r>
        <w:t>specific service,</w:t>
      </w:r>
    </w:p>
    <w:p>
      <w:pPr>
        <w:pStyle w:val="ListBullet"/>
        <w:spacing w:after="40"/>
      </w:pPr>
      <w:r>
        <w:t>unit,</w:t>
      </w:r>
    </w:p>
    <w:p>
      <w:pPr>
        <w:pStyle w:val="ListBullet"/>
        <w:spacing w:after="40"/>
      </w:pPr>
      <w:r>
        <w:t>comparable quantity,</w:t>
      </w:r>
    </w:p>
    <w:p>
      <w:pPr>
        <w:pStyle w:val="ListBullet"/>
        <w:spacing w:after="40"/>
      </w:pPr>
      <w:r>
        <w:t>region,</w:t>
      </w:r>
    </w:p>
    <w:p>
      <w:pPr>
        <w:pStyle w:val="ListBullet"/>
        <w:spacing w:after="40"/>
      </w:pPr>
      <w:r>
        <w:t>date / age of the reference data,</w:t>
      </w:r>
    </w:p>
    <w:p>
      <w:pPr>
        <w:pStyle w:val="ListBullet"/>
        <w:spacing w:after="40"/>
      </w:pPr>
      <w:r>
        <w:t>property type,</w:t>
      </w:r>
    </w:p>
    <w:p>
      <w:pPr>
        <w:pStyle w:val="ListBullet"/>
        <w:spacing w:after="40"/>
      </w:pPr>
      <w:r>
        <w:t>order type.</w:t>
      </w:r>
    </w:p>
    <w:p>
      <w:r>
        <w:t>More recent and more comparable historical data shall receive greater relevance than older or less comparable data. Historical comparison should result in an expected reference price or reference price range. Historical prices shall only influence the evaluation where sufficient and reasonably comparable data exists.</w:t>
      </w:r>
    </w:p>
    <w:p>
      <w:pPr>
        <w:pStyle w:val="Heading1"/>
        <w:spacing w:before="160" w:after="80"/>
      </w:pPr>
      <w:r>
        <w:t>10. Plausible Price Range</w:t>
      </w:r>
    </w:p>
    <w:p>
      <w:r>
        <w:t>For each comparable position, the system should determine a plausible price range. The highest price evaluation should be awarded to prices that fall within an economically plausible range.</w:t>
      </w:r>
    </w:p>
    <w:p>
      <w:r>
        <w:t>Prices substantially below or above the plausible range shall receive lower scores.</w:t>
      </w:r>
    </w:p>
    <w:p>
      <w:r>
        <w:rPr>
          <w:b/>
        </w:rPr>
        <w:t>Too Low → Lower Score</w:t>
      </w:r>
    </w:p>
    <w:p>
      <w:r>
        <w:rPr>
          <w:b/>
        </w:rPr>
        <w:t>Economically Plausible → Highest Score</w:t>
      </w:r>
    </w:p>
    <w:p>
      <w:r>
        <w:rPr>
          <w:b/>
        </w:rPr>
        <w:t>Too High → Lower Score</w:t>
      </w:r>
    </w:p>
    <w:p>
      <w:pPr>
        <w:pStyle w:val="Heading1"/>
        <w:spacing w:before="160" w:after="80"/>
      </w:pPr>
      <w:r>
        <w:t>11. Statistical Comparison Between Offers</w:t>
      </w:r>
    </w:p>
    <w:p>
      <w:r>
        <w:t>For comparable positions, the system should calculate relevant statistical reference values, including:</w:t>
      </w:r>
    </w:p>
    <w:p>
      <w:pPr>
        <w:pStyle w:val="ListBullet"/>
        <w:spacing w:after="40"/>
      </w:pPr>
      <w:r>
        <w:t>median unit price,</w:t>
      </w:r>
    </w:p>
    <w:p>
      <w:pPr>
        <w:pStyle w:val="ListBullet"/>
        <w:spacing w:after="40"/>
      </w:pPr>
      <w:r>
        <w:t>average unit price,</w:t>
      </w:r>
    </w:p>
    <w:p>
      <w:pPr>
        <w:pStyle w:val="ListBullet"/>
        <w:spacing w:after="40"/>
      </w:pPr>
      <w:r>
        <w:t>lowest plausible unit price,</w:t>
      </w:r>
    </w:p>
    <w:p>
      <w:pPr>
        <w:pStyle w:val="ListBullet"/>
        <w:spacing w:after="40"/>
      </w:pPr>
      <w:r>
        <w:t>highest plausible unit price,</w:t>
      </w:r>
    </w:p>
    <w:p>
      <w:pPr>
        <w:pStyle w:val="ListBullet"/>
        <w:spacing w:after="40"/>
      </w:pPr>
      <w:r>
        <w:t>percentage deviation from the median.</w:t>
      </w:r>
    </w:p>
    <w:p>
      <w:r>
        <w:t>The median should be preferred over the simple average as the primary statistical reference because it is less affected by extreme outliers.</w:t>
      </w:r>
    </w:p>
    <w:p>
      <w:pPr>
        <w:pStyle w:val="Heading1"/>
        <w:spacing w:before="160" w:after="80"/>
      </w:pPr>
      <w:r>
        <w:t>12. Price Anomaly Detection</w:t>
      </w:r>
    </w:p>
    <w:p>
      <w:r>
        <w:t>A position shall be flagged as a pricing anomaly when relevant conditions are detected, including:</w:t>
      </w:r>
    </w:p>
    <w:p>
      <w:pPr>
        <w:pStyle w:val="ListBullet"/>
        <w:spacing w:after="40"/>
      </w:pPr>
      <w:r>
        <w:t>unit price significantly below competing offers,</w:t>
      </w:r>
    </w:p>
    <w:p>
      <w:pPr>
        <w:pStyle w:val="ListBullet"/>
        <w:spacing w:after="40"/>
      </w:pPr>
      <w:r>
        <w:t>unit price significantly above competing offers,</w:t>
      </w:r>
    </w:p>
    <w:p>
      <w:pPr>
        <w:pStyle w:val="ListBullet"/>
        <w:spacing w:after="40"/>
      </w:pPr>
      <w:r>
        <w:t>unit price significantly below historical prices,</w:t>
      </w:r>
    </w:p>
    <w:p>
      <w:pPr>
        <w:pStyle w:val="ListBullet"/>
        <w:spacing w:after="40"/>
      </w:pPr>
      <w:r>
        <w:t>unit price significantly above historical prices,</w:t>
      </w:r>
    </w:p>
    <w:p>
      <w:pPr>
        <w:pStyle w:val="ListBullet"/>
        <w:spacing w:after="40"/>
      </w:pPr>
      <w:r>
        <w:t>quantity significantly different from comparable offers,</w:t>
      </w:r>
    </w:p>
    <w:p>
      <w:pPr>
        <w:pStyle w:val="ListBullet"/>
        <w:spacing w:after="40"/>
      </w:pPr>
      <w:r>
        <w:t>implausible combination of quantity and unit price,</w:t>
      </w:r>
    </w:p>
    <w:p>
      <w:pPr>
        <w:pStyle w:val="ListBullet"/>
        <w:spacing w:after="40"/>
      </w:pPr>
      <w:r>
        <w:t>implausible position total,</w:t>
      </w:r>
    </w:p>
    <w:p>
      <w:pPr>
        <w:pStyle w:val="ListBullet"/>
        <w:spacing w:after="40"/>
      </w:pPr>
      <w:r>
        <w:t>missing comparable position,</w:t>
      </w:r>
    </w:p>
    <w:p>
      <w:pPr>
        <w:pStyle w:val="ListBullet"/>
        <w:spacing w:after="40"/>
      </w:pPr>
      <w:r>
        <w:t>inconsistent unit compared with corresponding positions.</w:t>
      </w:r>
    </w:p>
    <w:p>
      <w:r>
        <w:t>Detected anomalies must influence the position price-plausibility score. The system should also retain the reason for the anomaly so that the evaluation remains transparent.</w:t>
      </w:r>
    </w:p>
    <w:p>
      <w:pPr>
        <w:pStyle w:val="Heading1"/>
        <w:spacing w:before="160" w:after="80"/>
      </w:pPr>
      <w:r>
        <w:t>13. Weighting of Individual Positions</w:t>
      </w:r>
    </w:p>
    <w:p>
      <w:r>
        <w:t>Not every position should have the same impact on the overall price-plausibility score. Positions shall be weighted based on their financial significance within the offer.</w:t>
      </w:r>
    </w:p>
    <w:p>
      <w:r>
        <w:rPr>
          <w:b/>
        </w:rPr>
        <w:t>Position Weight = Position Total / Total Offer Price</w:t>
      </w:r>
    </w:p>
    <w:p>
      <w:r>
        <w:t>A position representing a large percentage of the total offer must therefore have a greater impact than a financially insignificant position. Major price anomalies must also have a stronger negative impact than minor deviations.</w:t>
      </w:r>
    </w:p>
    <w:p>
      <w:pPr>
        <w:pStyle w:val="Heading1"/>
        <w:spacing w:before="160" w:after="80"/>
      </w:pPr>
      <w:r>
        <w:t>14. Property Manager Rating – Maximum 12 Points</w:t>
      </w:r>
    </w:p>
    <w:p>
      <w:r>
        <w:t>The existing supplier rating provided by property managers shall contribute a maximum of 12 points. The calculation should consider:</w:t>
      </w:r>
    </w:p>
    <w:p>
      <w:pPr>
        <w:pStyle w:val="ListBullet"/>
        <w:spacing w:after="40"/>
      </w:pPr>
      <w:r>
        <w:t>average supplier rating,</w:t>
      </w:r>
    </w:p>
    <w:p>
      <w:pPr>
        <w:pStyle w:val="ListBullet"/>
        <w:spacing w:after="40"/>
      </w:pPr>
      <w:r>
        <w:t>number of available ratings.</w:t>
      </w:r>
    </w:p>
    <w:p>
      <w:r>
        <w:t>A supplier with a very high rating based on only a small number of reviews should not automatically outperform a supplier with a similar rating based on a large number of reviews. A confidence factor should therefore be applied to the rating.</w:t>
      </w:r>
    </w:p>
    <w:p>
      <w:pPr>
        <w:pStyle w:val="Heading1"/>
        <w:spacing w:before="160" w:after="80"/>
      </w:pPr>
      <w:r>
        <w:t>15. VERGO Supplier Rating – Maximum 12 Points</w:t>
      </w:r>
    </w:p>
    <w:p>
      <w:r>
        <w:t>VERGO shall maintain a separate internal supplier score from 0 to 100. This score shall be based on supplier performance data available within the VERGO system. The resulting VERGO supplier score shall be converted proportionally into a maximum of 12 evaluation points. The VERGO rating must remain separate from the property manager rating.</w:t>
      </w:r>
    </w:p>
    <w:p>
      <w:pPr>
        <w:pStyle w:val="Heading1"/>
        <w:spacing w:before="160" w:after="80"/>
      </w:pPr>
      <w:r>
        <w:t>16. Start Date and Expected Completion Date – Maximum 11 Points</w:t>
      </w:r>
    </w:p>
    <w:p>
      <w:r>
        <w:t>A maximum of 11 points shall be awarded based on:</w:t>
      </w:r>
    </w:p>
    <w:p>
      <w:pPr>
        <w:pStyle w:val="ListBullet"/>
        <w:spacing w:after="40"/>
      </w:pPr>
      <w:r>
        <w:t>proposed start date,</w:t>
      </w:r>
    </w:p>
    <w:p>
      <w:pPr>
        <w:pStyle w:val="ListBullet"/>
        <w:spacing w:after="40"/>
      </w:pPr>
      <w:r>
        <w:t>expected completion date.</w:t>
      </w:r>
    </w:p>
    <w:p>
      <w:r>
        <w:t>The evaluation shall compare the supplier's dates with the dates requested by the property manager. Meeting the requested completion date should have a greater influence than simply offering the earliest possible start date.</w:t>
      </w:r>
    </w:p>
    <w:p>
      <w:r>
        <w:t>Offers shall lose points if:</w:t>
      </w:r>
    </w:p>
    <w:p>
      <w:pPr>
        <w:pStyle w:val="ListBullet"/>
        <w:spacing w:after="40"/>
      </w:pPr>
      <w:r>
        <w:t>the requested start date is significantly exceeded,</w:t>
      </w:r>
    </w:p>
    <w:p>
      <w:pPr>
        <w:pStyle w:val="ListBullet"/>
        <w:spacing w:after="40"/>
      </w:pPr>
      <w:r>
        <w:t>the requested completion date is exceeded.</w:t>
      </w:r>
    </w:p>
    <w:p>
      <w:pPr>
        <w:pStyle w:val="Heading1"/>
        <w:spacing w:before="160" w:after="80"/>
      </w:pPr>
      <w:r>
        <w:t>17. Previous Experience at the Property – Maximum 5 Points</w:t>
      </w:r>
    </w:p>
    <w:p>
      <w:r>
        <w:t>Previous experience at the same property shall be evaluated as follows:</w:t>
      </w:r>
    </w:p>
    <w:p>
      <w:pPr>
        <w:pStyle w:val="ListBullet"/>
        <w:spacing w:after="40"/>
      </w:pPr>
      <w:r>
        <w:t>Supplier has previously worked at the property: 5 points</w:t>
      </w:r>
    </w:p>
    <w:p>
      <w:pPr>
        <w:pStyle w:val="ListBullet"/>
        <w:spacing w:after="40"/>
      </w:pPr>
      <w:r>
        <w:t>Supplier has not previously worked at the property: 0 points</w:t>
      </w:r>
    </w:p>
    <w:p>
      <w:r>
        <w:t>This criterion shall have limited weighting so that established suppliers do not receive an excessive advantage over new suppliers.</w:t>
      </w:r>
    </w:p>
    <w:p>
      <w:pPr>
        <w:pStyle w:val="Heading1"/>
        <w:spacing w:before="160" w:after="80"/>
      </w:pPr>
      <w:r>
        <w:t>18. Final Score and Ranking</w:t>
      </w:r>
    </w:p>
    <w:p>
      <w:r>
        <w:t>The final score shall be calculated as:</w:t>
      </w:r>
    </w:p>
    <w:p>
      <w:pPr>
        <w:pStyle w:val="ListBullet"/>
      </w:pPr>
      <w:r>
        <w:rPr>
          <w:b/>
        </w:rPr>
        <w:t xml:space="preserve">Total Price Score: </w:t>
      </w:r>
      <w:r>
        <w:t>maximum 45 points</w:t>
      </w:r>
    </w:p>
    <w:p>
      <w:pPr>
        <w:pStyle w:val="ListBullet"/>
      </w:pPr>
      <w:r>
        <w:rPr>
          <w:b/>
        </w:rPr>
        <w:t xml:space="preserve">Individual Position Price Plausibility Score: </w:t>
      </w:r>
      <w:r>
        <w:t>maximum 15 points</w:t>
      </w:r>
    </w:p>
    <w:p>
      <w:pPr>
        <w:pStyle w:val="ListBullet"/>
      </w:pPr>
      <w:r>
        <w:rPr>
          <w:b/>
        </w:rPr>
        <w:t xml:space="preserve">Property Manager Rating: </w:t>
      </w:r>
      <w:r>
        <w:t>maximum 12 points</w:t>
      </w:r>
    </w:p>
    <w:p>
      <w:pPr>
        <w:pStyle w:val="ListBullet"/>
      </w:pPr>
      <w:r>
        <w:rPr>
          <w:b/>
        </w:rPr>
        <w:t xml:space="preserve">VERGO Supplier Rating: </w:t>
      </w:r>
      <w:r>
        <w:t>maximum 12 points</w:t>
      </w:r>
    </w:p>
    <w:p>
      <w:pPr>
        <w:pStyle w:val="ListBullet"/>
      </w:pPr>
      <w:r>
        <w:rPr>
          <w:b/>
        </w:rPr>
        <w:t xml:space="preserve">Start and Completion Date Score: </w:t>
      </w:r>
      <w:r>
        <w:t>maximum 11 points</w:t>
      </w:r>
    </w:p>
    <w:p>
      <w:pPr>
        <w:pStyle w:val="ListBullet"/>
      </w:pPr>
      <w:r>
        <w:rPr>
          <w:b/>
        </w:rPr>
        <w:t xml:space="preserve">Previous Property Experience: </w:t>
      </w:r>
      <w:r>
        <w:t>maximum 5 points</w:t>
      </w:r>
    </w:p>
    <w:p>
      <w:r>
        <w:rPr>
          <w:b/>
        </w:rPr>
        <w:t>Maximum total: 100 points</w:t>
      </w:r>
    </w:p>
    <w:p>
      <w:r>
        <w:t>Offers shall then be ranked from highest to lowest total score. There shall be no fixed price ceiling and no automatic disqualification solely due to a specific CHF or percentage price difference.</w:t>
      </w:r>
    </w:p>
    <w:p>
      <w:r>
        <w:t>Instead, the scoring model must be designed so that a significantly higher price results in a substantial loss of price points, while an unusually low or implausible price also results in a reduced score.</w:t>
      </w:r>
    </w:p>
    <w:p>
      <w:r>
        <w:t>The final ranking must therefore favor the offer with the best combination of price plausibility, competitive total price, supplier quality, schedule, and property experience.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VERGO – Automated Offer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