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rPr>
          <w:b/>
          <w:bCs/>
          <w:sz w:val="56"/>
          <w:szCs w:val="56"/>
        </w:rPr>
        <w:t xml:space="preserve">Competitive Analysis</w:t>
      </w:r>
    </w:p>
    <w:p>
      <w:pPr>
        <w:spacing w:after="240"/>
        <w:jc w:val="center"/>
      </w:pPr>
      <w:r>
        <w:rPr>
          <w:sz w:val="32"/>
          <w:szCs w:val="32"/>
        </w:rPr>
        <w:t xml:space="preserve">Horizon Fuel Cell vs Bloom Energy</w:t>
      </w:r>
    </w:p>
    <w:p>
      <w:pPr>
        <w:spacing w:after="480"/>
        <w:jc w:val="center"/>
      </w:pPr>
      <w:r>
        <w:rPr>
          <w:sz w:val="28"/>
          <w:szCs w:val="28"/>
        </w:rPr>
        <w:t xml:space="preserve">Data Center Power Solutions</w:t>
      </w:r>
    </w:p>
    <w:p>
      <w:pPr>
        <w:pStyle w:val="Heading1"/>
      </w:pPr>
      <w:r>
        <w:t xml:space="preserve">Executive Summary</w:t>
      </w:r>
    </w:p>
    <w:p>
      <w:pPr>
        <w:spacing w:after="240"/>
      </w:pPr>
      <w:r>
        <w:t xml:space="preserve">This analysis compares Horizon Fuel Cell and Bloom Energy fuel cell solutions for data center applications. While both companies offer fuel cell technology, Horizon's pure hydrogen approach delivers zero on-site emissions, 99.99% uptime with N+1 redundancy, and deployment in as low as 4 months, positioning us favorably against Bloom's solid oxide fuel cell (SOFC) natural gas platform.</w:t>
      </w:r>
    </w:p>
    <w:p>
      <w:pPr>
        <w:pStyle w:val="Heading1"/>
      </w:pPr>
      <w:r>
        <w:t xml:space="preserve">Company Overviews</w:t>
      </w:r>
    </w:p>
    <w:p>
      <w:pPr>
        <w:pStyle w:val="Heading2"/>
      </w:pPr>
      <w:r>
        <w:t xml:space="preserve">Horizon Fuel Cell</w:t>
      </w:r>
    </w:p>
    <w:p>
      <w:pPr>
        <w:spacing w:after="120"/>
      </w:pPr>
      <w:r>
        <w:t xml:space="preserve">Horizon is a global leader in PEM (Proton Exchange Membrane) fuel cell technology with over two decades of experience. Our data center solutions focus on:</w:t>
      </w:r>
    </w:p>
    <w:p>
      <w:pPr>
        <w:pStyle w:val="ListParagraph"/>
        <w:numPr>
          <w:ilvl w:val="0"/>
          <w:numId w:val="2"/>
        </w:numPr>
      </w:pPr>
      <w:r>
        <w:t xml:space="preserve">Pure hydrogen PEM fuel cells for zero on-site emissions</w:t>
      </w:r>
    </w:p>
    <w:p>
      <w:pPr>
        <w:pStyle w:val="ListParagraph"/>
        <w:numPr>
          <w:ilvl w:val="0"/>
          <w:numId w:val="2"/>
        </w:numPr>
      </w:pPr>
      <w:r>
        <w:t xml:space="preserve">99.99% uptime (four nines) with N+1 redundancy</w:t>
      </w:r>
    </w:p>
    <w:p>
      <w:pPr>
        <w:pStyle w:val="ListParagraph"/>
        <w:numPr>
          <w:ilvl w:val="0"/>
          <w:numId w:val="2"/>
        </w:numPr>
      </w:pPr>
      <w:r>
        <w:t xml:space="preserve">4-month deployment timeline</w:t>
      </w:r>
    </w:p>
    <w:p>
      <w:pPr>
        <w:pStyle w:val="ListParagraph"/>
        <w:numPr>
          <w:ilvl w:val="0"/>
          <w:numId w:val="2"/>
        </w:numPr>
      </w:pPr>
      <w:r>
        <w:t xml:space="preserve">Modular, scalable systems from 200kW to multi-MW</w:t>
      </w:r>
    </w:p>
    <w:p>
      <w:pPr>
        <w:pStyle w:val="ListParagraph"/>
        <w:numPr>
          <w:ilvl w:val="0"/>
          <w:numId w:val="2"/>
        </w:numPr>
      </w:pPr>
      <w:r>
        <w:t xml:space="preserve">Optional SMR integration for natural gas markets</w:t>
      </w:r>
    </w:p>
    <w:p>
      <w:pPr>
        <w:pStyle w:val="Heading2"/>
        <w:spacing w:before="240"/>
      </w:pPr>
      <w:r>
        <w:t xml:space="preserve">Bloom Energy</w:t>
      </w:r>
    </w:p>
    <w:p>
      <w:pPr>
        <w:spacing w:after="120"/>
      </w:pPr>
      <w:r>
        <w:t xml:space="preserve">Bloom Energy is an established fuel cell provider focused on natural gas-powered Solid Oxide Fuel Cell (SOFC) technology. Key characteristics:</w:t>
      </w:r>
    </w:p>
    <w:p>
      <w:pPr>
        <w:pStyle w:val="ListParagraph"/>
        <w:numPr>
          <w:ilvl w:val="0"/>
          <w:numId w:val="2"/>
        </w:numPr>
      </w:pPr>
      <w:r>
        <w:t xml:space="preserve">Primary fuel: Natural gas</w:t>
      </w:r>
    </w:p>
    <w:p>
      <w:pPr>
        <w:pStyle w:val="ListParagraph"/>
        <w:numPr>
          <w:ilvl w:val="0"/>
          <w:numId w:val="2"/>
        </w:numPr>
      </w:pPr>
      <w:r>
        <w:t xml:space="preserve">High-temperature SOFC technology</w:t>
      </w:r>
    </w:p>
    <w:p>
      <w:pPr>
        <w:pStyle w:val="ListParagraph"/>
        <w:numPr>
          <w:ilvl w:val="0"/>
          <w:numId w:val="2"/>
        </w:numPr>
      </w:pPr>
      <w:r>
        <w:t xml:space="preserve">250kW Energy Server units</w:t>
      </w:r>
    </w:p>
    <w:p>
      <w:pPr>
        <w:pStyle w:val="ListParagraph"/>
        <w:numPr>
          <w:ilvl w:val="0"/>
          <w:numId w:val="2"/>
        </w:numPr>
      </w:pPr>
      <w:r>
        <w:t xml:space="preserve">Established customer base in California</w:t>
      </w:r>
    </w:p>
    <w:p>
      <w:pPr>
        <w:pStyle w:val="ListParagraph"/>
        <w:numPr>
          <w:ilvl w:val="0"/>
          <w:numId w:val="2"/>
        </w:numPr>
      </w:pPr>
      <w:r>
        <w:t xml:space="preserve">Recent hydrogen demonstrations</w:t>
      </w:r>
    </w:p>
    <w:p>
      <w:r>
        <w:br w:type="page"/>
      </w:r>
    </w:p>
    <w:p>
      <w:pPr>
        <w:pStyle w:val="Heading1"/>
      </w:pPr>
      <w:r>
        <w:t xml:space="preserve">Technology Comparison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80"/>
          <w:bottom w:type="dxa" w:w="100"/>
          <w:right w:type="dxa" w:w="180"/>
        </w:tblCellMar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Feature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Horizon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</w:tcPr>
          <w:p>
            <w:pPr>
              <w:jc w:val="center"/>
            </w:pPr>
            <w:r>
              <w:rPr>
                <w:b/>
                <w:bCs/>
              </w:rPr>
              <w:t xml:space="preserve">Bloom Energy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Fuel Cell Type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PEM (Proton Exchange Membrane)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SOFC (Solid Oxide)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Primary Fuel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Pure Hydrogen (with SMR option)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Natural Gas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On-Site Emissions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Zero (pure H2)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CO2 emissions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Operating Temp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60-80°C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800-1000°C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Start-up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Minutes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Hours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Uptime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99.99% (four nines) with N+1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99.9% (three nines)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Deployment Time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4 months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6-12 months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Scalability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Modular (200kW-MW+)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250kW units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Detailed Comparison</w:t>
      </w:r>
    </w:p>
    <w:p>
      <w:pPr>
        <w:pStyle w:val="Heading2"/>
      </w:pPr>
      <w:r>
        <w:t xml:space="preserve">Environmental Performance</w:t>
      </w:r>
    </w:p>
    <w:p>
      <w:pPr>
        <w:spacing w:before="120"/>
      </w:pPr>
      <w:r>
        <w:rPr>
          <w:b/>
          <w:bCs/>
        </w:rPr>
        <w:t xml:space="preserve">Horizon:</w:t>
      </w:r>
    </w:p>
    <w:p>
      <w:pPr>
        <w:pStyle w:val="ListParagraph"/>
        <w:numPr>
          <w:ilvl w:val="0"/>
          <w:numId w:val="2"/>
        </w:numPr>
      </w:pPr>
      <w:r>
        <w:t xml:space="preserve">Zero on-site emissions with pure hydrogen</w:t>
      </w:r>
    </w:p>
    <w:p>
      <w:pPr>
        <w:pStyle w:val="ListParagraph"/>
        <w:numPr>
          <w:ilvl w:val="0"/>
          <w:numId w:val="2"/>
        </w:numPr>
      </w:pPr>
      <w:r>
        <w:t xml:space="preserve">Renewable hydrogen pathway available</w:t>
      </w:r>
    </w:p>
    <w:p>
      <w:pPr>
        <w:pStyle w:val="ListParagraph"/>
        <w:numPr>
          <w:ilvl w:val="0"/>
          <w:numId w:val="2"/>
        </w:numPr>
      </w:pPr>
      <w:r>
        <w:t xml:space="preserve">No NOx or particulate emissions</w:t>
      </w:r>
    </w:p>
    <w:p>
      <w:pPr>
        <w:pStyle w:val="ListParagraph"/>
        <w:numPr>
          <w:ilvl w:val="0"/>
          <w:numId w:val="2"/>
        </w:numPr>
      </w:pPr>
      <w:r>
        <w:t xml:space="preserve">Silent operation</w:t>
      </w:r>
    </w:p>
    <w:p>
      <w:pPr>
        <w:pStyle w:val="ListParagraph"/>
        <w:numPr>
          <w:ilvl w:val="0"/>
          <w:numId w:val="2"/>
        </w:numPr>
      </w:pPr>
      <w:r>
        <w:t xml:space="preserve">Only byproduct: water vapor</w:t>
      </w:r>
    </w:p>
    <w:p>
      <w:pPr>
        <w:spacing w:before="240"/>
      </w:pPr>
      <w:r>
        <w:rPr>
          <w:b/>
          <w:bCs/>
        </w:rPr>
        <w:t xml:space="preserve">Bloom Energy:</w:t>
      </w:r>
    </w:p>
    <w:p>
      <w:pPr>
        <w:pStyle w:val="ListParagraph"/>
        <w:numPr>
          <w:ilvl w:val="0"/>
          <w:numId w:val="2"/>
        </w:numPr>
      </w:pPr>
      <w:r>
        <w:t xml:space="preserve">CO2 emissions from natural gas combustion</w:t>
      </w:r>
    </w:p>
    <w:p>
      <w:pPr>
        <w:pStyle w:val="ListParagraph"/>
        <w:numPr>
          <w:ilvl w:val="0"/>
          <w:numId w:val="2"/>
        </w:numPr>
      </w:pPr>
      <w:r>
        <w:t xml:space="preserve">Lower emissions than grid in some regions</w:t>
      </w:r>
    </w:p>
    <w:p>
      <w:pPr>
        <w:pStyle w:val="ListParagraph"/>
        <w:numPr>
          <w:ilvl w:val="0"/>
          <w:numId w:val="2"/>
        </w:numPr>
      </w:pPr>
      <w:r>
        <w:t xml:space="preserve">Exploring hydrogen blend capability</w:t>
      </w:r>
    </w:p>
    <w:p>
      <w:pPr>
        <w:pStyle w:val="ListParagraph"/>
        <w:numPr>
          <w:ilvl w:val="0"/>
          <w:numId w:val="2"/>
        </w:numPr>
      </w:pPr>
      <w:r>
        <w:t xml:space="preserve">Limited path to true zero on-site emissions</w:t>
      </w:r>
    </w:p>
    <w:p>
      <w:pPr>
        <w:pStyle w:val="Heading2"/>
        <w:spacing w:before="480"/>
      </w:pPr>
      <w:r>
        <w:t xml:space="preserve">Reliability and Redundancy</w:t>
      </w:r>
    </w:p>
    <w:p>
      <w:pPr>
        <w:spacing w:before="120"/>
      </w:pPr>
      <w:r>
        <w:rPr>
          <w:b/>
          <w:bCs/>
        </w:rPr>
        <w:t xml:space="preserve">Horizon:</w:t>
      </w:r>
    </w:p>
    <w:p>
      <w:pPr>
        <w:pStyle w:val="ListParagraph"/>
        <w:numPr>
          <w:ilvl w:val="0"/>
          <w:numId w:val="2"/>
        </w:numPr>
      </w:pPr>
      <w:r>
        <w:t xml:space="preserve">99.99% (four nines) uptime with N+1 redundancy</w:t>
      </w:r>
    </w:p>
    <w:p>
      <w:pPr>
        <w:pStyle w:val="ListParagraph"/>
        <w:numPr>
          <w:ilvl w:val="0"/>
          <w:numId w:val="2"/>
        </w:numPr>
      </w:pPr>
      <w:r>
        <w:t xml:space="preserve">Hot-swappable components</w:t>
      </w:r>
    </w:p>
    <w:p>
      <w:pPr>
        <w:pStyle w:val="ListParagraph"/>
        <w:numPr>
          <w:ilvl w:val="0"/>
          <w:numId w:val="2"/>
        </w:numPr>
      </w:pPr>
      <w:r>
        <w:t xml:space="preserve">Fast start-up (minutes)</w:t>
      </w:r>
    </w:p>
    <w:p>
      <w:pPr>
        <w:pStyle w:val="ListParagraph"/>
        <w:numPr>
          <w:ilvl w:val="0"/>
          <w:numId w:val="2"/>
        </w:numPr>
      </w:pPr>
      <w:r>
        <w:t xml:space="preserve">50M+ operating hours proven</w:t>
      </w:r>
    </w:p>
    <w:p>
      <w:pPr>
        <w:pStyle w:val="ListParagraph"/>
        <w:numPr>
          <w:ilvl w:val="0"/>
          <w:numId w:val="2"/>
        </w:numPr>
      </w:pPr>
      <w:r>
        <w:t xml:space="preserve">24/7 remote monitoring</w:t>
      </w:r>
    </w:p>
    <w:p>
      <w:pPr>
        <w:spacing w:before="240"/>
      </w:pPr>
      <w:r>
        <w:rPr>
          <w:b/>
          <w:bCs/>
        </w:rPr>
        <w:t xml:space="preserve">Bloom Energy:</w:t>
      </w:r>
    </w:p>
    <w:p>
      <w:pPr>
        <w:pStyle w:val="ListParagraph"/>
        <w:numPr>
          <w:ilvl w:val="0"/>
          <w:numId w:val="2"/>
        </w:numPr>
      </w:pPr>
      <w:r>
        <w:t xml:space="preserve">99.9% (three nines) typical uptime</w:t>
      </w:r>
    </w:p>
    <w:p>
      <w:pPr>
        <w:pStyle w:val="ListParagraph"/>
        <w:numPr>
          <w:ilvl w:val="0"/>
          <w:numId w:val="2"/>
        </w:numPr>
      </w:pPr>
      <w:r>
        <w:t xml:space="preserve">Slow start-up due to high temperatures</w:t>
      </w:r>
    </w:p>
    <w:p>
      <w:pPr>
        <w:pStyle w:val="ListParagraph"/>
        <w:numPr>
          <w:ilvl w:val="0"/>
          <w:numId w:val="2"/>
        </w:numPr>
      </w:pPr>
      <w:r>
        <w:t xml:space="preserve">Thermal cycling concerns</w:t>
      </w:r>
    </w:p>
    <w:p>
      <w:pPr>
        <w:pStyle w:val="ListParagraph"/>
        <w:numPr>
          <w:ilvl w:val="0"/>
          <w:numId w:val="2"/>
        </w:numPr>
      </w:pPr>
      <w:r>
        <w:t xml:space="preserve">Stack replacement required periodically</w:t>
      </w:r>
    </w:p>
    <w:p>
      <w:pPr>
        <w:pStyle w:val="Heading2"/>
        <w:spacing w:before="480"/>
      </w:pPr>
      <w:r>
        <w:t xml:space="preserve">Deployment and Scalability</w:t>
      </w:r>
    </w:p>
    <w:p>
      <w:pPr>
        <w:spacing w:before="120"/>
      </w:pPr>
      <w:r>
        <w:rPr>
          <w:b/>
          <w:bCs/>
        </w:rPr>
        <w:t xml:space="preserve">Horizon:</w:t>
      </w:r>
    </w:p>
    <w:p>
      <w:pPr>
        <w:pStyle w:val="ListParagraph"/>
        <w:numPr>
          <w:ilvl w:val="0"/>
          <w:numId w:val="2"/>
        </w:numPr>
      </w:pPr>
      <w:r>
        <w:t xml:space="preserve">4-month deployment timeline</w:t>
      </w:r>
    </w:p>
    <w:p>
      <w:pPr>
        <w:pStyle w:val="ListParagraph"/>
        <w:numPr>
          <w:ilvl w:val="0"/>
          <w:numId w:val="2"/>
        </w:numPr>
      </w:pPr>
      <w:r>
        <w:t xml:space="preserve">Containerized plug-and-play systems</w:t>
      </w:r>
    </w:p>
    <w:p>
      <w:pPr>
        <w:pStyle w:val="ListParagraph"/>
        <w:numPr>
          <w:ilvl w:val="0"/>
          <w:numId w:val="2"/>
        </w:numPr>
      </w:pPr>
      <w:r>
        <w:t xml:space="preserve">Modular scaling (200kW to multi-MW)</w:t>
      </w:r>
    </w:p>
    <w:p>
      <w:pPr>
        <w:pStyle w:val="ListParagraph"/>
        <w:numPr>
          <w:ilvl w:val="0"/>
          <w:numId w:val="2"/>
        </w:numPr>
      </w:pPr>
      <w:r>
        <w:t xml:space="preserve">Pre-certified systems</w:t>
      </w:r>
    </w:p>
    <w:p>
      <w:pPr>
        <w:pStyle w:val="ListParagraph"/>
        <w:numPr>
          <w:ilvl w:val="0"/>
          <w:numId w:val="2"/>
        </w:numPr>
      </w:pPr>
      <w:r>
        <w:t xml:space="preserve">Grid-independent operation</w:t>
      </w:r>
    </w:p>
    <w:p>
      <w:pPr>
        <w:spacing w:before="240"/>
      </w:pPr>
      <w:r>
        <w:rPr>
          <w:b/>
          <w:bCs/>
        </w:rPr>
        <w:t xml:space="preserve">Bloom Energy:</w:t>
      </w:r>
    </w:p>
    <w:p>
      <w:pPr>
        <w:pStyle w:val="ListParagraph"/>
        <w:numPr>
          <w:ilvl w:val="0"/>
          <w:numId w:val="2"/>
        </w:numPr>
      </w:pPr>
      <w:r>
        <w:t xml:space="preserve">6-12 month deployment timeline</w:t>
      </w:r>
    </w:p>
    <w:p>
      <w:pPr>
        <w:pStyle w:val="ListParagraph"/>
        <w:numPr>
          <w:ilvl w:val="0"/>
          <w:numId w:val="2"/>
        </w:numPr>
      </w:pPr>
      <w:r>
        <w:t xml:space="preserve">Fixed 250kW unit size</w:t>
      </w:r>
    </w:p>
    <w:p>
      <w:pPr>
        <w:pStyle w:val="ListParagraph"/>
        <w:numPr>
          <w:ilvl w:val="0"/>
          <w:numId w:val="2"/>
        </w:numPr>
      </w:pPr>
      <w:r>
        <w:t xml:space="preserve">Requires natural gas infrastructure</w:t>
      </w:r>
    </w:p>
    <w:p>
      <w:pPr>
        <w:pStyle w:val="ListParagraph"/>
        <w:numPr>
          <w:ilvl w:val="0"/>
          <w:numId w:val="2"/>
        </w:numPr>
      </w:pPr>
      <w:r>
        <w:t xml:space="preserve">Site-specific engineering needed</w:t>
      </w:r>
    </w:p>
    <w:p>
      <w:r>
        <w:br w:type="page"/>
      </w:r>
    </w:p>
    <w:p>
      <w:pPr>
        <w:pStyle w:val="Heading1"/>
      </w:pPr>
      <w:r>
        <w:t xml:space="preserve">Total Cost of Ownership</w:t>
      </w:r>
    </w:p>
    <w:p>
      <w:pPr>
        <w:spacing w:after="120"/>
      </w:pPr>
      <w:r>
        <w:t xml:space="preserve">While both technologies offer advantages over traditional diesel+grid approaches, Horizon's TCO benefits include:</w:t>
      </w:r>
    </w:p>
    <w:p>
      <w:pPr>
        <w:pStyle w:val="Heading2"/>
      </w:pPr>
      <w:r>
        <w:t xml:space="preserve">Horizon Advantages</w:t>
      </w:r>
    </w:p>
    <w:p>
      <w:pPr>
        <w:pStyle w:val="ListParagraph"/>
        <w:numPr>
          <w:ilvl w:val="0"/>
          <w:numId w:val="2"/>
        </w:numPr>
      </w:pPr>
      <w:r>
        <w:t xml:space="preserve">No grid interconnection costs</w:t>
      </w:r>
    </w:p>
    <w:p>
      <w:pPr>
        <w:pStyle w:val="ListParagraph"/>
        <w:numPr>
          <w:ilvl w:val="0"/>
          <w:numId w:val="2"/>
        </w:numPr>
      </w:pPr>
      <w:r>
        <w:t xml:space="preserve">No peak demand charges</w:t>
      </w:r>
    </w:p>
    <w:p>
      <w:pPr>
        <w:pStyle w:val="ListParagraph"/>
        <w:numPr>
          <w:ilvl w:val="0"/>
          <w:numId w:val="2"/>
        </w:numPr>
      </w:pPr>
      <w:r>
        <w:t xml:space="preserve">Lower maintenance costs (simpler technology)</w:t>
      </w:r>
    </w:p>
    <w:p>
      <w:pPr>
        <w:pStyle w:val="ListParagraph"/>
        <w:numPr>
          <w:ilvl w:val="0"/>
          <w:numId w:val="2"/>
        </w:numPr>
      </w:pPr>
      <w:r>
        <w:t xml:space="preserve">Faster deployment = earlier revenue generation</w:t>
      </w:r>
    </w:p>
    <w:p>
      <w:pPr>
        <w:pStyle w:val="ListParagraph"/>
        <w:numPr>
          <w:ilvl w:val="0"/>
          <w:numId w:val="2"/>
        </w:numPr>
      </w:pPr>
      <w:r>
        <w:t xml:space="preserve">20-year system lifespan</w:t>
      </w:r>
    </w:p>
    <w:p>
      <w:pPr>
        <w:pStyle w:val="ListParagraph"/>
        <w:numPr>
          <w:ilvl w:val="0"/>
          <w:numId w:val="2"/>
        </w:numPr>
      </w:pPr>
      <w:r>
        <w:t xml:space="preserve">Federal and state tax incentives for hydrogen</w:t>
      </w:r>
    </w:p>
    <w:p>
      <w:pPr>
        <w:pStyle w:val="Heading2"/>
        <w:spacing w:before="240"/>
      </w:pPr>
      <w:r>
        <w:t xml:space="preserve">Bloom Energy Considerations</w:t>
      </w:r>
    </w:p>
    <w:p>
      <w:pPr>
        <w:pStyle w:val="ListParagraph"/>
        <w:numPr>
          <w:ilvl w:val="0"/>
          <w:numId w:val="2"/>
        </w:numPr>
      </w:pPr>
      <w:r>
        <w:t xml:space="preserve">Natural gas price volatility exposure</w:t>
      </w:r>
    </w:p>
    <w:p>
      <w:pPr>
        <w:pStyle w:val="ListParagraph"/>
        <w:numPr>
          <w:ilvl w:val="0"/>
          <w:numId w:val="2"/>
        </w:numPr>
      </w:pPr>
      <w:r>
        <w:t xml:space="preserve">Potential carbon pricing in future</w:t>
      </w:r>
    </w:p>
    <w:p>
      <w:pPr>
        <w:pStyle w:val="ListParagraph"/>
        <w:numPr>
          <w:ilvl w:val="0"/>
          <w:numId w:val="2"/>
        </w:numPr>
      </w:pPr>
      <w:r>
        <w:t xml:space="preserve">Stack replacement costs</w:t>
      </w:r>
    </w:p>
    <w:p>
      <w:pPr>
        <w:pStyle w:val="ListParagraph"/>
        <w:numPr>
          <w:ilvl w:val="0"/>
          <w:numId w:val="2"/>
        </w:numPr>
      </w:pPr>
      <w:r>
        <w:t xml:space="preserve">Higher thermal management complexity</w:t>
      </w:r>
    </w:p>
    <w:p>
      <w:pPr>
        <w:pStyle w:val="Heading1"/>
        <w:spacing w:before="480"/>
      </w:pPr>
      <w:r>
        <w:t xml:space="preserve">Market Positioning</w:t>
      </w:r>
    </w:p>
    <w:p>
      <w:pPr>
        <w:pStyle w:val="Heading2"/>
      </w:pPr>
      <w:r>
        <w:t xml:space="preserve">When Horizon is the Best Choice</w:t>
      </w:r>
    </w:p>
    <w:p>
      <w:pPr>
        <w:pStyle w:val="ListParagraph"/>
        <w:numPr>
          <w:ilvl w:val="0"/>
          <w:numId w:val="2"/>
        </w:numPr>
      </w:pPr>
      <w:r>
        <w:t xml:space="preserve">Zero on-site emissions requirement (corporate sustainability goals)</w:t>
      </w:r>
    </w:p>
    <w:p>
      <w:pPr>
        <w:pStyle w:val="ListParagraph"/>
        <w:numPr>
          <w:ilvl w:val="0"/>
          <w:numId w:val="2"/>
        </w:numPr>
      </w:pPr>
      <w:r>
        <w:t xml:space="preserve">Rapid deployment needed (4 months vs 6-12 months)</w:t>
      </w:r>
    </w:p>
    <w:p>
      <w:pPr>
        <w:pStyle w:val="ListParagraph"/>
        <w:numPr>
          <w:ilvl w:val="0"/>
          <w:numId w:val="2"/>
        </w:numPr>
      </w:pPr>
      <w:r>
        <w:t xml:space="preserve">Grid-constrained locations</w:t>
      </w:r>
    </w:p>
    <w:p>
      <w:pPr>
        <w:pStyle w:val="ListParagraph"/>
        <w:numPr>
          <w:ilvl w:val="0"/>
          <w:numId w:val="2"/>
        </w:numPr>
      </w:pPr>
      <w:r>
        <w:t xml:space="preserve">Mission-critical operations requiring 99.99% uptime with N+1</w:t>
      </w:r>
    </w:p>
    <w:p>
      <w:pPr>
        <w:pStyle w:val="ListParagraph"/>
        <w:numPr>
          <w:ilvl w:val="0"/>
          <w:numId w:val="2"/>
        </w:numPr>
      </w:pPr>
      <w:r>
        <w:t xml:space="preserve">Future-proof technology (hydrogen economy alignment)</w:t>
      </w:r>
    </w:p>
    <w:p>
      <w:pPr>
        <w:pStyle w:val="ListParagraph"/>
        <w:numPr>
          <w:ilvl w:val="0"/>
          <w:numId w:val="2"/>
        </w:numPr>
      </w:pPr>
      <w:r>
        <w:t xml:space="preserve">Regions with hydrogen infrastructure or plans</w:t>
      </w:r>
    </w:p>
    <w:p>
      <w:pPr>
        <w:pStyle w:val="Heading2"/>
        <w:spacing w:before="240"/>
      </w:pPr>
      <w:r>
        <w:t xml:space="preserve">When Bloom May Be Considered</w:t>
      </w:r>
    </w:p>
    <w:p>
      <w:pPr>
        <w:pStyle w:val="ListParagraph"/>
        <w:numPr>
          <w:ilvl w:val="0"/>
          <w:numId w:val="2"/>
        </w:numPr>
      </w:pPr>
      <w:r>
        <w:t xml:space="preserve">Existing natural gas infrastructure</w:t>
      </w:r>
    </w:p>
    <w:p>
      <w:pPr>
        <w:pStyle w:val="ListParagraph"/>
        <w:numPr>
          <w:ilvl w:val="0"/>
          <w:numId w:val="2"/>
        </w:numPr>
      </w:pPr>
      <w:r>
        <w:t xml:space="preserve">California markets with utility incentives</w:t>
      </w:r>
    </w:p>
    <w:p>
      <w:pPr>
        <w:pStyle w:val="ListParagraph"/>
        <w:numPr>
          <w:ilvl w:val="0"/>
          <w:numId w:val="2"/>
        </w:numPr>
      </w:pPr>
      <w:r>
        <w:t xml:space="preserve">Lower initial sustainability requirements</w:t>
      </w:r>
    </w:p>
    <w:p>
      <w:pPr>
        <w:pStyle w:val="ListParagraph"/>
        <w:numPr>
          <w:ilvl w:val="0"/>
          <w:numId w:val="2"/>
        </w:numPr>
      </w:pPr>
      <w:r>
        <w:t xml:space="preserve">Existing Bloom relationship</w:t>
      </w:r>
    </w:p>
    <w:p>
      <w:pPr>
        <w:spacing w:before="240" w:after="240"/>
      </w:pPr>
      <w:r>
        <w:rPr>
          <w:b/>
          <w:bCs/>
          <w:i/>
          <w:iCs/>
        </w:rPr>
        <w:t xml:space="preserve">Note:</w:t>
      </w:r>
      <w:r>
        <w:rPr>
          <w:i/>
          <w:iCs/>
        </w:rPr>
        <w:t xml:space="preserve"> Horizon offers SMR-integrated solutions for natural gas markets, providing a bridge technology with significantly reduced on-site emissions while maintaining our superior reliability and deployment advantages.</w:t>
      </w:r>
    </w:p>
    <w:p>
      <w:pPr>
        <w:pStyle w:val="Heading1"/>
        <w:spacing w:before="480"/>
      </w:pPr>
      <w:r>
        <w:t xml:space="preserve">Competitive Summary</w:t>
      </w:r>
    </w:p>
    <w:p>
      <w:pPr>
        <w:spacing w:after="120"/>
      </w:pPr>
      <w:r>
        <w:t xml:space="preserve">Horizon Fuel Cell offers decisive advantages for data centers prioritizing: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Zero on-site emissions</w:t>
      </w:r>
      <w:r>
        <w:t xml:space="preserve"> - Pure hydrogen produces only water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Superior reliability</w:t>
      </w:r>
      <w:r>
        <w:t xml:space="preserve"> - 99.99% uptime (four nines) with N+1 redundancy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Rapid deployment</w:t>
      </w:r>
      <w:r>
        <w:t xml:space="preserve"> - 4 months vs 6-12 months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Technology flexibility</w:t>
      </w:r>
      <w:r>
        <w:t xml:space="preserve"> - Pure H2 or SMR integration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Future-ready</w:t>
      </w:r>
      <w:r>
        <w:t xml:space="preserve"> - Aligned with global hydrogen economy</w:t>
      </w:r>
    </w:p>
    <w:p>
      <w:pPr>
        <w:spacing w:before="240" w:after="240"/>
      </w:pPr>
      <w:r>
        <w:t xml:space="preserve">While Bloom Energy has established presence in the California market with natural gas solutions, Horizon's pure hydrogen approach, faster deployment, higher reliability, and zero on-site emissions position us as the preferred choice for data centers committed to sustainability and operational excellence.</w:t>
      </w:r>
    </w:p>
    <w:p>
      <w:pPr>
        <w:pStyle w:val="Heading1"/>
        <w:spacing w:before="480"/>
      </w:pPr>
      <w:r>
        <w:t xml:space="preserve">Contact Horizon</w:t>
      </w:r>
    </w:p>
    <w:p>
      <w:pPr>
        <w:spacing w:after="60"/>
      </w:pPr>
      <w:r>
        <w:rPr>
          <w:b/>
          <w:bCs/>
        </w:rPr>
        <w:t xml:space="preserve">Phone: </w:t>
      </w:r>
      <w:r>
        <w:t xml:space="preserve">408-676-8556</w:t>
      </w:r>
    </w:p>
    <w:p>
      <w:pPr>
        <w:spacing w:after="60"/>
      </w:pPr>
      <w:r>
        <w:rPr>
          <w:b/>
          <w:bCs/>
        </w:rPr>
        <w:t xml:space="preserve">Email: </w:t>
      </w:r>
      <w:r>
        <w:t xml:space="preserve">info@horizonfuelcell.com</w:t>
      </w:r>
    </w:p>
    <w:p>
      <w:pPr>
        <w:spacing w:after="60"/>
      </w:pPr>
      <w:r>
        <w:rPr>
          <w:b/>
          <w:bCs/>
        </w:rPr>
        <w:t xml:space="preserve">Website: </w:t>
      </w:r>
      <w:r>
        <w:t xml:space="preserve">https://horizon-website-five.vercel.app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40"/>
      <w:outlineLvl w:val="0"/>
    </w:pPr>
    <w:rPr>
      <w:rFonts w:ascii="Arial" w:cs="Arial" w:eastAsia="Arial" w:hAnsi="Arial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180" w:after="180"/>
      <w:outlineLvl w:val="1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120"/>
      <w:outlineLvl w:val="2"/>
    </w:pPr>
    <w:rPr>
      <w:rFonts w:ascii="Arial" w:cs="Arial" w:eastAsia="Arial" w:hAnsi="Arial"/>
      <w:b/>
      <w:bCs/>
      <w:color w:val="00000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2025-11-10T22:53:10.876Z</dcterms:created>
  <dcterms:modified xsi:type="dcterms:W3CDTF">2025-11-10T22:53:10.876Z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