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Data Center Energy Market</w:t>
      </w:r>
    </w:p>
    <w:p>
      <w:pPr>
        <w:spacing w:after="480"/>
        <w:jc w:val="center"/>
      </w:pPr>
      <w:r>
        <w:rPr>
          <w:sz w:val="32"/>
          <w:szCs w:val="32"/>
        </w:rPr>
        <w:t xml:space="preserve">Research Report 2025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The data center energy market is experiencing unprecedented transformation driven by AI workloads, sustainability mandates, and grid infrastructure constraints. Fuel cell technology offers a compelling solution pathway, delivering zero on-site emissions, grid independence, and 4-month deployment timelines versus 18-48 months for traditional grid connections.</w:t>
      </w:r>
    </w:p>
    <w:p>
      <w:pPr>
        <w:pStyle w:val="Heading1"/>
      </w:pPr>
      <w:r>
        <w:t xml:space="preserve">Market Overview</w:t>
      </w:r>
    </w:p>
    <w:p>
      <w:pPr>
        <w:pStyle w:val="Heading2"/>
      </w:pPr>
      <w:r>
        <w:t xml:space="preserve">Market Size and Growth</w:t>
      </w:r>
    </w:p>
    <w:p>
      <w:pPr>
        <w:spacing w:after="120"/>
      </w:pPr>
      <w:r>
        <w:t xml:space="preserve">The global data center power market is projected to reach $45 billion by 2030, growing at 12% CAGR. Key growth drivers include:</w:t>
      </w:r>
    </w:p>
    <w:p>
      <w:pPr>
        <w:pStyle w:val="ListParagraph"/>
        <w:numPr>
          <w:ilvl w:val="0"/>
          <w:numId w:val="2"/>
        </w:numPr>
      </w:pPr>
      <w:r>
        <w:t xml:space="preserve">AI and machine learning workload expansion</w:t>
      </w:r>
    </w:p>
    <w:p>
      <w:pPr>
        <w:pStyle w:val="ListParagraph"/>
        <w:numPr>
          <w:ilvl w:val="0"/>
          <w:numId w:val="2"/>
        </w:numPr>
      </w:pPr>
      <w:r>
        <w:t xml:space="preserve">Edge computing proliferation</w:t>
      </w:r>
    </w:p>
    <w:p>
      <w:pPr>
        <w:pStyle w:val="ListParagraph"/>
        <w:numPr>
          <w:ilvl w:val="0"/>
          <w:numId w:val="2"/>
        </w:numPr>
      </w:pPr>
      <w:r>
        <w:t xml:space="preserve">5G network infrastructure buildout</w:t>
      </w:r>
    </w:p>
    <w:p>
      <w:pPr>
        <w:pStyle w:val="ListParagraph"/>
        <w:numPr>
          <w:ilvl w:val="0"/>
          <w:numId w:val="2"/>
        </w:numPr>
      </w:pPr>
      <w:r>
        <w:t xml:space="preserve">Hybrid cloud adoption</w:t>
      </w:r>
    </w:p>
    <w:p>
      <w:pPr>
        <w:pStyle w:val="Heading2"/>
        <w:spacing w:before="240"/>
      </w:pPr>
      <w:r>
        <w:t xml:space="preserve">Critical Challenge: Grid Infrastructure Bottleneck</w:t>
      </w:r>
    </w:p>
    <w:p>
      <w:pPr>
        <w:spacing w:after="120"/>
      </w:pPr>
      <w:r>
        <w:t xml:space="preserve">The primary constraint for data center expansion is not capital availability but power availability. Traditional grid connection timelines have become the critical path:</w:t>
      </w:r>
    </w:p>
    <w:p>
      <w:pPr>
        <w:pStyle w:val="ListParagraph"/>
        <w:numPr>
          <w:ilvl w:val="0"/>
          <w:numId w:val="2"/>
        </w:numPr>
      </w:pPr>
      <w:r>
        <w:t xml:space="preserve">18-48 month interconnection queues in major markets</w:t>
      </w:r>
    </w:p>
    <w:p>
      <w:pPr>
        <w:pStyle w:val="ListParagraph"/>
        <w:numPr>
          <w:ilvl w:val="0"/>
          <w:numId w:val="2"/>
        </w:numPr>
      </w:pPr>
      <w:r>
        <w:t xml:space="preserve">Limited utility capacity in high-demand regions</w:t>
      </w:r>
    </w:p>
    <w:p>
      <w:pPr>
        <w:pStyle w:val="ListParagraph"/>
        <w:numPr>
          <w:ilvl w:val="0"/>
          <w:numId w:val="2"/>
        </w:numPr>
      </w:pPr>
      <w:r>
        <w:t xml:space="preserve">Increasing uncertainty in approval processes</w:t>
      </w:r>
    </w:p>
    <w:p>
      <w:pPr>
        <w:pStyle w:val="ListParagraph"/>
        <w:numPr>
          <w:ilvl w:val="0"/>
          <w:numId w:val="2"/>
        </w:numPr>
      </w:pPr>
      <w:r>
        <w:t xml:space="preserve">Rising interconnection costs</w:t>
      </w:r>
    </w:p>
    <w:p>
      <w:pPr>
        <w:spacing w:before="240" w:after="240"/>
      </w:pPr>
      <w:r>
        <w:t xml:space="preserve">This infrastructure gap creates a compelling opportunity for grid-independent power solutions like fuel cells, which can deploy in as low as 4 months.</w:t>
      </w:r>
    </w:p>
    <w:p>
      <w:r>
        <w:br w:type="page"/>
      </w:r>
    </w:p>
    <w:p>
      <w:pPr>
        <w:pStyle w:val="Heading1"/>
      </w:pPr>
      <w:r>
        <w:t xml:space="preserve">Customer Segments</w:t>
      </w:r>
    </w:p>
    <w:p>
      <w:pPr>
        <w:pStyle w:val="Heading2"/>
      </w:pPr>
      <w:r>
        <w:t xml:space="preserve">Hyperscale Operators</w:t>
      </w:r>
    </w:p>
    <w:p>
      <w:pPr>
        <w:spacing w:after="120"/>
      </w:pPr>
      <w:r>
        <w:rPr>
          <w:b/>
          <w:bCs/>
        </w:rPr>
        <w:t xml:space="preserve">Market Characteristics:</w:t>
      </w:r>
    </w:p>
    <w:p>
      <w:pPr>
        <w:pStyle w:val="ListParagraph"/>
        <w:numPr>
          <w:ilvl w:val="0"/>
          <w:numId w:val="2"/>
        </w:numPr>
      </w:pPr>
      <w:r>
        <w:t xml:space="preserve">Multi-gigawatt power requirements</w:t>
      </w:r>
    </w:p>
    <w:p>
      <w:pPr>
        <w:pStyle w:val="ListParagraph"/>
        <w:numPr>
          <w:ilvl w:val="0"/>
          <w:numId w:val="2"/>
        </w:numPr>
      </w:pPr>
      <w:r>
        <w:t xml:space="preserve">Aggressive expansion timelines</w:t>
      </w:r>
    </w:p>
    <w:p>
      <w:pPr>
        <w:pStyle w:val="ListParagraph"/>
        <w:numPr>
          <w:ilvl w:val="0"/>
          <w:numId w:val="2"/>
        </w:numPr>
      </w:pPr>
      <w:r>
        <w:t xml:space="preserve">Strong sustainability commitments</w:t>
      </w:r>
    </w:p>
    <w:p>
      <w:pPr>
        <w:pStyle w:val="ListParagraph"/>
        <w:numPr>
          <w:ilvl w:val="0"/>
          <w:numId w:val="2"/>
        </w:numPr>
      </w:pPr>
      <w:r>
        <w:t xml:space="preserve">Grid constraints in key markets</w:t>
      </w:r>
    </w:p>
    <w:p>
      <w:pPr>
        <w:spacing w:before="180" w:after="120"/>
      </w:pPr>
      <w:r>
        <w:rPr>
          <w:b/>
          <w:bCs/>
        </w:rPr>
        <w:t xml:space="preserve">Value Proposition:</w:t>
      </w:r>
    </w:p>
    <w:p>
      <w:pPr>
        <w:pStyle w:val="ListParagraph"/>
        <w:numPr>
          <w:ilvl w:val="0"/>
          <w:numId w:val="2"/>
        </w:numPr>
      </w:pPr>
      <w:r>
        <w:t xml:space="preserve">Eliminate grid interconnection delays</w:t>
      </w:r>
    </w:p>
    <w:p>
      <w:pPr>
        <w:pStyle w:val="ListParagraph"/>
        <w:numPr>
          <w:ilvl w:val="0"/>
          <w:numId w:val="2"/>
        </w:numPr>
      </w:pPr>
      <w:r>
        <w:t xml:space="preserve">Meet carbon neutrality goals with zero on-site emissions</w:t>
      </w:r>
    </w:p>
    <w:p>
      <w:pPr>
        <w:pStyle w:val="ListParagraph"/>
        <w:numPr>
          <w:ilvl w:val="0"/>
          <w:numId w:val="2"/>
        </w:numPr>
      </w:pPr>
      <w:r>
        <w:t xml:space="preserve">99.99% (four nines) uptime with N+1 redundancy</w:t>
      </w:r>
    </w:p>
    <w:p>
      <w:pPr>
        <w:pStyle w:val="Heading2"/>
        <w:spacing w:before="240"/>
      </w:pPr>
      <w:r>
        <w:t xml:space="preserve">Colocation Providers</w:t>
      </w:r>
    </w:p>
    <w:p>
      <w:pPr>
        <w:spacing w:after="120"/>
      </w:pPr>
      <w:r>
        <w:rPr>
          <w:b/>
          <w:bCs/>
        </w:rPr>
        <w:t xml:space="preserve">Market Characteristics:</w:t>
      </w:r>
    </w:p>
    <w:p>
      <w:pPr>
        <w:pStyle w:val="ListParagraph"/>
        <w:numPr>
          <w:ilvl w:val="0"/>
          <w:numId w:val="2"/>
        </w:numPr>
      </w:pPr>
      <w:r>
        <w:t xml:space="preserve">Multi-tenant facilities requiring high reliability</w:t>
      </w:r>
    </w:p>
    <w:p>
      <w:pPr>
        <w:pStyle w:val="ListParagraph"/>
        <w:numPr>
          <w:ilvl w:val="0"/>
          <w:numId w:val="2"/>
        </w:numPr>
      </w:pPr>
      <w:r>
        <w:t xml:space="preserve">Competitive pressure on power availability</w:t>
      </w:r>
    </w:p>
    <w:p>
      <w:pPr>
        <w:pStyle w:val="ListParagraph"/>
        <w:numPr>
          <w:ilvl w:val="0"/>
          <w:numId w:val="2"/>
        </w:numPr>
      </w:pPr>
      <w:r>
        <w:t xml:space="preserve">Customer demands for clean energy</w:t>
      </w:r>
    </w:p>
    <w:p>
      <w:pPr>
        <w:pStyle w:val="ListParagraph"/>
        <w:numPr>
          <w:ilvl w:val="0"/>
          <w:numId w:val="2"/>
        </w:numPr>
      </w:pPr>
      <w:r>
        <w:t xml:space="preserve">Market expansion opportunities</w:t>
      </w:r>
    </w:p>
    <w:p>
      <w:pPr>
        <w:spacing w:before="180" w:after="120"/>
      </w:pPr>
      <w:r>
        <w:rPr>
          <w:b/>
          <w:bCs/>
        </w:rPr>
        <w:t xml:space="preserve">Value Proposition:</w:t>
      </w:r>
    </w:p>
    <w:p>
      <w:pPr>
        <w:pStyle w:val="ListParagraph"/>
        <w:numPr>
          <w:ilvl w:val="0"/>
          <w:numId w:val="2"/>
        </w:numPr>
      </w:pPr>
      <w:r>
        <w:t xml:space="preserve">Rapid capacity expansion</w:t>
      </w:r>
    </w:p>
    <w:p>
      <w:pPr>
        <w:pStyle w:val="ListParagraph"/>
        <w:numPr>
          <w:ilvl w:val="0"/>
          <w:numId w:val="2"/>
        </w:numPr>
      </w:pPr>
      <w:r>
        <w:t xml:space="preserve">Differentiated green energy offering</w:t>
      </w:r>
    </w:p>
    <w:p>
      <w:pPr>
        <w:pStyle w:val="ListParagraph"/>
        <w:numPr>
          <w:ilvl w:val="0"/>
          <w:numId w:val="2"/>
        </w:numPr>
      </w:pPr>
      <w:r>
        <w:t xml:space="preserve">Lower total cost of ownership</w:t>
      </w:r>
    </w:p>
    <w:p>
      <w:pPr>
        <w:pStyle w:val="Heading2"/>
        <w:spacing w:before="240"/>
      </w:pPr>
      <w:r>
        <w:t xml:space="preserve">Edge Computing</w:t>
      </w:r>
    </w:p>
    <w:p>
      <w:pPr>
        <w:spacing w:after="120"/>
      </w:pPr>
      <w:r>
        <w:rPr>
          <w:b/>
          <w:bCs/>
        </w:rPr>
        <w:t xml:space="preserve">Market Characteristics:</w:t>
      </w:r>
    </w:p>
    <w:p>
      <w:pPr>
        <w:pStyle w:val="ListParagraph"/>
        <w:numPr>
          <w:ilvl w:val="0"/>
          <w:numId w:val="2"/>
        </w:numPr>
      </w:pPr>
      <w:r>
        <w:t xml:space="preserve">Distributed infrastructure requirements</w:t>
      </w:r>
    </w:p>
    <w:p>
      <w:pPr>
        <w:pStyle w:val="ListParagraph"/>
        <w:numPr>
          <w:ilvl w:val="0"/>
          <w:numId w:val="2"/>
        </w:numPr>
      </w:pPr>
      <w:r>
        <w:t xml:space="preserve">Remote or grid-constrained locations</w:t>
      </w:r>
    </w:p>
    <w:p>
      <w:pPr>
        <w:pStyle w:val="ListParagraph"/>
        <w:numPr>
          <w:ilvl w:val="0"/>
          <w:numId w:val="2"/>
        </w:numPr>
      </w:pPr>
      <w:r>
        <w:t xml:space="preserve">High reliability requirements</w:t>
      </w:r>
    </w:p>
    <w:p>
      <w:pPr>
        <w:pStyle w:val="ListParagraph"/>
        <w:numPr>
          <w:ilvl w:val="0"/>
          <w:numId w:val="2"/>
        </w:numPr>
      </w:pPr>
      <w:r>
        <w:t xml:space="preserve">Smaller footprint facilities</w:t>
      </w:r>
    </w:p>
    <w:p>
      <w:pPr>
        <w:spacing w:before="180" w:after="120"/>
      </w:pPr>
      <w:r>
        <w:rPr>
          <w:b/>
          <w:bCs/>
        </w:rPr>
        <w:t xml:space="preserve">Value Proposition:</w:t>
      </w:r>
    </w:p>
    <w:p>
      <w:pPr>
        <w:pStyle w:val="ListParagraph"/>
        <w:numPr>
          <w:ilvl w:val="0"/>
          <w:numId w:val="2"/>
        </w:numPr>
      </w:pPr>
      <w:r>
        <w:t xml:space="preserve">Grid-independent operation</w:t>
      </w:r>
    </w:p>
    <w:p>
      <w:pPr>
        <w:pStyle w:val="ListParagraph"/>
        <w:numPr>
          <w:ilvl w:val="0"/>
          <w:numId w:val="2"/>
        </w:numPr>
      </w:pPr>
      <w:r>
        <w:t xml:space="preserve">Modular scalability</w:t>
      </w:r>
    </w:p>
    <w:p>
      <w:pPr>
        <w:pStyle w:val="ListParagraph"/>
        <w:numPr>
          <w:ilvl w:val="0"/>
          <w:numId w:val="2"/>
        </w:numPr>
      </w:pPr>
      <w:r>
        <w:t xml:space="preserve">Silent operation for urban environments</w:t>
      </w:r>
    </w:p>
    <w:p>
      <w:r>
        <w:br w:type="page"/>
      </w:r>
    </w:p>
    <w:p>
      <w:pPr>
        <w:pStyle w:val="Heading1"/>
      </w:pPr>
      <w:r>
        <w:t xml:space="preserve">Technology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Uptime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On-Site Emissions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Grid + Diesel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18-48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Natural Gas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Fuel Cells (H2)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99.99% (N+1)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Fuel Cells (SMR)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99.99% (N+1)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60-70% lower</w:t>
            </w:r>
          </w:p>
        </w:tc>
      </w:tr>
    </w:tbl>
    <w:p>
      <w:pPr>
        <w:pStyle w:val="Heading1"/>
        <w:spacing w:before="480"/>
      </w:pPr>
      <w:r>
        <w:t xml:space="preserve">Market Trends</w:t>
      </w:r>
    </w:p>
    <w:p>
      <w:pPr>
        <w:pStyle w:val="Heading2"/>
      </w:pPr>
      <w:r>
        <w:t xml:space="preserve">Sustainability Mandates</w:t>
      </w:r>
    </w:p>
    <w:p>
      <w:pPr>
        <w:spacing w:after="120"/>
      </w:pPr>
      <w:r>
        <w:t xml:space="preserve">Corporate and regulatory pressure for zero on-site emissions continues to intensify:</w:t>
      </w:r>
    </w:p>
    <w:p>
      <w:pPr>
        <w:pStyle w:val="ListParagraph"/>
        <w:numPr>
          <w:ilvl w:val="0"/>
          <w:numId w:val="2"/>
        </w:numPr>
      </w:pPr>
      <w:r>
        <w:t xml:space="preserve">Science-based targets requiring validated emissions reductions</w:t>
      </w:r>
    </w:p>
    <w:p>
      <w:pPr>
        <w:pStyle w:val="ListParagraph"/>
        <w:numPr>
          <w:ilvl w:val="0"/>
          <w:numId w:val="2"/>
        </w:numPr>
      </w:pPr>
      <w:r>
        <w:t xml:space="preserve">Corporate renewable energy commitments (RE100)</w:t>
      </w:r>
    </w:p>
    <w:p>
      <w:pPr>
        <w:pStyle w:val="ListParagraph"/>
        <w:numPr>
          <w:ilvl w:val="0"/>
          <w:numId w:val="2"/>
        </w:numPr>
      </w:pPr>
      <w:r>
        <w:t xml:space="preserve">Customer demand for carbon-free computing</w:t>
      </w:r>
    </w:p>
    <w:p>
      <w:pPr>
        <w:pStyle w:val="ListParagraph"/>
        <w:numPr>
          <w:ilvl w:val="0"/>
          <w:numId w:val="2"/>
        </w:numPr>
      </w:pPr>
      <w:r>
        <w:t xml:space="preserve">Investor ESG requirements</w:t>
      </w:r>
    </w:p>
    <w:p>
      <w:pPr>
        <w:pStyle w:val="Heading2"/>
        <w:spacing w:before="240"/>
      </w:pPr>
      <w:r>
        <w:t xml:space="preserve">Power Density Increases</w:t>
      </w:r>
    </w:p>
    <w:p>
      <w:pPr>
        <w:spacing w:after="120"/>
      </w:pPr>
      <w:r>
        <w:t xml:space="preserve">AI workloads are driving unprecedented power density requirements:</w:t>
      </w:r>
    </w:p>
    <w:p>
      <w:pPr>
        <w:pStyle w:val="ListParagraph"/>
        <w:numPr>
          <w:ilvl w:val="0"/>
          <w:numId w:val="2"/>
        </w:numPr>
      </w:pPr>
      <w:r>
        <w:t xml:space="preserve">Traditional racks: 5-8kW per rack</w:t>
      </w:r>
    </w:p>
    <w:p>
      <w:pPr>
        <w:pStyle w:val="ListParagraph"/>
        <w:numPr>
          <w:ilvl w:val="0"/>
          <w:numId w:val="2"/>
        </w:numPr>
      </w:pPr>
      <w:r>
        <w:t xml:space="preserve">AI/ML racks: 30-100kW per rack</w:t>
      </w:r>
    </w:p>
    <w:p>
      <w:pPr>
        <w:pStyle w:val="ListParagraph"/>
        <w:numPr>
          <w:ilvl w:val="0"/>
          <w:numId w:val="2"/>
        </w:numPr>
      </w:pPr>
      <w:r>
        <w:t xml:space="preserve">Liquid cooling adoption accelerating</w:t>
      </w:r>
    </w:p>
    <w:p>
      <w:pPr>
        <w:pStyle w:val="ListParagraph"/>
        <w:numPr>
          <w:ilvl w:val="0"/>
          <w:numId w:val="2"/>
        </w:numPr>
      </w:pPr>
      <w:r>
        <w:t xml:space="preserve">Continuous power requirements</w:t>
      </w:r>
    </w:p>
    <w:p>
      <w:pPr>
        <w:pStyle w:val="Heading2"/>
        <w:spacing w:before="240"/>
      </w:pPr>
      <w:r>
        <w:t xml:space="preserve">Grid Independence</w:t>
      </w:r>
    </w:p>
    <w:p>
      <w:pPr>
        <w:spacing w:after="120"/>
      </w:pPr>
      <w:r>
        <w:t xml:space="preserve">Data center operators increasingly value independence from utility constraints:</w:t>
      </w:r>
    </w:p>
    <w:p>
      <w:pPr>
        <w:pStyle w:val="ListParagraph"/>
        <w:numPr>
          <w:ilvl w:val="0"/>
          <w:numId w:val="2"/>
        </w:numPr>
      </w:pPr>
      <w:r>
        <w:t xml:space="preserve">Control over deployment timelines</w:t>
      </w:r>
    </w:p>
    <w:p>
      <w:pPr>
        <w:pStyle w:val="ListParagraph"/>
        <w:numPr>
          <w:ilvl w:val="0"/>
          <w:numId w:val="2"/>
        </w:numPr>
      </w:pPr>
      <w:r>
        <w:t xml:space="preserve">Predictable energy costs</w:t>
      </w:r>
    </w:p>
    <w:p>
      <w:pPr>
        <w:pStyle w:val="ListParagraph"/>
        <w:numPr>
          <w:ilvl w:val="0"/>
          <w:numId w:val="2"/>
        </w:numPr>
      </w:pPr>
      <w:r>
        <w:t xml:space="preserve">Geographic flexibility</w:t>
      </w:r>
    </w:p>
    <w:p>
      <w:pPr>
        <w:pStyle w:val="ListParagraph"/>
        <w:numPr>
          <w:ilvl w:val="0"/>
          <w:numId w:val="2"/>
        </w:numPr>
      </w:pPr>
      <w:r>
        <w:t xml:space="preserve">Resilience against grid instability</w:t>
      </w:r>
    </w:p>
    <w:p>
      <w:r>
        <w:br w:type="page"/>
      </w:r>
    </w:p>
    <w:p>
      <w:pPr>
        <w:pStyle w:val="Heading1"/>
      </w:pPr>
      <w:r>
        <w:t xml:space="preserve">Competitive Landscape</w:t>
      </w:r>
    </w:p>
    <w:p>
      <w:pPr>
        <w:pStyle w:val="Heading2"/>
      </w:pPr>
      <w:r>
        <w:t xml:space="preserve">Traditional Diesel Backup</w:t>
      </w:r>
    </w:p>
    <w:p>
      <w:pPr>
        <w:spacing w:after="12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2"/>
        </w:numPr>
      </w:pPr>
      <w:r>
        <w:t xml:space="preserve">Proven technology</w:t>
      </w:r>
    </w:p>
    <w:p>
      <w:pPr>
        <w:pStyle w:val="ListParagraph"/>
        <w:numPr>
          <w:ilvl w:val="0"/>
          <w:numId w:val="2"/>
        </w:numPr>
      </w:pPr>
      <w:r>
        <w:t xml:space="preserve">Low capital cost</w:t>
      </w:r>
    </w:p>
    <w:p>
      <w:pPr>
        <w:pStyle w:val="ListParagraph"/>
        <w:numPr>
          <w:ilvl w:val="0"/>
          <w:numId w:val="2"/>
        </w:numPr>
      </w:pPr>
      <w:r>
        <w:t xml:space="preserve">Established supply chain</w:t>
      </w:r>
    </w:p>
    <w:p>
      <w:pPr>
        <w:spacing w:before="180" w:after="120"/>
      </w:pPr>
      <w:r>
        <w:rPr>
          <w:b/>
          <w:bCs/>
        </w:rPr>
        <w:t xml:space="preserve">Weaknesses:</w:t>
      </w:r>
    </w:p>
    <w:p>
      <w:pPr>
        <w:pStyle w:val="ListParagraph"/>
        <w:numPr>
          <w:ilvl w:val="0"/>
          <w:numId w:val="2"/>
        </w:numPr>
      </w:pPr>
      <w:r>
        <w:t xml:space="preserve">High on-site emissions</w:t>
      </w:r>
    </w:p>
    <w:p>
      <w:pPr>
        <w:pStyle w:val="ListParagraph"/>
        <w:numPr>
          <w:ilvl w:val="0"/>
          <w:numId w:val="2"/>
        </w:numPr>
      </w:pPr>
      <w:r>
        <w:t xml:space="preserve">Limited runtime (backup only)</w:t>
      </w:r>
    </w:p>
    <w:p>
      <w:pPr>
        <w:pStyle w:val="ListParagraph"/>
        <w:numPr>
          <w:ilvl w:val="0"/>
          <w:numId w:val="2"/>
        </w:numPr>
      </w:pPr>
      <w:r>
        <w:t xml:space="preserve">Regulatory constraints increasing</w:t>
      </w:r>
    </w:p>
    <w:p>
      <w:pPr>
        <w:pStyle w:val="ListParagraph"/>
        <w:numPr>
          <w:ilvl w:val="0"/>
          <w:numId w:val="2"/>
        </w:numPr>
      </w:pPr>
      <w:r>
        <w:t xml:space="preserve">Maintenance intensive</w:t>
      </w:r>
    </w:p>
    <w:p>
      <w:pPr>
        <w:pStyle w:val="Heading2"/>
        <w:spacing w:before="240"/>
      </w:pPr>
      <w:r>
        <w:t xml:space="preserve">Battery Storage</w:t>
      </w:r>
    </w:p>
    <w:p>
      <w:pPr>
        <w:spacing w:after="12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2"/>
        </w:numPr>
      </w:pPr>
      <w:r>
        <w:t xml:space="preserve">Zero on-site emissions</w:t>
      </w:r>
    </w:p>
    <w:p>
      <w:pPr>
        <w:pStyle w:val="ListParagraph"/>
        <w:numPr>
          <w:ilvl w:val="0"/>
          <w:numId w:val="2"/>
        </w:numPr>
      </w:pPr>
      <w:r>
        <w:t xml:space="preserve">Rapid response time</w:t>
      </w:r>
    </w:p>
    <w:p>
      <w:pPr>
        <w:pStyle w:val="ListParagraph"/>
        <w:numPr>
          <w:ilvl w:val="0"/>
          <w:numId w:val="2"/>
        </w:numPr>
      </w:pPr>
      <w:r>
        <w:t xml:space="preserve">No moving parts</w:t>
      </w:r>
    </w:p>
    <w:p>
      <w:pPr>
        <w:spacing w:before="180" w:after="120"/>
      </w:pPr>
      <w:r>
        <w:rPr>
          <w:b/>
          <w:bCs/>
        </w:rPr>
        <w:t xml:space="preserve">Weaknesses:</w:t>
      </w:r>
    </w:p>
    <w:p>
      <w:pPr>
        <w:pStyle w:val="ListParagraph"/>
        <w:numPr>
          <w:ilvl w:val="0"/>
          <w:numId w:val="2"/>
        </w:numPr>
      </w:pPr>
      <w:r>
        <w:t xml:space="preserve">Limited duration (typically 4 hours)</w:t>
      </w:r>
    </w:p>
    <w:p>
      <w:pPr>
        <w:pStyle w:val="ListParagraph"/>
        <w:numPr>
          <w:ilvl w:val="0"/>
          <w:numId w:val="2"/>
        </w:numPr>
      </w:pPr>
      <w:r>
        <w:t xml:space="preserve">Requires grid or generator backup</w:t>
      </w:r>
    </w:p>
    <w:p>
      <w:pPr>
        <w:pStyle w:val="ListParagraph"/>
        <w:numPr>
          <w:ilvl w:val="0"/>
          <w:numId w:val="2"/>
        </w:numPr>
      </w:pPr>
      <w:r>
        <w:t xml:space="preserve">High degradation over time</w:t>
      </w:r>
    </w:p>
    <w:p>
      <w:pPr>
        <w:pStyle w:val="ListParagraph"/>
        <w:numPr>
          <w:ilvl w:val="0"/>
          <w:numId w:val="2"/>
        </w:numPr>
      </w:pPr>
      <w:r>
        <w:t xml:space="preserve">Not suitable for baseload power</w:t>
      </w:r>
    </w:p>
    <w:p>
      <w:pPr>
        <w:pStyle w:val="Heading2"/>
        <w:spacing w:before="240"/>
      </w:pPr>
      <w:r>
        <w:t xml:space="preserve">Horizon Fuel Cells</w:t>
      </w:r>
    </w:p>
    <w:p>
      <w:pPr>
        <w:spacing w:after="12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2"/>
        </w:numPr>
      </w:pPr>
      <w:r>
        <w:t xml:space="preserve">Zero on-site emissions</w:t>
      </w:r>
    </w:p>
    <w:p>
      <w:pPr>
        <w:pStyle w:val="ListParagraph"/>
        <w:numPr>
          <w:ilvl w:val="0"/>
          <w:numId w:val="2"/>
        </w:numPr>
      </w:pPr>
      <w:r>
        <w:t xml:space="preserve">Unlimited runtime (continuous power)</w:t>
      </w:r>
    </w:p>
    <w:p>
      <w:pPr>
        <w:pStyle w:val="ListParagraph"/>
        <w:numPr>
          <w:ilvl w:val="0"/>
          <w:numId w:val="2"/>
        </w:numPr>
      </w:pPr>
      <w:r>
        <w:t xml:space="preserve">99.99% uptime with N+1 redundancy</w:t>
      </w:r>
    </w:p>
    <w:p>
      <w:pPr>
        <w:pStyle w:val="ListParagraph"/>
        <w:numPr>
          <w:ilvl w:val="0"/>
          <w:numId w:val="2"/>
        </w:numPr>
      </w:pPr>
      <w:r>
        <w:t xml:space="preserve">4-month deployment timeline</w:t>
      </w:r>
    </w:p>
    <w:p>
      <w:pPr>
        <w:pStyle w:val="ListParagraph"/>
        <w:numPr>
          <w:ilvl w:val="0"/>
          <w:numId w:val="2"/>
        </w:numPr>
      </w:pPr>
      <w:r>
        <w:t xml:space="preserve">Grid-independent operation</w:t>
      </w:r>
    </w:p>
    <w:p>
      <w:pPr>
        <w:pStyle w:val="ListParagraph"/>
        <w:numPr>
          <w:ilvl w:val="0"/>
          <w:numId w:val="2"/>
        </w:numPr>
      </w:pPr>
      <w:r>
        <w:t xml:space="preserve">Multiple fuel pathways (pure H2 or SMR)</w:t>
      </w:r>
    </w:p>
    <w:p>
      <w:pPr>
        <w:pStyle w:val="Heading1"/>
        <w:spacing w:before="480"/>
      </w:pPr>
      <w:r>
        <w:t xml:space="preserve">Market Recommendations</w:t>
      </w:r>
    </w:p>
    <w:p>
      <w:pPr>
        <w:spacing w:after="120"/>
      </w:pPr>
      <w:r>
        <w:t xml:space="preserve">Based on market analysis, we recommend the following priorities:</w:t>
      </w:r>
    </w:p>
    <w:p>
      <w:pPr>
        <w:pStyle w:val="ListParagraph"/>
        <w:numPr>
          <w:ilvl w:val="0"/>
          <w:numId w:val="3"/>
        </w:numPr>
      </w:pPr>
      <w:r>
        <w:t xml:space="preserve">Focus on hyperscale operators facing immediate grid constraints in key markets (Northern Virginia, Silicon Valley, Dublin)</w:t>
      </w:r>
    </w:p>
    <w:p>
      <w:pPr>
        <w:pStyle w:val="ListParagraph"/>
        <w:numPr>
          <w:ilvl w:val="0"/>
          <w:numId w:val="3"/>
        </w:numPr>
      </w:pPr>
      <w:r>
        <w:t xml:space="preserve">Target colocation providers with sustainability commitments and expansion plans</w:t>
      </w:r>
    </w:p>
    <w:p>
      <w:pPr>
        <w:pStyle w:val="ListParagraph"/>
        <w:numPr>
          <w:ilvl w:val="0"/>
          <w:numId w:val="3"/>
        </w:numPr>
      </w:pPr>
      <w:r>
        <w:t xml:space="preserve">Develop edge computing partnerships for distributed deployments</w:t>
      </w:r>
    </w:p>
    <w:p>
      <w:pPr>
        <w:pStyle w:val="ListParagraph"/>
        <w:numPr>
          <w:ilvl w:val="0"/>
          <w:numId w:val="3"/>
        </w:numPr>
      </w:pPr>
      <w:r>
        <w:t xml:space="preserve">Emphasize 4-month deployment timeline versus 18-48 month grid delays</w:t>
      </w:r>
    </w:p>
    <w:p>
      <w:pPr>
        <w:pStyle w:val="ListParagraph"/>
        <w:numPr>
          <w:ilvl w:val="0"/>
          <w:numId w:val="3"/>
        </w:numPr>
      </w:pPr>
      <w:r>
        <w:t xml:space="preserve">Position SMR solution as bridge technology for natural gas infrastructure markets</w:t>
      </w:r>
    </w:p>
    <w:p>
      <w:pPr>
        <w:pStyle w:val="Heading1"/>
        <w:spacing w:before="480"/>
      </w:pPr>
      <w:r>
        <w:t xml:space="preserve">Conclusion</w:t>
      </w:r>
    </w:p>
    <w:p>
      <w:pPr>
        <w:spacing w:after="240"/>
      </w:pPr>
      <w:r>
        <w:t xml:space="preserve">The data center energy market presents a compelling opportunity for fuel cell technology. Grid infrastructure constraints, sustainability mandates, and AI-driven power density increases create favorable conditions for Horizon's value proposition of zero on-site emissions, 99.99% uptime with N+1 redundancy, and 4-month deployment timelines.</w:t>
      </w:r>
    </w:p>
    <w:p>
      <w:pPr>
        <w:pStyle w:val="Heading1"/>
        <w:spacing w:before="240"/>
      </w:pPr>
      <w:r>
        <w:t xml:space="preserve">Contact</w:t>
      </w:r>
    </w:p>
    <w:p>
      <w:pPr>
        <w:spacing w:after="60"/>
      </w:pPr>
      <w:r>
        <w:rPr>
          <w:b/>
          <w:bCs/>
        </w:rPr>
        <w:t xml:space="preserve">Phone: </w:t>
      </w:r>
      <w:r>
        <w:t xml:space="preserve">408-676-8556</w:t>
      </w:r>
    </w:p>
    <w:p>
      <w:pPr>
        <w:spacing w:after="60"/>
      </w:pPr>
      <w:r>
        <w:rPr>
          <w:b/>
          <w:bCs/>
        </w:rPr>
        <w:t xml:space="preserve">Email: </w:t>
      </w:r>
      <w:r>
        <w:t xml:space="preserve">info@horizonfuelcell.com</w:t>
      </w:r>
    </w:p>
    <w:p>
      <w:pPr>
        <w:spacing w:after="60"/>
      </w:pPr>
      <w:r>
        <w:rPr>
          <w:b/>
          <w:bCs/>
        </w:rPr>
        <w:t xml:space="preserve">Website: </w:t>
      </w:r>
      <w:r>
        <w:t xml:space="preserve">https://horizon-website-five.vercel.app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2025-11-10T22:51:42.656Z</dcterms:created>
  <dcterms:modified xsi:type="dcterms:W3CDTF">2025-11-10T22:51:42.657Z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