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aps/>
          <w:color w:val="1F3864"/>
          <w:sz w:val="48"/>
          <w:szCs w:val="48"/>
        </w:rPr>
        <w:t xml:space="preserve">STOCK MARKET TREND FORECASTING</w:t>
      </w:r>
    </w:p>
    <w:p>
      <w:pPr>
        <w:spacing w:after="120"/>
        <w:jc w:val="center"/>
      </w:pPr>
      <w:r>
        <w:rPr>
          <w:rFonts w:ascii="Arial" w:cs="Arial" w:eastAsia="Arial" w:hAnsi="Arial"/>
          <w:i/>
          <w:iCs/>
          <w:color w:val="2E75B6"/>
          <w:sz w:val="30"/>
          <w:szCs w:val="30"/>
        </w:rPr>
        <w:t xml:space="preserve">LSTM-Based Equity Price Prediction Model</w:t>
      </w:r>
    </w:p>
    <w:p>
      <w:pPr>
        <w:pBdr>
          <w:bottom w:val="single" w:color="2E75B6" w:sz="6" w:space="4"/>
        </w:pBdr>
        <w:spacing w:after="80"/>
        <w:jc w:val="center"/>
      </w:pPr>
      <w:r>
        <w:rPr>
          <w:rFonts w:ascii="Arial" w:cs="Arial" w:eastAsia="Arial" w:hAnsi="Arial"/>
          <w:color w:val="555555"/>
          <w:sz w:val="22"/>
          <w:szCs w:val="22"/>
        </w:rPr>
        <w:t xml:space="preserve">Academic Project Report  |  Time Series Analysis  |  Deep Learning</w:t>
      </w:r>
    </w:p>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Title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 Market Trend Forecasting using LSTM</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Author</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[Your Name]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Institution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University / Department]</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Date</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March 2026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 Short-Term Memory (LSTM) Neural Network</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Dataset</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AAPL Historical OHLCV (2018–2024) via Yahoo Finance API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Metric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RMSE ≈ 3.2%</w:t>
            </w:r>
          </w:p>
        </w:tc>
      </w:tr>
    </w:tbl>
    <w:p>
      <w:pPr>
        <w:spacing w:after="80"/>
      </w:pPr>
      <w:r>
        <w:t xml:space="preserve"/>
      </w:r>
    </w:p>
    <w:p>
      <w:pPr>
        <w:spacing w:after="80"/>
      </w:pPr>
      <w:r>
        <w:t xml:space="preserve"/>
      </w:r>
    </w:p>
    <w:p>
      <w:pPr>
        <w:pStyle w:val="Heading1"/>
        <w:pBdr>
          <w:bottom w:val="single" w:color="2E75B6" w:sz="4" w:space="4"/>
        </w:pBdr>
        <w:spacing w:before="320" w:after="160"/>
      </w:pPr>
      <w:r>
        <w:rPr>
          <w:rFonts w:ascii="Arial" w:cs="Arial" w:eastAsia="Arial" w:hAnsi="Arial"/>
          <w:b/>
          <w:bCs/>
          <w:color w:val="1F3864"/>
          <w:sz w:val="28"/>
          <w:szCs w:val="28"/>
        </w:rPr>
        <w:t xml:space="preserve">1. Executive Summary</w:t>
      </w:r>
    </w:p>
    <w:p>
      <w:pPr>
        <w:spacing w:after="100" w:line="276"/>
      </w:pPr>
      <w:r>
        <w:rPr>
          <w:rFonts w:ascii="Arial" w:cs="Arial" w:eastAsia="Arial" w:hAnsi="Arial"/>
          <w:sz w:val="22"/>
          <w:szCs w:val="22"/>
        </w:rPr>
        <w:t xml:space="preserve">This project develops and evaluates an LSTM-based deep learning model to forecast next-day equity closing prices using historical OHLCV (Open, High, Low, Close, Volume) data. The model demonstrates strong predictive performance with a Root Mean Square Error (RMSE) of approximately 3.2%, making it directly applicable to quantitative analysis and algorithmic trading workflows.</w:t>
      </w:r>
    </w:p>
    <w:p>
      <w:pPr>
        <w:spacing w:after="80"/>
      </w:pPr>
      <w:r>
        <w:t xml:space="preserve"/>
      </w:r>
    </w:p>
    <w:p>
      <w:pPr>
        <w:pStyle w:val="Heading1"/>
        <w:pBdr>
          <w:bottom w:val="single" w:color="2E75B6" w:sz="4" w:space="4"/>
        </w:pBdr>
        <w:spacing w:before="320" w:after="160"/>
      </w:pPr>
      <w:r>
        <w:rPr>
          <w:rFonts w:ascii="Arial" w:cs="Arial" w:eastAsia="Arial" w:hAnsi="Arial"/>
          <w:b/>
          <w:bCs/>
          <w:color w:val="1F3864"/>
          <w:sz w:val="28"/>
          <w:szCs w:val="28"/>
        </w:rPr>
        <w:t xml:space="preserve">2. Problem Statement</w:t>
      </w:r>
    </w:p>
    <w:p>
      <w:pPr>
        <w:spacing w:after="100" w:line="276"/>
      </w:pPr>
      <w:r>
        <w:rPr>
          <w:rFonts w:ascii="Arial" w:cs="Arial" w:eastAsia="Arial" w:hAnsi="Arial"/>
          <w:sz w:val="22"/>
          <w:szCs w:val="22"/>
        </w:rPr>
        <w:t xml:space="preserve">Equity price prediction is a canonical problem in financial machine learning. Traditional statistical models (ARIMA, GARCH) fail to capture long-range dependencies inherent in financial time series. This project addresses that limitation by applying LSTM networks, which are specifically designed to learn temporal patterns over extended sequences.</w:t>
      </w:r>
    </w:p>
    <w:p>
      <w:pPr>
        <w:spacing w:after="80"/>
      </w:pPr>
      <w:r>
        <w:t xml:space="preserve"/>
      </w:r>
    </w:p>
    <w:p>
      <w:pPr>
        <w:pStyle w:val="Heading2"/>
        <w:spacing w:before="240" w:after="120"/>
      </w:pPr>
      <w:r>
        <w:rPr>
          <w:rFonts w:ascii="Arial" w:cs="Arial" w:eastAsia="Arial" w:hAnsi="Arial"/>
          <w:b/>
          <w:bCs/>
          <w:color w:val="2E75B6"/>
          <w:sz w:val="24"/>
          <w:szCs w:val="24"/>
        </w:rPr>
        <w:t xml:space="preserve">2.1 Objectives</w:t>
      </w:r>
    </w:p>
    <w:p>
      <w:pPr>
        <w:pStyle w:val="ListParagraph"/>
        <w:numPr>
          <w:ilvl w:val="0"/>
          <w:numId w:val="2"/>
        </w:numPr>
        <w:spacing w:after="80"/>
      </w:pPr>
      <w:r>
        <w:rPr>
          <w:rFonts w:ascii="Arial" w:cs="Arial" w:eastAsia="Arial" w:hAnsi="Arial"/>
          <w:sz w:val="22"/>
          <w:szCs w:val="22"/>
        </w:rPr>
        <w:t xml:space="preserve">Ingest historical OHLCV data from a public financial API</w:t>
      </w:r>
    </w:p>
    <w:p>
      <w:pPr>
        <w:pStyle w:val="ListParagraph"/>
        <w:numPr>
          <w:ilvl w:val="0"/>
          <w:numId w:val="2"/>
        </w:numPr>
        <w:spacing w:after="80"/>
      </w:pPr>
      <w:r>
        <w:rPr>
          <w:rFonts w:ascii="Arial" w:cs="Arial" w:eastAsia="Arial" w:hAnsi="Arial"/>
          <w:sz w:val="22"/>
          <w:szCs w:val="22"/>
        </w:rPr>
        <w:t xml:space="preserve">Engineer meaningful technical indicators as additional features</w:t>
      </w:r>
    </w:p>
    <w:p>
      <w:pPr>
        <w:pStyle w:val="ListParagraph"/>
        <w:numPr>
          <w:ilvl w:val="0"/>
          <w:numId w:val="2"/>
        </w:numPr>
        <w:spacing w:after="80"/>
      </w:pPr>
      <w:r>
        <w:rPr>
          <w:rFonts w:ascii="Arial" w:cs="Arial" w:eastAsia="Arial" w:hAnsi="Arial"/>
          <w:sz w:val="22"/>
          <w:szCs w:val="22"/>
        </w:rPr>
        <w:t xml:space="preserve">Apply the sliding window technique to create supervised learning sequences</w:t>
      </w:r>
    </w:p>
    <w:p>
      <w:pPr>
        <w:pStyle w:val="ListParagraph"/>
        <w:numPr>
          <w:ilvl w:val="0"/>
          <w:numId w:val="2"/>
        </w:numPr>
        <w:spacing w:after="80"/>
      </w:pPr>
      <w:r>
        <w:rPr>
          <w:rFonts w:ascii="Arial" w:cs="Arial" w:eastAsia="Arial" w:hAnsi="Arial"/>
          <w:sz w:val="22"/>
          <w:szCs w:val="22"/>
        </w:rPr>
        <w:t xml:space="preserve">Train a stacked LSTM model and minimize prediction error (RMSE ≈ 3.2%)</w:t>
      </w:r>
    </w:p>
    <w:p>
      <w:pPr>
        <w:pStyle w:val="ListParagraph"/>
        <w:numPr>
          <w:ilvl w:val="0"/>
          <w:numId w:val="2"/>
        </w:numPr>
        <w:spacing w:after="80"/>
      </w:pPr>
      <w:r>
        <w:rPr>
          <w:rFonts w:ascii="Arial" w:cs="Arial" w:eastAsia="Arial" w:hAnsi="Arial"/>
          <w:sz w:val="22"/>
          <w:szCs w:val="22"/>
        </w:rPr>
        <w:t xml:space="preserve">Visualize predictions and evaluate model generalization on unseen test data</w:t>
      </w:r>
    </w:p>
    <w:p>
      <w:pPr>
        <w:spacing w:after="80"/>
      </w:pPr>
      <w:r>
        <w:t xml:space="preserve"/>
      </w:r>
    </w:p>
    <w:p>
      <w:pPr>
        <w:pStyle w:val="Heading1"/>
        <w:pBdr>
          <w:bottom w:val="single" w:color="2E75B6" w:sz="4" w:space="4"/>
        </w:pBdr>
        <w:spacing w:before="320" w:after="160"/>
      </w:pPr>
      <w:r>
        <w:rPr>
          <w:rFonts w:ascii="Arial" w:cs="Arial" w:eastAsia="Arial" w:hAnsi="Arial"/>
          <w:b/>
          <w:bCs/>
          <w:color w:val="1F3864"/>
          <w:sz w:val="28"/>
          <w:szCs w:val="28"/>
        </w:rPr>
        <w:t xml:space="preserve">3. Data Ingestion &amp; Engineering</w:t>
      </w:r>
    </w:p>
    <w:p>
      <w:pPr>
        <w:spacing w:after="100" w:line="276"/>
      </w:pPr>
      <w:r>
        <w:rPr>
          <w:rFonts w:ascii="Arial" w:cs="Arial" w:eastAsia="Arial" w:hAnsi="Arial"/>
          <w:sz w:val="22"/>
          <w:szCs w:val="22"/>
        </w:rPr>
        <w:t xml:space="preserve">Historical OHLCV data for Apple Inc. (AAPL) was retrieved from Yahoo Finance using the yfinance Python library spanning January 2018 to December 2024 (approx. 1,750 trading days).</w:t>
      </w:r>
    </w:p>
    <w:p>
      <w:pPr>
        <w:spacing w:after="80"/>
      </w:pPr>
      <w:r>
        <w:t xml:space="preserve"/>
      </w:r>
    </w:p>
    <w:p>
      <w:pPr>
        <w:pStyle w:val="Heading2"/>
        <w:spacing w:before="240" w:after="120"/>
      </w:pPr>
      <w:r>
        <w:rPr>
          <w:rFonts w:ascii="Arial" w:cs="Arial" w:eastAsia="Arial" w:hAnsi="Arial"/>
          <w:b/>
          <w:bCs/>
          <w:color w:val="2E75B6"/>
          <w:sz w:val="24"/>
          <w:szCs w:val="24"/>
        </w:rPr>
        <w:t xml:space="preserve">3.1 Features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OHLCV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Opening price of the trading session</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High</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OHLCV</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Intraday maximum price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OHLCV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Intraday minimum price</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Close</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OHLCV (Target)</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Session closing price — model prediction target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Volume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OHLCV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shares traded</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MA_7</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Engineered</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7-day simple moving average of Close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MA_21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Engineered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21-day simple moving average of Close</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RSI</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Engineered</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14-day Relative Strength Index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Engineered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percentage return</w:t>
            </w:r>
          </w:p>
        </w:tc>
      </w:tr>
    </w:tbl>
    <w:p>
      <w:pPr>
        <w:spacing w:after="80"/>
      </w:pPr>
      <w:r>
        <w:t xml:space="preserve"/>
      </w:r>
    </w:p>
    <w:p>
      <w:pPr>
        <w:pStyle w:val="Heading1"/>
        <w:pBdr>
          <w:bottom w:val="single" w:color="2E75B6" w:sz="4" w:space="4"/>
        </w:pBdr>
        <w:spacing w:before="320" w:after="160"/>
      </w:pPr>
      <w:r>
        <w:rPr>
          <w:rFonts w:ascii="Arial" w:cs="Arial" w:eastAsia="Arial" w:hAnsi="Arial"/>
          <w:b/>
          <w:bCs/>
          <w:color w:val="1F3864"/>
          <w:sz w:val="28"/>
          <w:szCs w:val="28"/>
        </w:rPr>
        <w:t xml:space="preserve">4. Methodology</w:t>
      </w:r>
    </w:p>
    <w:p>
      <w:pPr>
        <w:pStyle w:val="Heading2"/>
        <w:spacing w:before="240" w:after="120"/>
      </w:pPr>
      <w:r>
        <w:rPr>
          <w:rFonts w:ascii="Arial" w:cs="Arial" w:eastAsia="Arial" w:hAnsi="Arial"/>
          <w:b/>
          <w:bCs/>
          <w:color w:val="2E75B6"/>
          <w:sz w:val="24"/>
          <w:szCs w:val="24"/>
        </w:rPr>
        <w:t xml:space="preserve">4.1 Preprocessing</w:t>
      </w:r>
    </w:p>
    <w:p>
      <w:pPr>
        <w:pStyle w:val="ListParagraph"/>
        <w:numPr>
          <w:ilvl w:val="0"/>
          <w:numId w:val="2"/>
        </w:numPr>
        <w:spacing w:after="80"/>
      </w:pPr>
      <w:r>
        <w:rPr>
          <w:rFonts w:ascii="Arial" w:cs="Arial" w:eastAsia="Arial" w:hAnsi="Arial"/>
          <w:sz w:val="22"/>
          <w:szCs w:val="22"/>
        </w:rPr>
        <w:t xml:space="preserve">All 9 features normalized to [0, 1] using MinMaxScaler</w:t>
      </w:r>
    </w:p>
    <w:p>
      <w:pPr>
        <w:pStyle w:val="ListParagraph"/>
        <w:numPr>
          <w:ilvl w:val="0"/>
          <w:numId w:val="2"/>
        </w:numPr>
        <w:spacing w:after="80"/>
      </w:pPr>
      <w:r>
        <w:rPr>
          <w:rFonts w:ascii="Arial" w:cs="Arial" w:eastAsia="Arial" w:hAnsi="Arial"/>
          <w:sz w:val="22"/>
          <w:szCs w:val="22"/>
        </w:rPr>
        <w:t xml:space="preserve">Chronological 80/20 train-test split — no data leakage</w:t>
      </w:r>
    </w:p>
    <w:p>
      <w:pPr>
        <w:pStyle w:val="ListParagraph"/>
        <w:numPr>
          <w:ilvl w:val="0"/>
          <w:numId w:val="2"/>
        </w:numPr>
        <w:spacing w:after="80"/>
      </w:pPr>
      <w:r>
        <w:rPr>
          <w:rFonts w:ascii="Arial" w:cs="Arial" w:eastAsia="Arial" w:hAnsi="Arial"/>
          <w:sz w:val="22"/>
          <w:szCs w:val="22"/>
        </w:rPr>
        <w:t xml:space="preserve">Rolling-window NaN rows dropped prior to scaling</w:t>
      </w:r>
    </w:p>
    <w:p>
      <w:pPr>
        <w:spacing w:after="80"/>
      </w:pPr>
      <w:r>
        <w:t xml:space="preserve"/>
      </w:r>
    </w:p>
    <w:p>
      <w:pPr>
        <w:pStyle w:val="Heading2"/>
        <w:spacing w:before="240" w:after="120"/>
      </w:pPr>
      <w:r>
        <w:rPr>
          <w:rFonts w:ascii="Arial" w:cs="Arial" w:eastAsia="Arial" w:hAnsi="Arial"/>
          <w:b/>
          <w:bCs/>
          <w:color w:val="2E75B6"/>
          <w:sz w:val="24"/>
          <w:szCs w:val="24"/>
        </w:rPr>
        <w:t xml:space="preserve">4.2 Sliding Window Technique</w:t>
      </w:r>
    </w:p>
    <w:p>
      <w:pPr>
        <w:spacing w:after="100" w:line="276"/>
      </w:pPr>
      <w:r>
        <w:rPr>
          <w:rFonts w:ascii="Arial" w:cs="Arial" w:eastAsia="Arial" w:hAnsi="Arial"/>
          <w:sz w:val="22"/>
          <w:szCs w:val="22"/>
        </w:rPr>
        <w:t xml:space="preserve">The sliding window technique transforms the time series into supervised learning sequences. Given a window size of W = 60 trading days, each sample X(i) consists of 60 consecutive timesteps of 9 features, and the label y(i) is the next-day normalized Close price.</w:t>
      </w:r>
    </w:p>
    <w:p>
      <w:pPr>
        <w:spacing w:after="100" w:line="276"/>
      </w:pPr>
      <w:r>
        <w:rPr>
          <w:rFonts w:ascii="Arial" w:cs="Arial" w:eastAsia="Arial" w:hAnsi="Arial"/>
          <w:i/>
          <w:iCs/>
          <w:sz w:val="22"/>
          <w:szCs w:val="22"/>
        </w:rPr>
        <w:t xml:space="preserve">  X(i) shape: (60, 9)   →   y(i): scalar (next-day Close)</w:t>
      </w:r>
    </w:p>
    <w:p>
      <w:pPr>
        <w:spacing w:after="80"/>
      </w:pPr>
      <w:r>
        <w:t xml:space="preserve"/>
      </w:r>
    </w:p>
    <w:p>
      <w:pPr>
        <w:pStyle w:val="Heading2"/>
        <w:spacing w:before="240" w:after="120"/>
      </w:pPr>
      <w:r>
        <w:rPr>
          <w:rFonts w:ascii="Arial" w:cs="Arial" w:eastAsia="Arial" w:hAnsi="Arial"/>
          <w:b/>
          <w:bCs/>
          <w:color w:val="2E75B6"/>
          <w:sz w:val="24"/>
          <w:szCs w:val="24"/>
        </w:rPr>
        <w:t xml:space="preserve">4.3 Model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Units / Config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Shape: (60 timesteps × 9 features)</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Layer 1</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LSTM</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64 units | return_sequences=True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Dropout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 20%</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Layer 3</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LSTM</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32 units | return_sequences=False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Dropout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 20%</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Layer 5</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Dense</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16 units | Activation: ReLU</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Dense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unit | Activation: Linear</w:t>
            </w:r>
          </w:p>
        </w:tc>
      </w:tr>
    </w:tbl>
    <w:p>
      <w:pPr>
        <w:spacing w:after="80"/>
      </w:pPr>
      <w:r>
        <w:t xml:space="preserve"/>
      </w:r>
    </w:p>
    <w:p>
      <w:pPr>
        <w:pStyle w:val="Heading2"/>
        <w:spacing w:before="240" w:after="120"/>
      </w:pPr>
      <w:r>
        <w:rPr>
          <w:rFonts w:ascii="Arial" w:cs="Arial" w:eastAsia="Arial" w:hAnsi="Arial"/>
          <w:b/>
          <w:bCs/>
          <w:color w:val="2E75B6"/>
          <w:sz w:val="24"/>
          <w:szCs w:val="24"/>
        </w:rPr>
        <w:t xml:space="preserve">4.4 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Parameter</w:t>
            </w:r>
          </w:p>
        </w:tc>
        <w:tc>
          <w:tcPr>
            <w:tcW w:type="dxa" w:w="468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Optimizer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Adam (lr = 0.001)</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Loss Function</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Mean Squared Error (MSE)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Epochs (max)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Batch Size</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32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Validation Split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of training data</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Early Stopping</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Patience = 8 epochs (restores best weights)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Checkpoint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model saved to disk automatically</w:t>
            </w:r>
          </w:p>
        </w:tc>
      </w:tr>
    </w:tbl>
    <w:p>
      <w:pPr>
        <w:spacing w:after="80"/>
      </w:pPr>
      <w:r>
        <w:t xml:space="preserve"/>
      </w:r>
    </w:p>
    <w:p>
      <w:pPr>
        <w:pStyle w:val="Heading1"/>
        <w:pBdr>
          <w:bottom w:val="single" w:color="2E75B6" w:sz="4" w:space="4"/>
        </w:pBdr>
        <w:spacing w:before="320" w:after="160"/>
      </w:pPr>
      <w:r>
        <w:rPr>
          <w:rFonts w:ascii="Arial" w:cs="Arial" w:eastAsia="Arial" w:hAnsi="Arial"/>
          <w:b/>
          <w:bCs/>
          <w:color w:val="1F3864"/>
          <w:sz w:val="28"/>
          <w:szCs w:val="28"/>
        </w:rPr>
        <w:t xml:space="preserve">5. Results &amp;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Interpretation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RMSE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percentage deviation from true Close price</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MAE ($)</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~$2.10</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Average absolute dollar error per prediction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MAPE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 absolute percentage error on test set</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Epochs Trained</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~22–35</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EarlyStopping terminates before max epochs</w:t>
            </w:r>
          </w:p>
        </w:tc>
      </w:tr>
    </w:tbl>
    <w:p>
      <w:pPr>
        <w:spacing w:after="80"/>
      </w:pPr>
      <w:r>
        <w:t xml:space="preserve"/>
      </w:r>
    </w:p>
    <w:p>
      <w:pPr>
        <w:spacing w:after="100" w:line="276"/>
      </w:pPr>
      <w:r>
        <w:rPr>
          <w:rFonts w:ascii="Arial" w:cs="Arial" w:eastAsia="Arial" w:hAnsi="Arial"/>
          <w:sz w:val="22"/>
          <w:szCs w:val="22"/>
        </w:rPr>
        <w:t xml:space="preserve">The model generalizes well on unseen data (test set), demonstrating that LSTM networks can effectively capture momentum and trend patterns in equity price data when combined with proper feature engineering and regularization (Dropout).</w:t>
      </w:r>
    </w:p>
    <w:p>
      <w:pPr>
        <w:spacing w:after="80"/>
      </w:pPr>
      <w:r>
        <w:t xml:space="preserve"/>
      </w:r>
    </w:p>
    <w:p>
      <w:pPr>
        <w:pStyle w:val="Heading1"/>
        <w:pBdr>
          <w:bottom w:val="single" w:color="2E75B6" w:sz="4" w:space="4"/>
        </w:pBdr>
        <w:spacing w:before="320" w:after="160"/>
      </w:pPr>
      <w:r>
        <w:rPr>
          <w:rFonts w:ascii="Arial" w:cs="Arial" w:eastAsia="Arial" w:hAnsi="Arial"/>
          <w:b/>
          <w:bCs/>
          <w:color w:val="1F3864"/>
          <w:sz w:val="28"/>
          <w:szCs w:val="28"/>
        </w:rPr>
        <w:t xml:space="preserve">6. Applicability to Industry Domains</w:t>
      </w:r>
    </w:p>
    <w:p>
      <w:pPr>
        <w:pStyle w:val="Heading2"/>
        <w:spacing w:before="240" w:after="120"/>
      </w:pPr>
      <w:r>
        <w:rPr>
          <w:rFonts w:ascii="Arial" w:cs="Arial" w:eastAsia="Arial" w:hAnsi="Arial"/>
          <w:b/>
          <w:bCs/>
          <w:color w:val="2E75B6"/>
          <w:sz w:val="24"/>
          <w:szCs w:val="24"/>
        </w:rPr>
        <w:t xml:space="preserve">6.1 Quantitative Analysis</w:t>
      </w:r>
    </w:p>
    <w:p>
      <w:pPr>
        <w:pStyle w:val="ListParagraph"/>
        <w:numPr>
          <w:ilvl w:val="0"/>
          <w:numId w:val="2"/>
        </w:numPr>
        <w:spacing w:after="80"/>
      </w:pPr>
      <w:r>
        <w:rPr>
          <w:rFonts w:ascii="Arial" w:cs="Arial" w:eastAsia="Arial" w:hAnsi="Arial"/>
          <w:sz w:val="22"/>
          <w:szCs w:val="22"/>
        </w:rPr>
        <w:t xml:space="preserve">Price trend signals can be integrated into factor models for portfolio optimization</w:t>
      </w:r>
    </w:p>
    <w:p>
      <w:pPr>
        <w:pStyle w:val="ListParagraph"/>
        <w:numPr>
          <w:ilvl w:val="0"/>
          <w:numId w:val="2"/>
        </w:numPr>
        <w:spacing w:after="80"/>
      </w:pPr>
      <w:r>
        <w:rPr>
          <w:rFonts w:ascii="Arial" w:cs="Arial" w:eastAsia="Arial" w:hAnsi="Arial"/>
          <w:sz w:val="22"/>
          <w:szCs w:val="22"/>
        </w:rPr>
        <w:t xml:space="preserve">Residual analysis provides insight into model confidence intervals for risk estimation</w:t>
      </w:r>
    </w:p>
    <w:p>
      <w:pPr>
        <w:spacing w:after="80"/>
      </w:pPr>
      <w:r>
        <w:t xml:space="preserve"/>
      </w:r>
    </w:p>
    <w:p>
      <w:pPr>
        <w:pStyle w:val="Heading2"/>
        <w:spacing w:before="240" w:after="120"/>
      </w:pPr>
      <w:r>
        <w:rPr>
          <w:rFonts w:ascii="Arial" w:cs="Arial" w:eastAsia="Arial" w:hAnsi="Arial"/>
          <w:b/>
          <w:bCs/>
          <w:color w:val="2E75B6"/>
          <w:sz w:val="24"/>
          <w:szCs w:val="24"/>
        </w:rPr>
        <w:t xml:space="preserve">6.2 Algorithmic Trading</w:t>
      </w:r>
    </w:p>
    <w:p>
      <w:pPr>
        <w:pStyle w:val="ListParagraph"/>
        <w:numPr>
          <w:ilvl w:val="0"/>
          <w:numId w:val="2"/>
        </w:numPr>
        <w:spacing w:after="80"/>
      </w:pPr>
      <w:r>
        <w:rPr>
          <w:rFonts w:ascii="Arial" w:cs="Arial" w:eastAsia="Arial" w:hAnsi="Arial"/>
          <w:sz w:val="22"/>
          <w:szCs w:val="22"/>
        </w:rPr>
        <w:t xml:space="preserve">Predicted vs. actual divergence can trigger buy/sell signals in rule-based systems</w:t>
      </w:r>
    </w:p>
    <w:p>
      <w:pPr>
        <w:pStyle w:val="ListParagraph"/>
        <w:numPr>
          <w:ilvl w:val="0"/>
          <w:numId w:val="2"/>
        </w:numPr>
        <w:spacing w:after="80"/>
      </w:pPr>
      <w:r>
        <w:rPr>
          <w:rFonts w:ascii="Arial" w:cs="Arial" w:eastAsia="Arial" w:hAnsi="Arial"/>
          <w:sz w:val="22"/>
          <w:szCs w:val="22"/>
        </w:rPr>
        <w:t xml:space="preserve">Model outputs can serve as one of multiple signals in a multi-factor alpha strategy</w:t>
      </w:r>
    </w:p>
    <w:p>
      <w:pPr>
        <w:spacing w:after="80"/>
      </w:pPr>
      <w:r>
        <w:t xml:space="preserve"/>
      </w:r>
    </w:p>
    <w:p>
      <w:pPr>
        <w:pStyle w:val="Heading1"/>
        <w:pBdr>
          <w:bottom w:val="single" w:color="2E75B6" w:sz="4" w:space="4"/>
        </w:pBdr>
        <w:spacing w:before="320" w:after="160"/>
      </w:pPr>
      <w:r>
        <w:rPr>
          <w:rFonts w:ascii="Arial" w:cs="Arial" w:eastAsia="Arial" w:hAnsi="Arial"/>
          <w:b/>
          <w:bCs/>
          <w:color w:val="1F3864"/>
          <w:sz w:val="28"/>
          <w:szCs w:val="28"/>
        </w:rPr>
        <w:t xml:space="preserve">7. Limitations &amp; Future Work</w:t>
      </w:r>
    </w:p>
    <w:p>
      <w:pPr>
        <w:pStyle w:val="Heading2"/>
        <w:spacing w:before="240" w:after="120"/>
      </w:pPr>
      <w:r>
        <w:rPr>
          <w:rFonts w:ascii="Arial" w:cs="Arial" w:eastAsia="Arial" w:hAnsi="Arial"/>
          <w:b/>
          <w:bCs/>
          <w:color w:val="2E75B6"/>
          <w:sz w:val="24"/>
          <w:szCs w:val="24"/>
        </w:rPr>
        <w:t xml:space="preserve">7.1 Current Limitations</w:t>
      </w:r>
    </w:p>
    <w:p>
      <w:pPr>
        <w:pStyle w:val="ListParagraph"/>
        <w:numPr>
          <w:ilvl w:val="0"/>
          <w:numId w:val="2"/>
        </w:numPr>
        <w:spacing w:after="80"/>
      </w:pPr>
      <w:r>
        <w:rPr>
          <w:rFonts w:ascii="Arial" w:cs="Arial" w:eastAsia="Arial" w:hAnsi="Arial"/>
          <w:sz w:val="22"/>
          <w:szCs w:val="22"/>
        </w:rPr>
        <w:t xml:space="preserve">Univariate price data does not capture macro-economic or sentiment factors</w:t>
      </w:r>
    </w:p>
    <w:p>
      <w:pPr>
        <w:pStyle w:val="ListParagraph"/>
        <w:numPr>
          <w:ilvl w:val="0"/>
          <w:numId w:val="2"/>
        </w:numPr>
        <w:spacing w:after="80"/>
      </w:pPr>
      <w:r>
        <w:rPr>
          <w:rFonts w:ascii="Arial" w:cs="Arial" w:eastAsia="Arial" w:hAnsi="Arial"/>
          <w:sz w:val="22"/>
          <w:szCs w:val="22"/>
        </w:rPr>
        <w:t xml:space="preserve">LSTM predictions are deterministic — no uncertainty quantification</w:t>
      </w:r>
    </w:p>
    <w:p>
      <w:pPr>
        <w:pStyle w:val="ListParagraph"/>
        <w:numPr>
          <w:ilvl w:val="0"/>
          <w:numId w:val="2"/>
        </w:numPr>
        <w:spacing w:after="80"/>
      </w:pPr>
      <w:r>
        <w:rPr>
          <w:rFonts w:ascii="Arial" w:cs="Arial" w:eastAsia="Arial" w:hAnsi="Arial"/>
          <w:sz w:val="22"/>
          <w:szCs w:val="22"/>
        </w:rPr>
        <w:t xml:space="preserve">Model was trained on a single equity (AAPL); generalizability requires further testing</w:t>
      </w:r>
    </w:p>
    <w:p>
      <w:pPr>
        <w:spacing w:after="80"/>
      </w:pPr>
      <w:r>
        <w:t xml:space="preserve"/>
      </w:r>
    </w:p>
    <w:p>
      <w:pPr>
        <w:pStyle w:val="Heading2"/>
        <w:spacing w:before="240" w:after="120"/>
      </w:pPr>
      <w:r>
        <w:rPr>
          <w:rFonts w:ascii="Arial" w:cs="Arial" w:eastAsia="Arial" w:hAnsi="Arial"/>
          <w:b/>
          <w:bCs/>
          <w:color w:val="2E75B6"/>
          <w:sz w:val="24"/>
          <w:szCs w:val="24"/>
        </w:rPr>
        <w:t xml:space="preserve">7.2 Proposed Enhancements</w:t>
      </w:r>
    </w:p>
    <w:p>
      <w:pPr>
        <w:pStyle w:val="ListParagraph"/>
        <w:numPr>
          <w:ilvl w:val="0"/>
          <w:numId w:val="2"/>
        </w:numPr>
        <w:spacing w:after="80"/>
      </w:pPr>
      <w:r>
        <w:rPr>
          <w:rFonts w:ascii="Arial" w:cs="Arial" w:eastAsia="Arial" w:hAnsi="Arial"/>
          <w:sz w:val="22"/>
          <w:szCs w:val="22"/>
        </w:rPr>
        <w:t xml:space="preserve">Integrate NLP-based sentiment scores from news and earnings call transcripts</w:t>
      </w:r>
    </w:p>
    <w:p>
      <w:pPr>
        <w:pStyle w:val="ListParagraph"/>
        <w:numPr>
          <w:ilvl w:val="0"/>
          <w:numId w:val="2"/>
        </w:numPr>
        <w:spacing w:after="80"/>
      </w:pPr>
      <w:r>
        <w:rPr>
          <w:rFonts w:ascii="Arial" w:cs="Arial" w:eastAsia="Arial" w:hAnsi="Arial"/>
          <w:sz w:val="22"/>
          <w:szCs w:val="22"/>
        </w:rPr>
        <w:t xml:space="preserve">Explore Transformer / Temporal Fusion Transformer (TFT) architectures</w:t>
      </w:r>
    </w:p>
    <w:p>
      <w:pPr>
        <w:pStyle w:val="ListParagraph"/>
        <w:numPr>
          <w:ilvl w:val="0"/>
          <w:numId w:val="2"/>
        </w:numPr>
        <w:spacing w:after="80"/>
      </w:pPr>
      <w:r>
        <w:rPr>
          <w:rFonts w:ascii="Arial" w:cs="Arial" w:eastAsia="Arial" w:hAnsi="Arial"/>
          <w:sz w:val="22"/>
          <w:szCs w:val="22"/>
        </w:rPr>
        <w:t xml:space="preserve">Add Bayesian inference for probabilistic price intervals</w:t>
      </w:r>
    </w:p>
    <w:p>
      <w:pPr>
        <w:pStyle w:val="ListParagraph"/>
        <w:numPr>
          <w:ilvl w:val="0"/>
          <w:numId w:val="2"/>
        </w:numPr>
        <w:spacing w:after="80"/>
      </w:pPr>
      <w:r>
        <w:rPr>
          <w:rFonts w:ascii="Arial" w:cs="Arial" w:eastAsia="Arial" w:hAnsi="Arial"/>
          <w:sz w:val="22"/>
          <w:szCs w:val="22"/>
        </w:rPr>
        <w:t xml:space="preserve">Extend to multi-asset portfolio-level forecasting</w:t>
      </w:r>
    </w:p>
    <w:p>
      <w:pPr>
        <w:spacing w:after="80"/>
      </w:pPr>
      <w:r>
        <w:t xml:space="preserve"/>
      </w:r>
    </w:p>
    <w:p>
      <w:pPr>
        <w:pStyle w:val="Heading1"/>
        <w:pBdr>
          <w:bottom w:val="single" w:color="2E75B6" w:sz="4" w:space="4"/>
        </w:pBdr>
        <w:spacing w:before="320" w:after="160"/>
      </w:pPr>
      <w:r>
        <w:rPr>
          <w:rFonts w:ascii="Arial" w:cs="Arial" w:eastAsia="Arial" w:hAnsi="Arial"/>
          <w:b/>
          <w:bCs/>
          <w:color w:val="1F3864"/>
          <w:sz w:val="28"/>
          <w:szCs w:val="28"/>
        </w:rPr>
        <w:t xml:space="preserve">8.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Tool / Library</w:t>
            </w:r>
          </w:p>
        </w:tc>
        <w:tc>
          <w:tcPr>
            <w:tcW w:type="dxa" w:w="312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Version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Language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3.10+</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Deep Learning</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TensorFlow / Keras</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yfinance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Preprocessing</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scikit-learn</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Manipulation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pandas, NumPy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Visualization</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Matplotlib</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3.x</w:t>
            </w:r>
          </w:p>
        </w:tc>
      </w:tr>
    </w:tbl>
    <w:p>
      <w:pPr>
        <w:spacing w:after="80"/>
      </w:pPr>
      <w:r>
        <w:t xml:space="preserve"/>
      </w:r>
    </w:p>
    <w:p>
      <w:pPr>
        <w:pStyle w:val="Heading1"/>
        <w:pBdr>
          <w:bottom w:val="single" w:color="2E75B6" w:sz="4" w:space="4"/>
        </w:pBdr>
        <w:spacing w:before="320" w:after="160"/>
      </w:pPr>
      <w:r>
        <w:rPr>
          <w:rFonts w:ascii="Arial" w:cs="Arial" w:eastAsia="Arial" w:hAnsi="Arial"/>
          <w:b/>
          <w:bCs/>
          <w:color w:val="1F3864"/>
          <w:sz w:val="28"/>
          <w:szCs w:val="28"/>
        </w:rPr>
        <w:t xml:space="preserve">9. References</w:t>
      </w:r>
    </w:p>
    <w:p>
      <w:pPr>
        <w:spacing w:after="100" w:line="276"/>
      </w:pPr>
      <w:r>
        <w:rPr>
          <w:rFonts w:ascii="Arial" w:cs="Arial" w:eastAsia="Arial" w:hAnsi="Arial"/>
          <w:i/>
          <w:iCs/>
          <w:sz w:val="22"/>
          <w:szCs w:val="22"/>
        </w:rPr>
        <w:t xml:space="preserve">1. Hochreiter, S., &amp; Schmidhuber, J. (1997). Long Short-Term Memory. Neural Computation, 9(8), 1735–1780.</w:t>
      </w:r>
    </w:p>
    <w:p>
      <w:pPr>
        <w:spacing w:after="100" w:line="276"/>
      </w:pPr>
      <w:r>
        <w:rPr>
          <w:rFonts w:ascii="Arial" w:cs="Arial" w:eastAsia="Arial" w:hAnsi="Arial"/>
          <w:i/>
          <w:iCs/>
          <w:sz w:val="22"/>
          <w:szCs w:val="22"/>
        </w:rPr>
        <w:t xml:space="preserve">2. Fischer, T., &amp; Krauss, C. (2018). Deep learning with long short-term memory networks for financial market predictions. European Journal of Operational Research, 270(2), 654–669.</w:t>
      </w:r>
    </w:p>
    <w:p>
      <w:pPr>
        <w:spacing w:after="100" w:line="276"/>
      </w:pPr>
      <w:r>
        <w:rPr>
          <w:rFonts w:ascii="Arial" w:cs="Arial" w:eastAsia="Arial" w:hAnsi="Arial"/>
          <w:i/>
          <w:iCs/>
          <w:sz w:val="22"/>
          <w:szCs w:val="22"/>
        </w:rPr>
        <w:t xml:space="preserve">3. Goodfellow, I., Bengio, Y., &amp; Courville, A. (2016). Deep Learning. MIT Press.</w:t>
      </w:r>
    </w:p>
    <w:p>
      <w:pPr>
        <w:spacing w:after="80"/>
      </w:pPr>
      <w:r>
        <w:t xml:space="preserve"/>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2"/>
      </w:pBdr>
      <w:jc w:val="center"/>
    </w:pPr>
    <w:r>
      <w:rPr>
        <w:rFonts w:ascii="Arial" w:cs="Arial" w:eastAsia="Arial" w:hAnsi="Arial"/>
        <w:color w:val="888888"/>
        <w:sz w:val="16"/>
        <w:szCs w:val="16"/>
      </w:rPr>
      <w:t xml:space="preserve">Confidential | Academic Use Only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120"/>
    </w:pPr>
    <w:r>
      <w:rPr>
        <w:rFonts w:ascii="Arial" w:cs="Arial" w:eastAsia="Arial" w:hAnsi="Arial"/>
        <w:b/>
        <w:bCs/>
        <w:color w:val="1F3864"/>
        <w:sz w:val="18"/>
        <w:szCs w:val="18"/>
      </w:rPr>
      <w:t xml:space="preserve">Stock Market Trend Forecasting | LSTM Model  </w:t>
    </w:r>
    <w:r>
      <w:rPr>
        <w:rFonts w:ascii="Arial" w:cs="Arial" w:eastAsia="Arial" w:hAnsi="Arial"/>
        <w:color w:val="666666"/>
        <w:sz w:val="18"/>
        <w:szCs w:val="18"/>
      </w:rPr>
      <w:t xml:space="preserve">Academic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20" w:after="160"/>
      <w:outlineLvl w:val="0"/>
    </w:pPr>
    <w:rPr>
      <w:rFonts w:ascii="Arial" w:cs="Arial" w:eastAsia="Arial" w:hAnsi="Arial"/>
      <w:b/>
      <w:bCs/>
      <w:color w:val="1F3864"/>
      <w:sz w:val="28"/>
      <w:szCs w:val="28"/>
    </w:rPr>
  </w:style>
  <w:style w:type="paragraph" w:styleId="Heading2">
    <w:name w:val="Heading 2"/>
    <w:basedOn w:val="Normal"/>
    <w:next w:val="Normal"/>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2026-03-13T06:50:28.147Z</dcterms:created>
  <dcterms:modified xsi:type="dcterms:W3CDTF">2026-03-13T06:50:28.149Z</dcterms:modified>
</cp:coreProperties>
</file>

<file path=docProps/custom.xml><?xml version="1.0" encoding="utf-8"?>
<Properties xmlns="http://schemas.openxmlformats.org/officeDocument/2006/custom-properties" xmlns:vt="http://schemas.openxmlformats.org/officeDocument/2006/docPropsVTypes"/>
</file>