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jc w:val="center"/>
      </w:pPr>
      <w:r>
        <w:rPr>
          <w:b/>
          <w:bCs/>
          <w:color w:val="0E7C86"/>
          <w:sz w:val="22"/>
          <w:szCs w:val="22"/>
        </w:rPr>
        <w:t xml:space="preserve">OPENLOOP-STYLE TELEMEDICINE PLATFORM</w:t>
      </w:r>
    </w:p>
    <w:p>
      <w:pPr>
        <w:spacing w:after="240"/>
        <w:jc w:val="center"/>
      </w:pPr>
      <w:r>
        <w:rPr>
          <w:b/>
          <w:bCs/>
          <w:color w:val="1A2B4C"/>
          <w:sz w:val="56"/>
          <w:szCs w:val="56"/>
        </w:rPr>
        <w:t xml:space="preserve">Product Requirements Document</w:t>
      </w:r>
    </w:p>
    <w:p>
      <w:pPr>
        <w:spacing w:after="600"/>
        <w:jc w:val="center"/>
      </w:pPr>
      <w:r>
        <w:rPr>
          <w:color w:val="3F3F3F"/>
          <w:sz w:val="26"/>
          <w:szCs w:val="26"/>
        </w:rPr>
        <w:t xml:space="preserve">Telemedicine Platform — Find-a-Doctor &amp; Open-Loop Care Model</w:t>
      </w:r>
    </w:p>
    <w:p>
      <w:pPr>
        <w:spacing w:after="60"/>
        <w:jc w:val="center"/>
      </w:pPr>
      <w:r>
        <w:rPr>
          <w:color w:val="3F3F3F"/>
          <w:sz w:val="21"/>
          <w:szCs w:val="21"/>
        </w:rPr>
        <w:t xml:space="preserve">Prepared for: [Client Company Name]</w:t>
      </w:r>
    </w:p>
    <w:p>
      <w:pPr>
        <w:spacing w:after="60"/>
        <w:jc w:val="center"/>
      </w:pPr>
      <w:r>
        <w:rPr>
          <w:color w:val="3F3F3F"/>
          <w:sz w:val="21"/>
          <w:szCs w:val="21"/>
        </w:rPr>
        <w:t xml:space="preserve">Prepared by: [Your Agency Name]</w:t>
      </w:r>
    </w:p>
    <w:p>
      <w:pPr>
        <w:spacing w:after="60"/>
        <w:jc w:val="center"/>
      </w:pPr>
      <w:r>
        <w:rPr>
          <w:color w:val="3F3F3F"/>
          <w:sz w:val="21"/>
          <w:szCs w:val="21"/>
        </w:rPr>
        <w:t xml:space="preserve">Version 1.0  |  [Date]</w:t>
      </w:r>
    </w:p>
    <w:p>
      <w:pPr>
        <w:spacing w:after="60"/>
        <w:jc w:val="center"/>
      </w:pPr>
      <w:r>
        <w:rPr>
          <w:color w:val="3F3F3F"/>
          <w:sz w:val="21"/>
          <w:szCs w:val="21"/>
        </w:rPr>
        <w:t xml:space="preserve">Classification: Confidential</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80"/>
        <w:jc w:val="left"/>
      </w:pPr>
      <w:r>
        <w:rPr>
          <w:b w:val="false"/>
          <w:bCs w:val="false"/>
          <w:i w:val="false"/>
          <w:iCs w:val="false"/>
          <w:color w:val="3F3F3F"/>
          <w:sz w:val="21"/>
          <w:szCs w:val="21"/>
        </w:rPr>
        <w:t xml:space="preserve">[Client Company Name] is building a direct-to-consumer telemedicine platform modeled on Sesame, Zocdoc, and Klarity, with the clinical and operational backbone of an “open-loop” provider network similar to OpenLoop Health. The platform lets a patient discover a service, complete a guided intake, get matched with a licensed clinician, receive care by video or asynchronous review, and leave with a prescription, lab order, or care plan — while a separate clinician workspace and an internal operations console run everything behind the scenes.</w:t>
      </w:r>
    </w:p>
    <w:p>
      <w:pPr>
        <w:spacing w:after="160" w:line="280"/>
        <w:jc w:val="left"/>
      </w:pPr>
      <w:r>
        <w:rPr>
          <w:b w:val="false"/>
          <w:bCs w:val="false"/>
          <w:i w:val="false"/>
          <w:iCs w:val="false"/>
          <w:color w:val="3F3F3F"/>
          <w:sz w:val="21"/>
          <w:szCs w:val="21"/>
        </w:rPr>
        <w:t xml:space="preserve">This document defines what gets built, for whom, and in what order. The platform is really three connected products — the Patient App, the Provider Dashboard, and the Admin Console — released across three versions so the client can launch fast, prove the model with real patients and providers, and only invest in heavier infrastructure (insurance billing, controlled-substance prescribing, multi-brand white-label) once V1 has validated demand.</w:t>
      </w:r>
    </w:p>
    <w:p>
      <w:pPr>
        <w:pStyle w:val="Heading3"/>
      </w:pPr>
      <w:r>
        <w:t xml:space="preserve">1.1 Document Purpose</w:t>
      </w:r>
    </w:p>
    <w:p>
      <w:pPr>
        <w:spacing w:after="160" w:line="280"/>
        <w:jc w:val="left"/>
      </w:pPr>
      <w:r>
        <w:rPr>
          <w:b w:val="false"/>
          <w:bCs w:val="false"/>
          <w:i w:val="false"/>
          <w:iCs w:val="false"/>
          <w:color w:val="3F3F3F"/>
          <w:sz w:val="21"/>
          <w:szCs w:val="21"/>
        </w:rPr>
        <w:t xml:space="preserve">This PRD is the shared source of truth between [Client Company Name] and [Your Agency Name] for what is in scope, what is explicitly deferred, and what “done” looks like for each release. It is the parent document referenced by the commercial Proposal, the Scope of Work, and the Master Services Agreement.</w:t>
      </w:r>
    </w:p>
    <w:p>
      <w:pPr>
        <w:pStyle w:val="Heading1"/>
      </w:pPr>
      <w:r>
        <w:t xml:space="preserve">2. Product Vision &amp; Goals</w:t>
      </w:r>
    </w:p>
    <w:p>
      <w:pPr>
        <w:pStyle w:val="ListParagraph"/>
        <w:numPr>
          <w:ilvl w:val="0"/>
          <w:numId w:val="2"/>
        </w:numPr>
        <w:spacing w:after="90" w:line="270"/>
      </w:pPr>
      <w:r>
        <w:rPr>
          <w:b w:val="false"/>
          <w:bCs w:val="false"/>
          <w:color w:val="3F3F3F"/>
          <w:sz w:val="21"/>
          <w:szCs w:val="21"/>
        </w:rPr>
        <w:t xml:space="preserve">Let a patient go from “I need care” to “a licensed clinician has seen my case” in under 10 minutes for async visits, or one scheduled video call for sync visits.</w:t>
      </w:r>
    </w:p>
    <w:p>
      <w:pPr>
        <w:pStyle w:val="ListParagraph"/>
        <w:numPr>
          <w:ilvl w:val="0"/>
          <w:numId w:val="2"/>
        </w:numPr>
        <w:spacing w:after="90" w:line="270"/>
      </w:pPr>
      <w:r>
        <w:rPr>
          <w:b w:val="false"/>
          <w:bCs w:val="false"/>
          <w:color w:val="3F3F3F"/>
          <w:sz w:val="21"/>
          <w:szCs w:val="21"/>
        </w:rPr>
        <w:t xml:space="preserve">Give clinicians a single queue-driven workspace to review intakes, run visits, document care, and prescribe — without juggling separate EHR, eRx, and video tools.</w:t>
      </w:r>
    </w:p>
    <w:p>
      <w:pPr>
        <w:pStyle w:val="ListParagraph"/>
        <w:numPr>
          <w:ilvl w:val="0"/>
          <w:numId w:val="2"/>
        </w:numPr>
        <w:spacing w:after="90" w:line="270"/>
      </w:pPr>
      <w:r>
        <w:rPr>
          <w:b w:val="false"/>
          <w:bCs w:val="false"/>
          <w:color w:val="3F3F3F"/>
          <w:sz w:val="21"/>
          <w:szCs w:val="21"/>
        </w:rPr>
        <w:t xml:space="preserve">Give [Client Company Name]'s operations team full visibility and control: provider supply, compliance status, complaints, and revenue, in one console.</w:t>
      </w:r>
    </w:p>
    <w:p>
      <w:pPr>
        <w:pStyle w:val="ListParagraph"/>
        <w:numPr>
          <w:ilvl w:val="0"/>
          <w:numId w:val="2"/>
        </w:numPr>
        <w:spacing w:after="90" w:line="270"/>
      </w:pPr>
      <w:r>
        <w:rPr>
          <w:b w:val="false"/>
          <w:bCs w:val="false"/>
          <w:color w:val="3F3F3F"/>
          <w:sz w:val="21"/>
          <w:szCs w:val="21"/>
        </w:rPr>
        <w:t xml:space="preserve">Build on a HIPAA-eligible technical foundation from day one so V2/V3 features (insurance billing, controlled substances, EHR interoperability) can be added without re-architecting.</w:t>
      </w:r>
    </w:p>
    <w:p>
      <w:pPr>
        <w:pStyle w:val="ListParagraph"/>
        <w:numPr>
          <w:ilvl w:val="0"/>
          <w:numId w:val="2"/>
        </w:numPr>
        <w:spacing w:after="90" w:line="270"/>
      </w:pPr>
      <w:r>
        <w:rPr>
          <w:b w:val="false"/>
          <w:bCs w:val="false"/>
          <w:color w:val="3F3F3F"/>
          <w:sz w:val="21"/>
          <w:szCs w:val="21"/>
        </w:rPr>
        <w:t xml:space="preserve">Ship a real, prescribable, billable V1 in approximately 17 weeks for a fixed investment of $44,000, so the business case can be tested with paying patients before heavier spend on insurance and multi-state scale.</w:t>
      </w:r>
    </w:p>
    <w:p>
      <w:pPr>
        <w:pStyle w:val="Heading1"/>
      </w:pPr>
      <w:r>
        <w:t xml:space="preserve">3. Target Users &amp; Personas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880"/>
      </w:tblGrid>
      <w:tr>
        <w:trPr>
          <w:tblHeader/>
        </w:trPr>
        <w:tc>
          <w:tcPr>
            <w:tcW w:type="dxa" w:w="24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Persona</w:t>
            </w:r>
          </w:p>
        </w:tc>
        <w:tc>
          <w:tcPr>
            <w:tcW w:type="dxa" w:w="48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Who they are</w:t>
            </w:r>
          </w:p>
        </w:tc>
        <w:tc>
          <w:tcPr>
            <w:tcW w:type="dxa" w:w="28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Core need</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Patient</w:t>
            </w:r>
          </w:p>
        </w:tc>
        <w:tc>
          <w:tcPr>
            <w:tcW w:type="dxa" w:w="48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Adult self-pay (and later insured) consumer looking for fast, convenient access to a specific service (e.g. weight loss, mental health, primary care).</w:t>
            </w:r>
          </w:p>
        </w:tc>
        <w:tc>
          <w:tcPr>
            <w:tcW w:type="dxa" w:w="28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Be seen quickly by a real, licensed clinician without visiting a clinic.</w:t>
            </w:r>
          </w:p>
        </w:tc>
      </w:tr>
      <w:tr>
        <w:tc>
          <w:tcPr>
            <w:tcW w:type="dxa" w:w="24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Clinician / Provider</w:t>
            </w:r>
          </w:p>
        </w:tc>
        <w:tc>
          <w:tcPr>
            <w:tcW w:type="dxa" w:w="48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Licensed NP, PA, or physician contracted or employed by the platform, often working across multiple states.</w:t>
            </w:r>
          </w:p>
        </w:tc>
        <w:tc>
          <w:tcPr>
            <w:tcW w:type="dxa" w:w="28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Review cases and run visits efficiently inside one workspace; get paid correctly and on time.</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Platform Admin / Ops</w:t>
            </w:r>
          </w:p>
        </w:tc>
        <w:tc>
          <w:tcPr>
            <w:tcW w:type="dxa" w:w="48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[Client Company Name]'s internal team — operations, compliance, and support staff.</w:t>
            </w:r>
          </w:p>
        </w:tc>
        <w:tc>
          <w:tcPr>
            <w:tcW w:type="dxa" w:w="28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See everything happening on the platform and intervene when something needs attention.</w:t>
            </w:r>
          </w:p>
        </w:tc>
      </w:tr>
    </w:tbl>
    <w:p>
      <w:pPr>
        <w:pStyle w:val="Heading1"/>
      </w:pPr>
      <w:r>
        <w:t xml:space="preserve">4. Versioned Scope Overview</w:t>
      </w:r>
    </w:p>
    <w:p>
      <w:pPr>
        <w:spacing w:after="160" w:line="280"/>
        <w:jc w:val="left"/>
      </w:pPr>
      <w:r>
        <w:rPr>
          <w:b w:val="false"/>
          <w:bCs w:val="false"/>
          <w:i w:val="false"/>
          <w:iCs w:val="false"/>
          <w:color w:val="3F3F3F"/>
          <w:sz w:val="21"/>
          <w:szCs w:val="21"/>
        </w:rPr>
        <w:t xml:space="preserve">The build is split into three versions. Each version is independently usable in production — V1 is not a prototype, it is a real, prescribing, billable product with a narrower feature set.</w:t>
      </w:r>
    </w:p>
    <w:p>
      <w:pPr>
        <w:pStyle w:val="Heading2"/>
      </w:pPr>
      <w:r>
        <w:t xml:space="preserve">4.1 Version 1 — Launch MVP (~17 weeks, $44,000)</w:t>
      </w:r>
    </w:p>
    <w:p>
      <w:pPr>
        <w:spacing w:after="160" w:line="280"/>
        <w:jc w:val="left"/>
      </w:pPr>
      <w:r>
        <w:rPr>
          <w:b w:val="false"/>
          <w:bCs w:val="false"/>
          <w:i w:val="false"/>
          <w:iCs w:val="false"/>
          <w:color w:val="3F3F3F"/>
          <w:sz w:val="21"/>
          <w:szCs w:val="21"/>
        </w:rPr>
        <w:t xml:space="preserve">Goal: prove the core loop — discovery → intake → match → visit → prescription/care plan → payment — for one or two initial service lines, cash-pay only, sync video visits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Portal</w:t>
            </w:r>
          </w:p>
        </w:tc>
        <w:tc>
          <w:tcPr>
            <w:tcW w:type="dxa" w:w="76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In scope for V1</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Patient App</w:t>
            </w:r>
          </w:p>
        </w:tc>
        <w:tc>
          <w:tcPr>
            <w:tcW w:type="dxa" w:w="7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Marketing landing page; account creation &amp; identity verification; HIPAA + telehealth consent; condition-specific intake questionnaire (1–2 service lines); provider matching by state availability; sync video visit booking; visit summary &amp; care plan; ePrescription hand-off to pharmacy; card payment via Stripe; rating prompt.</w:t>
            </w:r>
          </w:p>
        </w:tc>
      </w:tr>
      <w:tr>
        <w:tc>
          <w:tcPr>
            <w:tcW w:type="dxa" w:w="24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Provider Dashboard</w:t>
            </w:r>
          </w:p>
        </w:tc>
        <w:tc>
          <w:tcPr>
            <w:tcW w:type="dxa" w:w="76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Provider onboarding (license, NPI, DEA upload, e-signature on contract); daily queue of scheduled visits; in-call dashboard with patient chart side-by-side; SOAP note charting; ICD-10 / CPT code entry; eRx for non-controlled medications; availability &amp; schedule management.</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Admin Console</w:t>
            </w:r>
          </w:p>
        </w:tc>
        <w:tc>
          <w:tcPr>
            <w:tcW w:type="dxa" w:w="7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Patient &amp; provider directory; manual provider approval; visit log &amp; basic reporting (visits/day, revenue, conversion); flagged-case review; refund handling.</w:t>
            </w:r>
          </w:p>
        </w:tc>
      </w:tr>
    </w:tbl>
    <w:p>
      <w:pPr>
        <w:pStyle w:val="Heading2"/>
      </w:pPr>
      <w:r>
        <w:t xml:space="preserve">4.2 Version 2 — Scale &amp; Monetize (~14–16 weeks, est. $58,000–$72,000)</w:t>
      </w:r>
    </w:p>
    <w:p>
      <w:pPr>
        <w:spacing w:after="160" w:line="280"/>
        <w:jc w:val="left"/>
      </w:pPr>
      <w:r>
        <w:rPr>
          <w:b w:val="false"/>
          <w:bCs w:val="false"/>
          <w:i w:val="false"/>
          <w:iCs w:val="false"/>
          <w:color w:val="3F3F3F"/>
          <w:sz w:val="21"/>
          <w:szCs w:val="21"/>
        </w:rPr>
        <w:t xml:space="preserve">Goal: remove the friction points that cap growth — add asynchronous visits, insurance, ongoing-care workflows, and native 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Portal</w:t>
            </w:r>
          </w:p>
        </w:tc>
        <w:tc>
          <w:tcPr>
            <w:tcW w:type="dxa" w:w="76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Added in V2</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Patient App</w:t>
            </w:r>
          </w:p>
        </w:tc>
        <w:tc>
          <w:tcPr>
            <w:tcW w:type="dxa" w:w="7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Asynchronous (store-and-forward) visits; secure patient–provider messaging; medication refill requests; lab result delivery; subscription / package billing; insurance eligibility check &amp; co-pay collection; native iOS &amp; Android apps.</w:t>
            </w:r>
          </w:p>
        </w:tc>
      </w:tr>
      <w:tr>
        <w:tc>
          <w:tcPr>
            <w:tcW w:type="dxa" w:w="24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Provider Dashboard</w:t>
            </w:r>
          </w:p>
        </w:tc>
        <w:tc>
          <w:tcPr>
            <w:tcW w:type="dxa" w:w="76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Async case queue with approve / decline / request-info / refer actions; lab ordering; refill approval workflow; earnings &amp; pay-stub view; license renewal tracking.</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Admin Console</w:t>
            </w:r>
          </w:p>
        </w:tc>
        <w:tc>
          <w:tcPr>
            <w:tcW w:type="dxa" w:w="7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Automated provider credentialing workflow &amp; background-check integration; multi-state license-to-patient-state matching; advanced reporting (cohort, retention, CAC); compliance monitoring dashboard.</w:t>
            </w:r>
          </w:p>
        </w:tc>
      </w:tr>
    </w:tbl>
    <w:p>
      <w:pPr>
        <w:pStyle w:val="Heading2"/>
      </w:pPr>
      <w:r>
        <w:t xml:space="preserve">4.3 Version 3 — Mature Platform (~12+ weeks, est. $75,000–$95,000, or ongoing retainer)</w:t>
      </w:r>
    </w:p>
    <w:p>
      <w:pPr>
        <w:spacing w:after="160" w:line="280"/>
        <w:jc w:val="left"/>
      </w:pPr>
      <w:r>
        <w:rPr>
          <w:b w:val="false"/>
          <w:bCs w:val="false"/>
          <w:i w:val="false"/>
          <w:iCs w:val="false"/>
          <w:color w:val="3F3F3F"/>
          <w:sz w:val="21"/>
          <w:szCs w:val="21"/>
        </w:rPr>
        <w:t xml:space="preserve">Goal: the parts that matter once the platform has real volume — controlled substances, automation, interoperability, and white-label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Portal</w:t>
            </w:r>
          </w:p>
        </w:tc>
        <w:tc>
          <w:tcPr>
            <w:tcW w:type="dxa" w:w="76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Added in V3</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Patient App</w:t>
            </w:r>
          </w:p>
        </w:tc>
        <w:tc>
          <w:tcPr>
            <w:tcW w:type="dxa" w:w="7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AI-assisted symptom intake / triage; expanded service lines; loyalty / referral programs.</w:t>
            </w:r>
          </w:p>
        </w:tc>
      </w:tr>
      <w:tr>
        <w:tc>
          <w:tcPr>
            <w:tcW w:type="dxa" w:w="24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Provider Dashboard</w:t>
            </w:r>
          </w:p>
        </w:tc>
        <w:tc>
          <w:tcPr>
            <w:tcW w:type="dxa" w:w="76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EPCS-compliant controlled-substance prescribing (two-factor DEA authentication); direct lab integrations (Quest/LabCorp); productivity analytics.</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Admin Console</w:t>
            </w:r>
          </w:p>
        </w:tc>
        <w:tc>
          <w:tcPr>
            <w:tcW w:type="dxa" w:w="7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Insurance claims automation (837/835, clearinghouse integration); EHR interoperability (HL7/FHIR export); SOC 2 Type II–ready audit logging; multi-brand white-label configuration; marketing/CRM integration; partner API platform.</w:t>
            </w:r>
          </w:p>
        </w:tc>
      </w:tr>
    </w:tbl>
    <w:p>
      <w:pPr>
        <w:spacing w:after="160" w:line="280"/>
        <w:jc w:val="left"/>
      </w:pPr>
      <w:r>
        <w:rPr>
          <w:b w:val="false"/>
          <w:bCs w:val="false"/>
          <w:i w:val="false"/>
          <w:iCs w:val="false"/>
          <w:color w:val="3F3F3F"/>
          <w:sz w:val="21"/>
          <w:szCs w:val="21"/>
        </w:rPr>
        <w:t xml:space="preserve">A full feature-by-feature backlog for V2 and V3 will be re-scoped at the start of each phase based on what V1 usage data shows — this avoids paying to build features for a problem the data hasn't confirmed yet.</w:t>
      </w:r>
    </w:p>
    <w:p>
      <w:r>
        <w:br w:type="page"/>
      </w:r>
    </w:p>
    <w:p>
      <w:pPr>
        <w:pStyle w:val="Heading1"/>
      </w:pPr>
      <w:r>
        <w:t xml:space="preserve">5. Detailed V1 Functional Requirements</w:t>
      </w:r>
    </w:p>
    <w:p>
      <w:pPr>
        <w:pStyle w:val="Heading2"/>
      </w:pPr>
      <w:r>
        <w:t xml:space="preserve">5.1 Patient App</w:t>
      </w:r>
    </w:p>
    <w:p>
      <w:pPr>
        <w:pStyle w:val="Heading3"/>
      </w:pPr>
      <w:r>
        <w:t xml:space="preserve">5.1.1 Discovery &amp; Landing</w:t>
      </w:r>
    </w:p>
    <w:p>
      <w:pPr>
        <w:pStyle w:val="ListParagraph"/>
        <w:numPr>
          <w:ilvl w:val="0"/>
          <w:numId w:val="2"/>
        </w:numPr>
        <w:spacing w:after="90" w:line="270"/>
      </w:pPr>
      <w:r>
        <w:rPr>
          <w:b w:val="false"/>
          <w:bCs w:val="false"/>
          <w:color w:val="3F3F3F"/>
          <w:sz w:val="21"/>
          <w:szCs w:val="21"/>
        </w:rPr>
        <w:t xml:space="preserve">Responsive marketing site: service descriptions, pricing, FAQs, “Get Started” CTA.</w:t>
      </w:r>
    </w:p>
    <w:p>
      <w:pPr>
        <w:pStyle w:val="ListParagraph"/>
        <w:numPr>
          <w:ilvl w:val="0"/>
          <w:numId w:val="2"/>
        </w:numPr>
        <w:spacing w:after="90" w:line="270"/>
      </w:pPr>
      <w:r>
        <w:rPr>
          <w:b w:val="false"/>
          <w:bCs w:val="false"/>
          <w:color w:val="3F3F3F"/>
          <w:sz w:val="21"/>
          <w:szCs w:val="21"/>
        </w:rPr>
        <w:t xml:space="preserve">SEO-friendly static pages; no patient data is collected at this stage.</w:t>
      </w:r>
    </w:p>
    <w:p>
      <w:pPr>
        <w:pStyle w:val="Heading3"/>
      </w:pPr>
      <w:r>
        <w:t xml:space="preserve">5.1.2 Account Creation</w:t>
      </w:r>
    </w:p>
    <w:p>
      <w:pPr>
        <w:pStyle w:val="ListParagraph"/>
        <w:numPr>
          <w:ilvl w:val="0"/>
          <w:numId w:val="2"/>
        </w:numPr>
        <w:spacing w:after="90" w:line="270"/>
      </w:pPr>
      <w:r>
        <w:rPr>
          <w:b w:val="false"/>
          <w:bCs w:val="false"/>
          <w:color w:val="3F3F3F"/>
          <w:sz w:val="21"/>
          <w:szCs w:val="21"/>
        </w:rPr>
        <w:t xml:space="preserve">Email/phone sign-up with OTP verification.</w:t>
      </w:r>
    </w:p>
    <w:p>
      <w:pPr>
        <w:pStyle w:val="ListParagraph"/>
        <w:numPr>
          <w:ilvl w:val="0"/>
          <w:numId w:val="2"/>
        </w:numPr>
        <w:spacing w:after="90" w:line="270"/>
      </w:pPr>
      <w:r>
        <w:rPr>
          <w:b w:val="false"/>
          <w:bCs w:val="false"/>
          <w:color w:val="3F3F3F"/>
          <w:sz w:val="21"/>
          <w:szCs w:val="21"/>
        </w:rPr>
        <w:t xml:space="preserve">Identity capture: legal name, DOB, address, government ID upload.</w:t>
      </w:r>
    </w:p>
    <w:p>
      <w:pPr>
        <w:pStyle w:val="ListParagraph"/>
        <w:numPr>
          <w:ilvl w:val="0"/>
          <w:numId w:val="2"/>
        </w:numPr>
        <w:spacing w:after="90" w:line="270"/>
      </w:pPr>
      <w:r>
        <w:rPr>
          <w:b w:val="false"/>
          <w:bCs w:val="false"/>
          <w:color w:val="3F3F3F"/>
          <w:sz w:val="21"/>
          <w:szCs w:val="21"/>
        </w:rPr>
        <w:t xml:space="preserve">Payment method capture via Stripe (no insurance billing in V1).</w:t>
      </w:r>
    </w:p>
    <w:p>
      <w:pPr>
        <w:pStyle w:val="ListParagraph"/>
        <w:numPr>
          <w:ilvl w:val="0"/>
          <w:numId w:val="2"/>
        </w:numPr>
        <w:spacing w:after="90" w:line="270"/>
      </w:pPr>
      <w:r>
        <w:rPr>
          <w:b w:val="false"/>
          <w:bCs w:val="false"/>
          <w:color w:val="3F3F3F"/>
          <w:sz w:val="21"/>
          <w:szCs w:val="21"/>
        </w:rPr>
        <w:t xml:space="preserve">Mandatory e-signature on HIPAA Notice of Privacy Practices and Telehealth Informed Consent before intake unlocks.</w:t>
      </w:r>
    </w:p>
    <w:p>
      <w:pPr>
        <w:pStyle w:val="Heading3"/>
      </w:pPr>
      <w:r>
        <w:t xml:space="preserve">5.1.3 Intake / Health Assessment</w:t>
      </w:r>
    </w:p>
    <w:p>
      <w:pPr>
        <w:pStyle w:val="ListParagraph"/>
        <w:numPr>
          <w:ilvl w:val="0"/>
          <w:numId w:val="2"/>
        </w:numPr>
        <w:spacing w:after="90" w:line="270"/>
      </w:pPr>
      <w:r>
        <w:rPr>
          <w:b w:val="false"/>
          <w:bCs w:val="false"/>
          <w:color w:val="3F3F3F"/>
          <w:sz w:val="21"/>
          <w:szCs w:val="21"/>
        </w:rPr>
        <w:t xml:space="preserve">Dynamic, condition-specific questionnaire engine (chief complaint, history, medications, allergies).</w:t>
      </w:r>
    </w:p>
    <w:p>
      <w:pPr>
        <w:pStyle w:val="ListParagraph"/>
        <w:numPr>
          <w:ilvl w:val="0"/>
          <w:numId w:val="2"/>
        </w:numPr>
        <w:spacing w:after="90" w:line="270"/>
      </w:pPr>
      <w:r>
        <w:rPr>
          <w:b w:val="false"/>
          <w:bCs w:val="false"/>
          <w:color w:val="3F3F3F"/>
          <w:sz w:val="21"/>
          <w:szCs w:val="21"/>
        </w:rPr>
        <w:t xml:space="preserve">Photo/document upload (ID, insurance card for record only, prior labs).</w:t>
      </w:r>
    </w:p>
    <w:p>
      <w:pPr>
        <w:pStyle w:val="ListParagraph"/>
        <w:numPr>
          <w:ilvl w:val="0"/>
          <w:numId w:val="2"/>
        </w:numPr>
        <w:spacing w:after="90" w:line="270"/>
      </w:pPr>
      <w:r>
        <w:rPr>
          <w:b w:val="false"/>
          <w:bCs w:val="false"/>
          <w:color w:val="3F3F3F"/>
          <w:sz w:val="21"/>
          <w:szCs w:val="21"/>
        </w:rPr>
        <w:t xml:space="preserve">Configured for [1–2 initial service lines — to be confirmed with client] at launch; questionnaire logic is data-driven so new service lines can be added without a code release.</w:t>
      </w:r>
    </w:p>
    <w:p>
      <w:pPr>
        <w:pStyle w:val="Heading3"/>
      </w:pPr>
      <w:r>
        <w:t xml:space="preserve">5.1.4 Matching &amp; Booking</w:t>
      </w:r>
    </w:p>
    <w:p>
      <w:pPr>
        <w:pStyle w:val="ListParagraph"/>
        <w:numPr>
          <w:ilvl w:val="0"/>
          <w:numId w:val="2"/>
        </w:numPr>
        <w:spacing w:after="90" w:line="270"/>
      </w:pPr>
      <w:r>
        <w:rPr>
          <w:b w:val="false"/>
          <w:bCs w:val="false"/>
          <w:color w:val="3F3F3F"/>
          <w:sz w:val="21"/>
          <w:szCs w:val="21"/>
        </w:rPr>
        <w:t xml:space="preserve">Rule-based matching: patient state → providers licensed in that state → next available slot.</w:t>
      </w:r>
    </w:p>
    <w:p>
      <w:pPr>
        <w:pStyle w:val="ListParagraph"/>
        <w:numPr>
          <w:ilvl w:val="0"/>
          <w:numId w:val="2"/>
        </w:numPr>
        <w:spacing w:after="90" w:line="270"/>
      </w:pPr>
      <w:r>
        <w:rPr>
          <w:b w:val="false"/>
          <w:bCs w:val="false"/>
          <w:color w:val="3F3F3F"/>
          <w:sz w:val="21"/>
          <w:szCs w:val="21"/>
        </w:rPr>
        <w:t xml:space="preserve">Calendar booking for sync video visits; confirmation by email and SMS.</w:t>
      </w:r>
    </w:p>
    <w:p>
      <w:pPr>
        <w:pStyle w:val="Heading3"/>
      </w:pPr>
      <w:r>
        <w:t xml:space="preserve">5.1.5 The Visit (Sync only in V1)</w:t>
      </w:r>
    </w:p>
    <w:p>
      <w:pPr>
        <w:pStyle w:val="ListParagraph"/>
        <w:numPr>
          <w:ilvl w:val="0"/>
          <w:numId w:val="2"/>
        </w:numPr>
        <w:spacing w:after="90" w:line="270"/>
      </w:pPr>
      <w:r>
        <w:rPr>
          <w:b w:val="false"/>
          <w:bCs w:val="false"/>
          <w:color w:val="3F3F3F"/>
          <w:sz w:val="21"/>
          <w:szCs w:val="21"/>
        </w:rPr>
        <w:t xml:space="preserve">HIPAA-eligible video visit (BAA-covered video SDK).</w:t>
      </w:r>
    </w:p>
    <w:p>
      <w:pPr>
        <w:pStyle w:val="ListParagraph"/>
        <w:numPr>
          <w:ilvl w:val="0"/>
          <w:numId w:val="2"/>
        </w:numPr>
        <w:spacing w:after="90" w:line="270"/>
      </w:pPr>
      <w:r>
        <w:rPr>
          <w:b w:val="false"/>
          <w:bCs w:val="false"/>
          <w:color w:val="3F3F3F"/>
          <w:sz w:val="21"/>
          <w:szCs w:val="21"/>
        </w:rPr>
        <w:t xml:space="preserve">In-visit chat fallback if video/audio degrades.</w:t>
      </w:r>
    </w:p>
    <w:p>
      <w:pPr>
        <w:pStyle w:val="Heading3"/>
      </w:pPr>
      <w:r>
        <w:t xml:space="preserve">5.1.6 Post-Visit</w:t>
      </w:r>
    </w:p>
    <w:p>
      <w:pPr>
        <w:pStyle w:val="ListParagraph"/>
        <w:numPr>
          <w:ilvl w:val="0"/>
          <w:numId w:val="2"/>
        </w:numPr>
        <w:spacing w:after="90" w:line="270"/>
      </w:pPr>
      <w:r>
        <w:rPr>
          <w:b w:val="false"/>
          <w:bCs w:val="false"/>
          <w:color w:val="3F3F3F"/>
          <w:sz w:val="21"/>
          <w:szCs w:val="21"/>
        </w:rPr>
        <w:t xml:space="preserve">Visit summary and care plan delivered in-app and by email.</w:t>
      </w:r>
    </w:p>
    <w:p>
      <w:pPr>
        <w:pStyle w:val="ListParagraph"/>
        <w:numPr>
          <w:ilvl w:val="0"/>
          <w:numId w:val="2"/>
        </w:numPr>
        <w:spacing w:after="90" w:line="270"/>
      </w:pPr>
      <w:r>
        <w:rPr>
          <w:b w:val="false"/>
          <w:bCs w:val="false"/>
          <w:color w:val="3F3F3F"/>
          <w:sz w:val="21"/>
          <w:szCs w:val="21"/>
        </w:rPr>
        <w:t xml:space="preserve">ePrescription routed to the patient's chosen pharmacy.</w:t>
      </w:r>
    </w:p>
    <w:p>
      <w:pPr>
        <w:pStyle w:val="ListParagraph"/>
        <w:numPr>
          <w:ilvl w:val="0"/>
          <w:numId w:val="2"/>
        </w:numPr>
        <w:spacing w:after="90" w:line="270"/>
      </w:pPr>
      <w:r>
        <w:rPr>
          <w:b w:val="false"/>
          <w:bCs w:val="false"/>
          <w:color w:val="3F3F3F"/>
          <w:sz w:val="21"/>
          <w:szCs w:val="21"/>
        </w:rPr>
        <w:t xml:space="preserve">Post-visit rating prompt (1–5 stars + free text).</w:t>
      </w:r>
    </w:p>
    <w:p>
      <w:pPr>
        <w:pStyle w:val="Heading3"/>
      </w:pPr>
      <w:r>
        <w:t xml:space="preserve">5.1.7 Billing</w:t>
      </w:r>
    </w:p>
    <w:p>
      <w:pPr>
        <w:pStyle w:val="ListParagraph"/>
        <w:numPr>
          <w:ilvl w:val="0"/>
          <w:numId w:val="2"/>
        </w:numPr>
        <w:spacing w:after="90" w:line="270"/>
      </w:pPr>
      <w:r>
        <w:rPr>
          <w:b w:val="false"/>
          <w:bCs w:val="false"/>
          <w:color w:val="3F3F3F"/>
          <w:sz w:val="21"/>
          <w:szCs w:val="21"/>
        </w:rPr>
        <w:t xml:space="preserve">Direct card charge at booking via Stripe; receipt emailed automatically.</w:t>
      </w:r>
    </w:p>
    <w:p>
      <w:pPr>
        <w:pStyle w:val="ListParagraph"/>
        <w:numPr>
          <w:ilvl w:val="0"/>
          <w:numId w:val="2"/>
        </w:numPr>
        <w:spacing w:after="90" w:line="270"/>
      </w:pPr>
      <w:r>
        <w:rPr>
          <w:b w:val="false"/>
          <w:bCs w:val="false"/>
          <w:color w:val="3F3F3F"/>
          <w:sz w:val="21"/>
          <w:szCs w:val="21"/>
        </w:rPr>
        <w:t xml:space="preserve">Manual refund flow, executed by Admin.</w:t>
      </w:r>
    </w:p>
    <w:p>
      <w:pPr>
        <w:pStyle w:val="Heading2"/>
      </w:pPr>
      <w:r>
        <w:t xml:space="preserve">5.2 Provider Dashboard</w:t>
      </w:r>
    </w:p>
    <w:p>
      <w:pPr>
        <w:pStyle w:val="Heading3"/>
      </w:pPr>
      <w:r>
        <w:t xml:space="preserve">5.2.1 Onboarding</w:t>
      </w:r>
    </w:p>
    <w:p>
      <w:pPr>
        <w:pStyle w:val="ListParagraph"/>
        <w:numPr>
          <w:ilvl w:val="0"/>
          <w:numId w:val="2"/>
        </w:numPr>
        <w:spacing w:after="90" w:line="270"/>
      </w:pPr>
      <w:r>
        <w:rPr>
          <w:b w:val="false"/>
          <w:bCs w:val="false"/>
          <w:color w:val="3F3F3F"/>
          <w:sz w:val="21"/>
          <w:szCs w:val="21"/>
        </w:rPr>
        <w:t xml:space="preserve">Upload license, NPI, DEA number (record-only in V1, full DEA/EPCS verification is V3), malpractice certificate.</w:t>
      </w:r>
    </w:p>
    <w:p>
      <w:pPr>
        <w:pStyle w:val="ListParagraph"/>
        <w:numPr>
          <w:ilvl w:val="0"/>
          <w:numId w:val="2"/>
        </w:numPr>
        <w:spacing w:after="90" w:line="270"/>
      </w:pPr>
      <w:r>
        <w:rPr>
          <w:b w:val="false"/>
          <w:bCs w:val="false"/>
          <w:color w:val="3F3F3F"/>
          <w:sz w:val="21"/>
          <w:szCs w:val="21"/>
        </w:rPr>
        <w:t xml:space="preserve">E-signature on provider agreement; manual credential review by Admin (automated background-check integration is V2).</w:t>
      </w:r>
    </w:p>
    <w:p>
      <w:pPr>
        <w:pStyle w:val="ListParagraph"/>
        <w:numPr>
          <w:ilvl w:val="0"/>
          <w:numId w:val="2"/>
        </w:numPr>
        <w:spacing w:after="90" w:line="270"/>
      </w:pPr>
      <w:r>
        <w:rPr>
          <w:b w:val="false"/>
          <w:bCs w:val="false"/>
          <w:color w:val="3F3F3F"/>
          <w:sz w:val="21"/>
          <w:szCs w:val="21"/>
        </w:rPr>
        <w:t xml:space="preserve">Set state coverage and weekly availability.</w:t>
      </w:r>
    </w:p>
    <w:p>
      <w:pPr>
        <w:pStyle w:val="Heading3"/>
      </w:pPr>
      <w:r>
        <w:t xml:space="preserve">5.2.2 Daily Dashboard</w:t>
      </w:r>
    </w:p>
    <w:p>
      <w:pPr>
        <w:pStyle w:val="ListParagraph"/>
        <w:numPr>
          <w:ilvl w:val="0"/>
          <w:numId w:val="2"/>
        </w:numPr>
        <w:spacing w:after="90" w:line="270"/>
      </w:pPr>
      <w:r>
        <w:rPr>
          <w:b w:val="false"/>
          <w:bCs w:val="false"/>
          <w:color w:val="3F3F3F"/>
          <w:sz w:val="21"/>
          <w:szCs w:val="21"/>
        </w:rPr>
        <w:t xml:space="preserve">Queue of today's scheduled video visits.</w:t>
      </w:r>
    </w:p>
    <w:p>
      <w:pPr>
        <w:pStyle w:val="ListParagraph"/>
        <w:numPr>
          <w:ilvl w:val="0"/>
          <w:numId w:val="2"/>
        </w:numPr>
        <w:spacing w:after="90" w:line="270"/>
      </w:pPr>
      <w:r>
        <w:rPr>
          <w:b w:val="false"/>
          <w:bCs w:val="false"/>
          <w:color w:val="3F3F3F"/>
          <w:sz w:val="21"/>
          <w:szCs w:val="21"/>
        </w:rPr>
        <w:t xml:space="preserve">Unread message badge (full messaging thread ships in V2; V1 includes visit-bound notes only).</w:t>
      </w:r>
    </w:p>
    <w:p>
      <w:pPr>
        <w:pStyle w:val="Heading3"/>
      </w:pPr>
      <w:r>
        <w:t xml:space="preserve">5.2.3 The Visit</w:t>
      </w:r>
    </w:p>
    <w:p>
      <w:pPr>
        <w:pStyle w:val="ListParagraph"/>
        <w:numPr>
          <w:ilvl w:val="0"/>
          <w:numId w:val="2"/>
        </w:numPr>
        <w:spacing w:after="90" w:line="270"/>
      </w:pPr>
      <w:r>
        <w:rPr>
          <w:b w:val="false"/>
          <w:bCs w:val="false"/>
          <w:color w:val="3F3F3F"/>
          <w:sz w:val="21"/>
          <w:szCs w:val="21"/>
        </w:rPr>
        <w:t xml:space="preserve">One-click join from dashboard; patient intake/chart visible side-by-side during the call.</w:t>
      </w:r>
    </w:p>
    <w:p>
      <w:pPr>
        <w:pStyle w:val="ListParagraph"/>
        <w:numPr>
          <w:ilvl w:val="0"/>
          <w:numId w:val="2"/>
        </w:numPr>
        <w:spacing w:after="90" w:line="270"/>
      </w:pPr>
      <w:r>
        <w:rPr>
          <w:b w:val="false"/>
          <w:bCs w:val="false"/>
          <w:color w:val="3F3F3F"/>
          <w:sz w:val="21"/>
          <w:szCs w:val="21"/>
        </w:rPr>
        <w:t xml:space="preserve">Real-time note-taking pane.</w:t>
      </w:r>
    </w:p>
    <w:p>
      <w:pPr>
        <w:pStyle w:val="Heading3"/>
      </w:pPr>
      <w:r>
        <w:t xml:space="preserve">5.2.4 Clinical Documentation</w:t>
      </w:r>
    </w:p>
    <w:p>
      <w:pPr>
        <w:pStyle w:val="ListParagraph"/>
        <w:numPr>
          <w:ilvl w:val="0"/>
          <w:numId w:val="2"/>
        </w:numPr>
        <w:spacing w:after="90" w:line="270"/>
      </w:pPr>
      <w:r>
        <w:rPr>
          <w:b w:val="false"/>
          <w:bCs w:val="false"/>
          <w:color w:val="3F3F3F"/>
          <w:sz w:val="21"/>
          <w:szCs w:val="21"/>
        </w:rPr>
        <w:t xml:space="preserve">Structured SOAP note (Subjective, Objective, Assessment, Plan).</w:t>
      </w:r>
    </w:p>
    <w:p>
      <w:pPr>
        <w:pStyle w:val="ListParagraph"/>
        <w:numPr>
          <w:ilvl w:val="0"/>
          <w:numId w:val="2"/>
        </w:numPr>
        <w:spacing w:after="90" w:line="270"/>
      </w:pPr>
      <w:r>
        <w:rPr>
          <w:b w:val="false"/>
          <w:bCs w:val="false"/>
          <w:color w:val="3F3F3F"/>
          <w:sz w:val="21"/>
          <w:szCs w:val="21"/>
        </w:rPr>
        <w:t xml:space="preserve">ICD-10 diagnosis code picker and CPT procedure code picker, both searchable.</w:t>
      </w:r>
    </w:p>
    <w:p>
      <w:pPr>
        <w:pStyle w:val="ListParagraph"/>
        <w:numPr>
          <w:ilvl w:val="0"/>
          <w:numId w:val="2"/>
        </w:numPr>
        <w:spacing w:after="90" w:line="270"/>
      </w:pPr>
      <w:r>
        <w:rPr>
          <w:b w:val="false"/>
          <w:bCs w:val="false"/>
          <w:color w:val="3F3F3F"/>
          <w:sz w:val="21"/>
          <w:szCs w:val="21"/>
        </w:rPr>
        <w:t xml:space="preserve">Note must be signed/locked before the visit can be marked complete — enforced for audit defensibility.</w:t>
      </w:r>
    </w:p>
    <w:p>
      <w:pPr>
        <w:pStyle w:val="Heading3"/>
      </w:pPr>
      <w:r>
        <w:t xml:space="preserve">5.2.5 ePrescribing</w:t>
      </w:r>
    </w:p>
    <w:p>
      <w:pPr>
        <w:pStyle w:val="ListParagraph"/>
        <w:numPr>
          <w:ilvl w:val="0"/>
          <w:numId w:val="2"/>
        </w:numPr>
        <w:spacing w:after="90" w:line="270"/>
      </w:pPr>
      <w:r>
        <w:rPr>
          <w:b w:val="false"/>
          <w:bCs w:val="false"/>
          <w:color w:val="3F3F3F"/>
          <w:sz w:val="21"/>
          <w:szCs w:val="21"/>
        </w:rPr>
        <w:t xml:space="preserve">Medication search, dose/frequency/days-supply/refills, send to pharmacy.</w:t>
      </w:r>
    </w:p>
    <w:p>
      <w:pPr>
        <w:pStyle w:val="ListParagraph"/>
        <w:numPr>
          <w:ilvl w:val="0"/>
          <w:numId w:val="2"/>
        </w:numPr>
        <w:spacing w:after="90" w:line="270"/>
      </w:pPr>
      <w:r>
        <w:rPr>
          <w:b w:val="false"/>
          <w:bCs w:val="false"/>
          <w:color w:val="3F3F3F"/>
          <w:sz w:val="21"/>
          <w:szCs w:val="21"/>
        </w:rPr>
        <w:t xml:space="preserve">Non-controlled substances only in V1; controlled-substance EPCS workflow is V3.</w:t>
      </w:r>
    </w:p>
    <w:p>
      <w:pPr>
        <w:pStyle w:val="Heading3"/>
      </w:pPr>
      <w:r>
        <w:t xml:space="preserve">5.2.6 Admin (self-service)</w:t>
      </w:r>
    </w:p>
    <w:p>
      <w:pPr>
        <w:pStyle w:val="ListParagraph"/>
        <w:numPr>
          <w:ilvl w:val="0"/>
          <w:numId w:val="2"/>
        </w:numPr>
        <w:spacing w:after="90" w:line="270"/>
      </w:pPr>
      <w:r>
        <w:rPr>
          <w:b w:val="false"/>
          <w:bCs w:val="false"/>
          <w:color w:val="3F3F3F"/>
          <w:sz w:val="21"/>
          <w:szCs w:val="21"/>
        </w:rPr>
        <w:t xml:space="preserve">View schedule, completed visit count, downloadable pay stubs, license expiry reminders.</w:t>
      </w:r>
    </w:p>
    <w:p>
      <w:pPr>
        <w:pStyle w:val="Heading2"/>
      </w:pPr>
      <w:r>
        <w:t xml:space="preserve">5.3 Admin Console</w:t>
      </w:r>
    </w:p>
    <w:p>
      <w:pPr>
        <w:pStyle w:val="ListParagraph"/>
        <w:numPr>
          <w:ilvl w:val="0"/>
          <w:numId w:val="2"/>
        </w:numPr>
        <w:spacing w:after="90" w:line="270"/>
      </w:pPr>
      <w:r>
        <w:rPr>
          <w:b w:val="false"/>
          <w:bCs w:val="false"/>
          <w:color w:val="3F3F3F"/>
          <w:sz w:val="21"/>
          <w:szCs w:val="21"/>
        </w:rPr>
        <w:t xml:space="preserve">Unified patient and provider directory with search/filter.</w:t>
      </w:r>
    </w:p>
    <w:p>
      <w:pPr>
        <w:pStyle w:val="ListParagraph"/>
        <w:numPr>
          <w:ilvl w:val="0"/>
          <w:numId w:val="2"/>
        </w:numPr>
        <w:spacing w:after="90" w:line="270"/>
      </w:pPr>
      <w:r>
        <w:rPr>
          <w:b w:val="false"/>
          <w:bCs w:val="false"/>
          <w:color w:val="3F3F3F"/>
          <w:sz w:val="21"/>
          <w:szCs w:val="21"/>
        </w:rPr>
        <w:t xml:space="preserve">Manual provider approval / suspension workflow.</w:t>
      </w:r>
    </w:p>
    <w:p>
      <w:pPr>
        <w:pStyle w:val="ListParagraph"/>
        <w:numPr>
          <w:ilvl w:val="0"/>
          <w:numId w:val="2"/>
        </w:numPr>
        <w:spacing w:after="90" w:line="270"/>
      </w:pPr>
      <w:r>
        <w:rPr>
          <w:b w:val="false"/>
          <w:bCs w:val="false"/>
          <w:color w:val="3F3F3F"/>
          <w:sz w:val="21"/>
          <w:szCs w:val="21"/>
        </w:rPr>
        <w:t xml:space="preserve">Flagged-case queue (e.g., urgent symptoms, declined visits) for human review.</w:t>
      </w:r>
    </w:p>
    <w:p>
      <w:pPr>
        <w:pStyle w:val="ListParagraph"/>
        <w:numPr>
          <w:ilvl w:val="0"/>
          <w:numId w:val="2"/>
        </w:numPr>
        <w:spacing w:after="90" w:line="270"/>
      </w:pPr>
      <w:r>
        <w:rPr>
          <w:b w:val="false"/>
          <w:bCs w:val="false"/>
          <w:color w:val="3F3F3F"/>
          <w:sz w:val="21"/>
          <w:szCs w:val="21"/>
        </w:rPr>
        <w:t xml:space="preserve">Operational reporting: visits per day, revenue, conversion rate, no-show rate.</w:t>
      </w:r>
    </w:p>
    <w:p>
      <w:pPr>
        <w:pStyle w:val="ListParagraph"/>
        <w:numPr>
          <w:ilvl w:val="0"/>
          <w:numId w:val="2"/>
        </w:numPr>
        <w:spacing w:after="90" w:line="270"/>
      </w:pPr>
      <w:r>
        <w:rPr>
          <w:b w:val="false"/>
          <w:bCs w:val="false"/>
          <w:color w:val="3F3F3F"/>
          <w:sz w:val="21"/>
          <w:szCs w:val="21"/>
        </w:rPr>
        <w:t xml:space="preserve">Refund and complaint-handling workspace.</w:t>
      </w:r>
    </w:p>
    <w:p>
      <w:pPr>
        <w:pStyle w:val="ListParagraph"/>
        <w:numPr>
          <w:ilvl w:val="0"/>
          <w:numId w:val="2"/>
        </w:numPr>
        <w:spacing w:after="90" w:line="270"/>
      </w:pPr>
      <w:r>
        <w:rPr>
          <w:b w:val="false"/>
          <w:bCs w:val="false"/>
          <w:color w:val="3F3F3F"/>
          <w:sz w:val="21"/>
          <w:szCs w:val="21"/>
        </w:rPr>
        <w:t xml:space="preserve">Role-based access control (Ops, Compliance, Support roles).</w:t>
      </w:r>
    </w:p>
    <w:p>
      <w:r>
        <w:br w:type="page"/>
      </w:r>
    </w:p>
    <w:p>
      <w:pPr>
        <w:pStyle w:val="Heading1"/>
      </w:pPr>
      <w:r>
        <w:t xml:space="preserve">6. Non-Functional &amp; Compliance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Area</w:t>
            </w:r>
          </w:p>
        </w:tc>
        <w:tc>
          <w:tcPr>
            <w:tcW w:type="dxa" w:w="73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Requirement</w:t>
            </w:r>
          </w:p>
        </w:tc>
      </w:tr>
      <w:tr>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Regulatory</w:t>
            </w:r>
          </w:p>
        </w:tc>
        <w:tc>
          <w:tcPr>
            <w:tcW w:type="dxa" w:w="73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HIPAA Privacy &amp; Security Rule compliance across all three portals; signed Business Associate Agreements (BAAs) with every vendor that touches PHI (hosting, video, eRx, e-signature).</w:t>
            </w:r>
          </w:p>
        </w:tc>
      </w:tr>
      <w:tr>
        <w:tc>
          <w:tcPr>
            <w:tcW w:type="dxa" w:w="2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Telehealth law</w:t>
            </w:r>
          </w:p>
        </w:tc>
        <w:tc>
          <w:tcPr>
            <w:tcW w:type="dxa" w:w="73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State-by-state telehealth practice rules respected in the provider-matching logic (a provider can only be shown patients in states where they hold an active license).</w:t>
            </w:r>
          </w:p>
        </w:tc>
      </w:tr>
      <w:tr>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Data security</w:t>
            </w:r>
          </w:p>
        </w:tc>
        <w:tc>
          <w:tcPr>
            <w:tcW w:type="dxa" w:w="73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Encryption in transit (TLS 1.2+) and at rest (AES-256); audit logging of all PHI access; role-based access control; MFA for provider and admin accounts.</w:t>
            </w:r>
          </w:p>
        </w:tc>
      </w:tr>
      <w:tr>
        <w:tc>
          <w:tcPr>
            <w:tcW w:type="dxa" w:w="2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Availability</w:t>
            </w:r>
          </w:p>
        </w:tc>
        <w:tc>
          <w:tcPr>
            <w:tcW w:type="dxa" w:w="73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Target 99.5% uptime for patient-facing booking and visit flows post-launch.</w:t>
            </w:r>
          </w:p>
        </w:tc>
      </w:tr>
      <w:tr>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Audit &amp; documentation</w:t>
            </w:r>
          </w:p>
        </w:tc>
        <w:tc>
          <w:tcPr>
            <w:tcW w:type="dxa" w:w="73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Every visit must produce a locked, timestamped clinical note before billing can be triggered — required for malpractice and payer audit defensibility.</w:t>
            </w:r>
          </w:p>
        </w:tc>
      </w:tr>
      <w:tr>
        <w:tc>
          <w:tcPr>
            <w:tcW w:type="dxa" w:w="2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Accessibility</w:t>
            </w:r>
          </w:p>
        </w:tc>
        <w:tc>
          <w:tcPr>
            <w:tcW w:type="dxa" w:w="73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WCAG 2.1 AA target for the patient-facing web app.</w:t>
            </w:r>
          </w:p>
        </w:tc>
      </w:tr>
      <w:tr>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Data retention</w:t>
            </w:r>
          </w:p>
        </w:tc>
        <w:tc>
          <w:tcPr>
            <w:tcW w:type="dxa" w:w="73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Clinical records retained per state medical record retention requirements (commonly 7+ years; confirm per state of operation).</w:t>
            </w:r>
          </w:p>
        </w:tc>
      </w:tr>
    </w:tbl>
    <w:p>
      <w:pPr>
        <w:pStyle w:val="Heading1"/>
      </w:pPr>
      <w:r>
        <w:t xml:space="preserve">7. Third-Party Integrations (V1)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Function</w:t>
            </w:r>
          </w:p>
        </w:tc>
        <w:tc>
          <w:tcPr>
            <w:tcW w:type="dxa" w:w="36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Indicative vendor(s)</w:t>
            </w:r>
          </w:p>
        </w:tc>
        <w:tc>
          <w:tcPr>
            <w:tcW w:type="dxa" w:w="40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Notes</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Video visits</w:t>
            </w:r>
          </w:p>
        </w:tc>
        <w:tc>
          <w:tcPr>
            <w:tcW w:type="dxa" w:w="36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Twilio Video / Daily.co / Vonage (BAA-eligible tier)</w:t>
            </w:r>
          </w:p>
        </w:tc>
        <w:tc>
          <w:tcPr>
            <w:tcW w:type="dxa" w:w="40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Must run on a BAA-covered plan, not the free/dev tier.</w:t>
            </w:r>
          </w:p>
        </w:tc>
      </w:tr>
      <w:tr>
        <w:tc>
          <w:tcPr>
            <w:tcW w:type="dxa" w:w="24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ePrescribing</w:t>
            </w:r>
          </w:p>
        </w:tc>
        <w:tc>
          <w:tcPr>
            <w:tcW w:type="dxa" w:w="36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DoseSpot / Surescripts-certified partner</w:t>
            </w:r>
          </w:p>
        </w:tc>
        <w:tc>
          <w:tcPr>
            <w:tcW w:type="dxa" w:w="40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Non-controlled substances only in V1; EPCS upgrade in V3.</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Payments</w:t>
            </w:r>
          </w:p>
        </w:tc>
        <w:tc>
          <w:tcPr>
            <w:tcW w:type="dxa" w:w="36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Stripe</w:t>
            </w:r>
          </w:p>
        </w:tc>
        <w:tc>
          <w:tcPr>
            <w:tcW w:type="dxa" w:w="40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Cash-pay only in V1; no insurance adjudication.</w:t>
            </w:r>
          </w:p>
        </w:tc>
      </w:tr>
      <w:tr>
        <w:tc>
          <w:tcPr>
            <w:tcW w:type="dxa" w:w="24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Identity verification</w:t>
            </w:r>
          </w:p>
        </w:tc>
        <w:tc>
          <w:tcPr>
            <w:tcW w:type="dxa" w:w="36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Persona / Stripe Identity</w:t>
            </w:r>
          </w:p>
        </w:tc>
        <w:tc>
          <w:tcPr>
            <w:tcW w:type="dxa" w:w="40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Government-ID based identity check at signup.</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E-signature</w:t>
            </w:r>
          </w:p>
        </w:tc>
        <w:tc>
          <w:tcPr>
            <w:tcW w:type="dxa" w:w="36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DocuSign / HelloSign</w:t>
            </w:r>
          </w:p>
        </w:tc>
        <w:tc>
          <w:tcPr>
            <w:tcW w:type="dxa" w:w="40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For consent forms and provider contracts.</w:t>
            </w:r>
          </w:p>
        </w:tc>
      </w:tr>
      <w:tr>
        <w:tc>
          <w:tcPr>
            <w:tcW w:type="dxa" w:w="24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SMS/Email</w:t>
            </w:r>
          </w:p>
        </w:tc>
        <w:tc>
          <w:tcPr>
            <w:tcW w:type="dxa" w:w="36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Twilio SMS / Postmark or SendGrid</w:t>
            </w:r>
          </w:p>
        </w:tc>
        <w:tc>
          <w:tcPr>
            <w:tcW w:type="dxa" w:w="40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Appointment confirmations and reminders.</w:t>
            </w:r>
          </w:p>
        </w:tc>
      </w:tr>
      <w:tr>
        <w:tc>
          <w:tcPr>
            <w:tcW w:type="dxa" w:w="24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Hosting</w:t>
            </w:r>
          </w:p>
        </w:tc>
        <w:tc>
          <w:tcPr>
            <w:tcW w:type="dxa" w:w="36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AWS or GCP (HIPAA-eligible services, signed BAA)</w:t>
            </w:r>
          </w:p>
        </w:tc>
        <w:tc>
          <w:tcPr>
            <w:tcW w:type="dxa" w:w="40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Infra defined further in the technical architecture doc.</w:t>
            </w:r>
          </w:p>
        </w:tc>
      </w:tr>
    </w:tbl>
    <w:p>
      <w:pPr>
        <w:spacing w:after="160" w:line="280"/>
        <w:jc w:val="left"/>
      </w:pPr>
      <w:r>
        <w:rPr>
          <w:b w:val="false"/>
          <w:bCs w:val="false"/>
          <w:i w:val="false"/>
          <w:iCs w:val="false"/>
          <w:color w:val="3F3F3F"/>
          <w:sz w:val="21"/>
          <w:szCs w:val="21"/>
        </w:rPr>
        <w:t xml:space="preserve">Vendor selection is the client's final call; the above are the indicative, BAA-capable options the estimate and timeline in Section 9 (Proposal) assume. Swapping a vendor after kickoff may affect timeline and is handled via the change-request process in the Scope of Work.</w:t>
      </w:r>
    </w:p>
    <w:p>
      <w:pPr>
        <w:pStyle w:val="Heading1"/>
      </w:pPr>
      <w:r>
        <w:t xml:space="preserve">8. Explicitly Out of Scope for V1</w:t>
      </w:r>
    </w:p>
    <w:p>
      <w:pPr>
        <w:pStyle w:val="ListParagraph"/>
        <w:numPr>
          <w:ilvl w:val="0"/>
          <w:numId w:val="2"/>
        </w:numPr>
        <w:spacing w:after="90" w:line="270"/>
      </w:pPr>
      <w:r>
        <w:rPr>
          <w:b w:val="false"/>
          <w:bCs w:val="false"/>
          <w:color w:val="3F3F3F"/>
          <w:sz w:val="21"/>
          <w:szCs w:val="21"/>
        </w:rPr>
        <w:t xml:space="preserve">Insurance eligibility checks, claims submission, or any payer billing (V2).</w:t>
      </w:r>
    </w:p>
    <w:p>
      <w:pPr>
        <w:pStyle w:val="ListParagraph"/>
        <w:numPr>
          <w:ilvl w:val="0"/>
          <w:numId w:val="2"/>
        </w:numPr>
        <w:spacing w:after="90" w:line="270"/>
      </w:pPr>
      <w:r>
        <w:rPr>
          <w:b w:val="false"/>
          <w:bCs w:val="false"/>
          <w:color w:val="3F3F3F"/>
          <w:sz w:val="21"/>
          <w:szCs w:val="21"/>
        </w:rPr>
        <w:t xml:space="preserve">Asynchronous/store-and-forward visits (V2).</w:t>
      </w:r>
    </w:p>
    <w:p>
      <w:pPr>
        <w:pStyle w:val="ListParagraph"/>
        <w:numPr>
          <w:ilvl w:val="0"/>
          <w:numId w:val="2"/>
        </w:numPr>
        <w:spacing w:after="90" w:line="270"/>
      </w:pPr>
      <w:r>
        <w:rPr>
          <w:b w:val="false"/>
          <w:bCs w:val="false"/>
          <w:color w:val="3F3F3F"/>
          <w:sz w:val="21"/>
          <w:szCs w:val="21"/>
        </w:rPr>
        <w:t xml:space="preserve">Secure in-app messaging beyond visit notes (V2).</w:t>
      </w:r>
    </w:p>
    <w:p>
      <w:pPr>
        <w:pStyle w:val="ListParagraph"/>
        <w:numPr>
          <w:ilvl w:val="0"/>
          <w:numId w:val="2"/>
        </w:numPr>
        <w:spacing w:after="90" w:line="270"/>
      </w:pPr>
      <w:r>
        <w:rPr>
          <w:b w:val="false"/>
          <w:bCs w:val="false"/>
          <w:color w:val="3F3F3F"/>
          <w:sz w:val="21"/>
          <w:szCs w:val="21"/>
        </w:rPr>
        <w:t xml:space="preserve">Native iOS/Android apps — V1 patient app is a responsive web app (V2).</w:t>
      </w:r>
    </w:p>
    <w:p>
      <w:pPr>
        <w:pStyle w:val="ListParagraph"/>
        <w:numPr>
          <w:ilvl w:val="0"/>
          <w:numId w:val="2"/>
        </w:numPr>
        <w:spacing w:after="90" w:line="270"/>
      </w:pPr>
      <w:r>
        <w:rPr>
          <w:b w:val="false"/>
          <w:bCs w:val="false"/>
          <w:color w:val="3F3F3F"/>
          <w:sz w:val="21"/>
          <w:szCs w:val="21"/>
        </w:rPr>
        <w:t xml:space="preserve">Controlled-substance e-prescribing / EPCS (V3).</w:t>
      </w:r>
    </w:p>
    <w:p>
      <w:pPr>
        <w:pStyle w:val="ListParagraph"/>
        <w:numPr>
          <w:ilvl w:val="0"/>
          <w:numId w:val="2"/>
        </w:numPr>
        <w:spacing w:after="90" w:line="270"/>
      </w:pPr>
      <w:r>
        <w:rPr>
          <w:b w:val="false"/>
          <w:bCs w:val="false"/>
          <w:color w:val="3F3F3F"/>
          <w:sz w:val="21"/>
          <w:szCs w:val="21"/>
        </w:rPr>
        <w:t xml:space="preserve">Automated provider background checks and credentialing workflow (V2).</w:t>
      </w:r>
    </w:p>
    <w:p>
      <w:pPr>
        <w:pStyle w:val="ListParagraph"/>
        <w:numPr>
          <w:ilvl w:val="0"/>
          <w:numId w:val="2"/>
        </w:numPr>
        <w:spacing w:after="90" w:line="270"/>
      </w:pPr>
      <w:r>
        <w:rPr>
          <w:b w:val="false"/>
          <w:bCs w:val="false"/>
          <w:color w:val="3F3F3F"/>
          <w:sz w:val="21"/>
          <w:szCs w:val="21"/>
        </w:rPr>
        <w:t xml:space="preserve">EHR interoperability, SOC 2 audit, white-label multi-brand support (V3).</w:t>
      </w:r>
    </w:p>
    <w:p>
      <w:pPr>
        <w:pStyle w:val="Heading1"/>
      </w:pPr>
      <w:r>
        <w:t xml:space="preserve">9. Success Metrics (V1)</w:t>
      </w:r>
    </w:p>
    <w:p>
      <w:pPr>
        <w:pStyle w:val="ListParagraph"/>
        <w:numPr>
          <w:ilvl w:val="0"/>
          <w:numId w:val="2"/>
        </w:numPr>
        <w:spacing w:after="90" w:line="270"/>
      </w:pPr>
      <w:r>
        <w:rPr>
          <w:b w:val="false"/>
          <w:bCs w:val="false"/>
          <w:color w:val="3F3F3F"/>
          <w:sz w:val="21"/>
          <w:szCs w:val="21"/>
        </w:rPr>
        <w:t xml:space="preserve">Time from sign-up to booked visit (target: under 10 minutes for intake completion).</w:t>
      </w:r>
    </w:p>
    <w:p>
      <w:pPr>
        <w:pStyle w:val="ListParagraph"/>
        <w:numPr>
          <w:ilvl w:val="0"/>
          <w:numId w:val="2"/>
        </w:numPr>
        <w:spacing w:after="90" w:line="270"/>
      </w:pPr>
      <w:r>
        <w:rPr>
          <w:b w:val="false"/>
          <w:bCs w:val="false"/>
          <w:color w:val="3F3F3F"/>
          <w:sz w:val="21"/>
          <w:szCs w:val="21"/>
        </w:rPr>
        <w:t xml:space="preserve">Visit completion rate (booked vs. attended).</w:t>
      </w:r>
    </w:p>
    <w:p>
      <w:pPr>
        <w:pStyle w:val="ListParagraph"/>
        <w:numPr>
          <w:ilvl w:val="0"/>
          <w:numId w:val="2"/>
        </w:numPr>
        <w:spacing w:after="90" w:line="270"/>
      </w:pPr>
      <w:r>
        <w:rPr>
          <w:b w:val="false"/>
          <w:bCs w:val="false"/>
          <w:color w:val="3F3F3F"/>
          <w:sz w:val="21"/>
          <w:szCs w:val="21"/>
        </w:rPr>
        <w:t xml:space="preserve">Provider documentation turnaround (chart locked within X hours of visit end).</w:t>
      </w:r>
    </w:p>
    <w:p>
      <w:pPr>
        <w:pStyle w:val="ListParagraph"/>
        <w:numPr>
          <w:ilvl w:val="0"/>
          <w:numId w:val="2"/>
        </w:numPr>
        <w:spacing w:after="90" w:line="270"/>
      </w:pPr>
      <w:r>
        <w:rPr>
          <w:b w:val="false"/>
          <w:bCs w:val="false"/>
          <w:color w:val="3F3F3F"/>
          <w:sz w:val="21"/>
          <w:szCs w:val="21"/>
        </w:rPr>
        <w:t xml:space="preserve">Patient rating average and post-visit NPS.</w:t>
      </w:r>
    </w:p>
    <w:p>
      <w:pPr>
        <w:pStyle w:val="ListParagraph"/>
        <w:numPr>
          <w:ilvl w:val="0"/>
          <w:numId w:val="2"/>
        </w:numPr>
        <w:spacing w:after="90" w:line="270"/>
      </w:pPr>
      <w:r>
        <w:rPr>
          <w:b w:val="false"/>
          <w:bCs w:val="false"/>
          <w:color w:val="3F3F3F"/>
          <w:sz w:val="21"/>
          <w:szCs w:val="21"/>
        </w:rPr>
        <w:t xml:space="preserve">Cash collected vs. visits billed (payment failure rate).</w:t>
      </w:r>
    </w:p>
    <w:p>
      <w:pPr>
        <w:pStyle w:val="Heading1"/>
      </w:pPr>
      <w:r>
        <w:t xml:space="preserve">10. Assumptions &amp;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4380"/>
      </w:tblGrid>
      <w:tr>
        <w:trPr>
          <w:tblHeader/>
        </w:trPr>
        <w:tc>
          <w:tcPr>
            <w:tcW w:type="dxa" w:w="5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w:t>
            </w:r>
          </w:p>
        </w:tc>
        <w:tc>
          <w:tcPr>
            <w:tcW w:type="dxa" w:w="52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Assumption / Risk</w:t>
            </w:r>
          </w:p>
        </w:tc>
        <w:tc>
          <w:tcPr>
            <w:tcW w:type="dxa" w:w="43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Mitigation</w:t>
            </w:r>
          </w:p>
        </w:tc>
      </w:tr>
      <w:tr>
        <w:tc>
          <w:tcPr>
            <w:tcW w:type="dxa" w:w="5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1</w:t>
            </w:r>
          </w:p>
        </w:tc>
        <w:tc>
          <w:tcPr>
            <w:tcW w:type="dxa" w:w="5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Client secures BAAs directly with chosen vendors (hosting, video, eRx) before development of PHI-touching modules begins.</w:t>
            </w:r>
          </w:p>
        </w:tc>
        <w:tc>
          <w:tcPr>
            <w:tcW w:type="dxa" w:w="43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BAA execution is a named client responsibility in the Scope of Work; flagged as a hard dependency in the timeline.</w:t>
            </w:r>
          </w:p>
        </w:tc>
      </w:tr>
      <w:tr>
        <w:tc>
          <w:tcPr>
            <w:tcW w:type="dxa" w:w="5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2</w:t>
            </w:r>
          </w:p>
        </w:tc>
        <w:tc>
          <w:tcPr>
            <w:tcW w:type="dxa" w:w="5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Initial launch covers a limited set of states and 1–2 service lines.</w:t>
            </w:r>
          </w:p>
        </w:tc>
        <w:tc>
          <w:tcPr>
            <w:tcW w:type="dxa" w:w="43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Architecture is built data-driven (states, service lines, questionnaires) so expansion doesn't require new code.</w:t>
            </w:r>
          </w:p>
        </w:tc>
      </w:tr>
      <w:tr>
        <w:tc>
          <w:tcPr>
            <w:tcW w:type="dxa" w:w="5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3</w:t>
            </w:r>
          </w:p>
        </w:tc>
        <w:tc>
          <w:tcPr>
            <w:tcW w:type="dxa" w:w="5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Client provides or contracts the actual licensed clinicians — this engagement builds the software, not the clinical network.</w:t>
            </w:r>
          </w:p>
        </w:tc>
        <w:tc>
          <w:tcPr>
            <w:tcW w:type="dxa" w:w="43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Confirmed explicitly in the Scope of Work ‘Client Responsibilities’ section.</w:t>
            </w:r>
          </w:p>
        </w:tc>
      </w:tr>
      <w:tr>
        <w:tc>
          <w:tcPr>
            <w:tcW w:type="dxa" w:w="5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4</w:t>
            </w:r>
          </w:p>
        </w:tc>
        <w:tc>
          <w:tcPr>
            <w:tcW w:type="dxa" w:w="5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Vendor sandbox/production access (Stripe, DoseSpot, video SDK) is provisioned promptly.</w:t>
            </w:r>
          </w:p>
        </w:tc>
        <w:tc>
          <w:tcPr>
            <w:tcW w:type="dxa" w:w="43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Listed as a Week-1 dependency; delays here shift the timeline 1:1.</w:t>
            </w:r>
          </w:p>
        </w:tc>
      </w:tr>
    </w:tbl>
    <w:p>
      <w:pPr>
        <w:pStyle w:val="Heading1"/>
      </w:pPr>
      <w:r>
        <w:t xml:space="preserve">11. Release Timeline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680"/>
        <w:gridCol w:w="2500"/>
      </w:tblGrid>
      <w:tr>
        <w:trPr>
          <w:tblHeader/>
        </w:trPr>
        <w:tc>
          <w:tcPr>
            <w:tcW w:type="dxa" w:w="27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Version</w:t>
            </w:r>
          </w:p>
        </w:tc>
        <w:tc>
          <w:tcPr>
            <w:tcW w:type="dxa" w:w="22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Duration</w:t>
            </w:r>
          </w:p>
        </w:tc>
        <w:tc>
          <w:tcPr>
            <w:tcW w:type="dxa" w:w="26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Investment</w:t>
            </w:r>
          </w:p>
        </w:tc>
        <w:tc>
          <w:tcPr>
            <w:tcW w:type="dxa" w:w="25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Target outcome</w:t>
            </w:r>
          </w:p>
        </w:tc>
      </w:tr>
      <w:tr>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V1 — Launch MVP</w:t>
            </w:r>
          </w:p>
        </w:tc>
        <w:tc>
          <w:tcPr>
            <w:tcW w:type="dxa" w:w="2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~17 weeks</w:t>
            </w:r>
          </w:p>
        </w:tc>
        <w:tc>
          <w:tcPr>
            <w:tcW w:type="dxa" w:w="2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$44,000 (fixed)</w:t>
            </w:r>
          </w:p>
        </w:tc>
        <w:tc>
          <w:tcPr>
            <w:tcW w:type="dxa" w:w="25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Live, prescribing, cash-pay platform for 1–2 service lines.</w:t>
            </w:r>
          </w:p>
        </w:tc>
      </w:tr>
      <w:tr>
        <w:tc>
          <w:tcPr>
            <w:tcW w:type="dxa" w:w="2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V2 — Scale &amp; Monetize</w:t>
            </w:r>
          </w:p>
        </w:tc>
        <w:tc>
          <w:tcPr>
            <w:tcW w:type="dxa" w:w="2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~14–16 weeks</w:t>
            </w:r>
          </w:p>
        </w:tc>
        <w:tc>
          <w:tcPr>
            <w:tcW w:type="dxa" w:w="26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$58,000–$72,000 (est.)</w:t>
            </w:r>
          </w:p>
        </w:tc>
        <w:tc>
          <w:tcPr>
            <w:tcW w:type="dxa" w:w="25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Insurance billing, async visits, messaging, native apps.</w:t>
            </w:r>
          </w:p>
        </w:tc>
      </w:tr>
      <w:tr>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V3 — Mature Platform</w:t>
            </w:r>
          </w:p>
        </w:tc>
        <w:tc>
          <w:tcPr>
            <w:tcW w:type="dxa" w:w="2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~12+ weeks / ongoing</w:t>
            </w:r>
          </w:p>
        </w:tc>
        <w:tc>
          <w:tcPr>
            <w:tcW w:type="dxa" w:w="2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$75,000–$95,000 (est.)</w:t>
            </w:r>
          </w:p>
        </w:tc>
        <w:tc>
          <w:tcPr>
            <w:tcW w:type="dxa" w:w="25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Controlled substances, EHR interoperability, white-label, SOC 2.</w:t>
            </w:r>
          </w:p>
        </w:tc>
      </w:tr>
    </w:tbl>
    <w:p>
      <w:pPr>
        <w:spacing w:after="160" w:line="280"/>
        <w:jc w:val="left"/>
      </w:pPr>
      <w:r>
        <w:rPr>
          <w:b w:val="false"/>
          <w:bCs w:val="false"/>
          <w:i/>
          <w:iCs/>
          <w:color w:val="3F3F3F"/>
          <w:sz w:val="21"/>
          <w:szCs w:val="21"/>
        </w:rPr>
        <w:t xml:space="preserve">Full commercial terms for V1 are in the Proposal and Scope of Work; V2/V3 figures are planning estimates only and will be formally re-quoted before each phase begins, based on V1 usage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3F3F3F"/>
        <w:sz w:val="16"/>
        <w:szCs w:val="16"/>
      </w:rPr>
      <w:t xml:space="preserve">Confidential — Prepared for [Client Company Name]</w:t>
    </w:r>
    <w:r>
      <w:rPr>
        <w:color w:val="3F3F3F"/>
        <w:sz w:val="16"/>
        <w:szCs w:val="16"/>
      </w:rPr>
      <w:t xml:space="preserve">	Page </w:t>
    </w:r>
    <w:r>
      <w:rPr>
        <w:color w:val="3F3F3F"/>
        <w:sz w:val="16"/>
        <w:szCs w:val="16"/>
      </w:rPr>
      <w:fldChar w:fldCharType="begin"/>
      <w:instrText xml:space="preserve">PAGE</w:instrText>
      <w:fldChar w:fldCharType="separate"/>
      <w:fldChar w:fldCharType="end"/>
    </w:r>
    <w:r>
      <w:rPr>
        <w:color w:val="3F3F3F"/>
        <w:sz w:val="16"/>
        <w:szCs w:val="16"/>
      </w:rPr>
      <w:t xml:space="preserve"> of </w:t>
    </w:r>
    <w:r>
      <w:rPr>
        <w:color w:val="3F3F3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tabs>
        <w:tab w:val="right" w:pos="10080"/>
      </w:tabs>
    </w:pPr>
    <w:r>
      <w:rPr>
        <w:color w:val="3F3F3F"/>
        <w:sz w:val="16"/>
        <w:szCs w:val="16"/>
      </w:rPr>
      <w:t xml:space="preserve">[Your Agency Name]</w:t>
    </w:r>
    <w:r>
      <w:rPr>
        <w:color w:val="3F3F3F"/>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9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9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3F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8" w:space="4"/>
      </w:pBdr>
      <w:spacing w:after="200" w:before="360"/>
      <w:outlineLvl w:val="0"/>
    </w:pPr>
    <w:rPr>
      <w:rFonts w:ascii="Arial" w:cs="Arial" w:eastAsia="Arial" w:hAnsi="Arial"/>
      <w:b/>
      <w:bCs/>
      <w:color w:val="1A2B4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2B4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E7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2026-06-16T08:33:46.480Z</dcterms:created>
  <dcterms:modified xsi:type="dcterms:W3CDTF">2026-06-16T08:33:46.481Z</dcterms:modified>
</cp:coreProperties>
</file>

<file path=docProps/custom.xml><?xml version="1.0" encoding="utf-8"?>
<Properties xmlns="http://schemas.openxmlformats.org/officeDocument/2006/custom-properties" xmlns:vt="http://schemas.openxmlformats.org/officeDocument/2006/docPropsVTypes"/>
</file>