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jc w:val="center"/>
      </w:pPr>
      <w:r>
        <w:rPr>
          <w:b/>
          <w:bCs/>
          <w:color w:val="0E7C86"/>
          <w:sz w:val="22"/>
          <w:szCs w:val="22"/>
        </w:rPr>
        <w:t xml:space="preserve">OPENLOOP-STYLE TELEMEDICINE PLATFORM</w:t>
      </w:r>
    </w:p>
    <w:p>
      <w:pPr>
        <w:spacing w:after="240"/>
        <w:jc w:val="center"/>
      </w:pPr>
      <w:r>
        <w:rPr>
          <w:b/>
          <w:bCs/>
          <w:color w:val="1A2B4C"/>
          <w:sz w:val="56"/>
          <w:szCs w:val="56"/>
        </w:rPr>
        <w:t xml:space="preserve">Project Proposal</w:t>
      </w:r>
    </w:p>
    <w:p>
      <w:pPr>
        <w:spacing w:after="600"/>
        <w:jc w:val="center"/>
      </w:pPr>
      <w:r>
        <w:rPr>
          <w:color w:val="3F3F3F"/>
          <w:sz w:val="26"/>
          <w:szCs w:val="26"/>
        </w:rPr>
        <w:t xml:space="preserve">A Find-a-Doctor Telemedicine Platform, Built and Launched in 3 Phases</w:t>
      </w:r>
    </w:p>
    <w:p>
      <w:pPr>
        <w:spacing w:after="60"/>
        <w:jc w:val="center"/>
      </w:pPr>
      <w:r>
        <w:rPr>
          <w:color w:val="3F3F3F"/>
          <w:sz w:val="21"/>
          <w:szCs w:val="21"/>
        </w:rPr>
        <w:t xml:space="preserve">Prepared for: [Client Company Name]</w:t>
      </w:r>
    </w:p>
    <w:p>
      <w:pPr>
        <w:spacing w:after="60"/>
        <w:jc w:val="center"/>
      </w:pPr>
      <w:r>
        <w:rPr>
          <w:color w:val="3F3F3F"/>
          <w:sz w:val="21"/>
          <w:szCs w:val="21"/>
        </w:rPr>
        <w:t xml:space="preserve">Prepared by: [Your Agency Name]</w:t>
      </w:r>
    </w:p>
    <w:p>
      <w:pPr>
        <w:spacing w:after="60"/>
        <w:jc w:val="center"/>
      </w:pPr>
      <w:r>
        <w:rPr>
          <w:color w:val="3F3F3F"/>
          <w:sz w:val="21"/>
          <w:szCs w:val="21"/>
        </w:rPr>
        <w:t xml:space="preserve">[Date]</w:t>
      </w:r>
    </w:p>
    <w:p>
      <w:pPr>
        <w:spacing w:after="60"/>
        <w:jc w:val="center"/>
      </w:pPr>
      <w:r>
        <w:rPr>
          <w:color w:val="3F3F3F"/>
          <w:sz w:val="21"/>
          <w:szCs w:val="21"/>
        </w:rPr>
        <w:t xml:space="preserve">Valid for 30 days from the date above</w:t>
      </w:r>
    </w:p>
    <w:p>
      <w:r>
        <w:br w:type="page"/>
      </w:r>
    </w:p>
    <w:p>
      <w:pPr>
        <w:pStyle w:val="Heading1"/>
      </w:pPr>
      <w:r>
        <w:t xml:space="preserve">1. A Note Before You Read This</w:t>
      </w:r>
    </w:p>
    <w:p>
      <w:pPr>
        <w:spacing w:after="160" w:line="280"/>
        <w:jc w:val="left"/>
      </w:pPr>
      <w:r>
        <w:rPr>
          <w:b w:val="false"/>
          <w:bCs w:val="false"/>
          <w:i w:val="false"/>
          <w:iCs w:val="false"/>
          <w:color w:val="3F3F3F"/>
          <w:sz w:val="21"/>
          <w:szCs w:val="21"/>
        </w:rPr>
        <w:t xml:space="preserve">Thank you for sharing the vision for the platform. What you're describing — a Sesame/Zocdoc/Klarity-style experience for patients, backed by an OpenLoop-style clinical network — is a well-understood category, but it's genuinely three products in one: a patient app, a clinician workspace, and an internal operations console. The clinician and ops sides are usually more complex to build than the patient-facing app, and they're also where most telehealth projects quietly blow their budget and timeline.</w:t>
      </w:r>
    </w:p>
    <w:p>
      <w:pPr>
        <w:spacing w:after="160" w:line="280"/>
        <w:jc w:val="left"/>
      </w:pPr>
      <w:r>
        <w:rPr>
          <w:b w:val="false"/>
          <w:bCs w:val="false"/>
          <w:i w:val="false"/>
          <w:iCs w:val="false"/>
          <w:color w:val="3F3F3F"/>
          <w:sz w:val="21"/>
          <w:szCs w:val="21"/>
        </w:rPr>
        <w:t xml:space="preserve">This proposal lays out how we'd build this in three versions — a lean, real, prescribing V1 you can put in front of patients in about four months, followed by V2 and V3 that add insurance billing, scale, and the heavier compliance features once V1 has proven the model. Full feature-level detail lives in the accompanying Product Requirements Document; this proposal focuses on approach, timeline, and investment.</w:t>
      </w:r>
    </w:p>
    <w:p>
      <w:pPr>
        <w:pStyle w:val="Heading1"/>
      </w:pPr>
      <w:r>
        <w:t xml:space="preserve">2. Understanding the Opportunity</w:t>
      </w:r>
    </w:p>
    <w:p>
      <w:pPr>
        <w:spacing w:after="160" w:line="280"/>
        <w:jc w:val="left"/>
      </w:pPr>
      <w:r>
        <w:rPr>
          <w:b w:val="false"/>
          <w:bCs w:val="false"/>
          <w:i w:val="false"/>
          <w:iCs w:val="false"/>
          <w:color w:val="3F3F3F"/>
          <w:sz w:val="21"/>
          <w:szCs w:val="21"/>
        </w:rPr>
        <w:t xml:space="preserve">Patients today expect to find a doctor the way they find a hotel room — search, compare, book, pay, done. The market leaders in this space have proven the demand; the opportunity for [Client Company Name] is to bring that same experience to its own brand and clinician network, with full control over which conditions are treated, which states are served, and how the clinical workflow runs.</w:t>
      </w:r>
    </w:p>
    <w:p>
      <w:pPr>
        <w:spacing w:after="160" w:line="280"/>
        <w:jc w:val="left"/>
      </w:pPr>
      <w:r>
        <w:rPr>
          <w:b w:val="false"/>
          <w:bCs w:val="false"/>
          <w:i w:val="false"/>
          <w:iCs w:val="false"/>
          <w:color w:val="3F3F3F"/>
          <w:sz w:val="21"/>
          <w:szCs w:val="21"/>
        </w:rPr>
        <w:t xml:space="preserve">The hard part isn't the patient-facing app — it's everything behind it: matching the right licensed clinician to the right patient in the right state, making sure every visit produces a defensible clinical note, getting prescriptions to the right pharmacy, and giving an operations team enough visibility to run the business and stay compliant. That's the part this proposal is built around getting right from day one, even in a lean V1.</w:t>
      </w:r>
    </w:p>
    <w:p>
      <w:pPr>
        <w:pStyle w:val="Heading1"/>
      </w:pPr>
      <w:r>
        <w:t xml:space="preserve">3. Proposed Solution: Three Connected Products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4680"/>
      </w:tblGrid>
      <w:tr>
        <w:trPr>
          <w:tblHeader/>
        </w:trPr>
        <w:tc>
          <w:tcPr>
            <w:tcW w:type="dxa" w:w="27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Product</w:t>
            </w:r>
          </w:p>
        </w:tc>
        <w:tc>
          <w:tcPr>
            <w:tcW w:type="dxa" w:w="27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Who uses it</w:t>
            </w:r>
          </w:p>
        </w:tc>
        <w:tc>
          <w:tcPr>
            <w:tcW w:type="dxa" w:w="46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What it does</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Patient App</w:t>
            </w:r>
          </w:p>
        </w:tc>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The end patient</w:t>
            </w:r>
          </w:p>
        </w:tc>
        <w:tc>
          <w:tcPr>
            <w:tcW w:type="dxa" w:w="4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Discovery, sign-up, intake, booking, the visit itself, prescriptions/care plan, and payment.</w:t>
            </w:r>
          </w:p>
        </w:tc>
      </w:tr>
      <w:tr>
        <w:tc>
          <w:tcPr>
            <w:tcW w:type="dxa" w:w="2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Provider Dashboard</w:t>
            </w:r>
          </w:p>
        </w:tc>
        <w:tc>
          <w:tcPr>
            <w:tcW w:type="dxa" w:w="2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Contracted/employed clinicians</w:t>
            </w:r>
          </w:p>
        </w:tc>
        <w:tc>
          <w:tcPr>
            <w:tcW w:type="dxa" w:w="46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Case queue, video visits, charting, e-prescribing, schedule and earnings.</w:t>
            </w:r>
          </w:p>
        </w:tc>
      </w:tr>
      <w:tr>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Admin Console</w:t>
            </w:r>
          </w:p>
        </w:tc>
        <w:tc>
          <w:tcPr>
            <w:tcW w:type="dxa" w:w="2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[Client Company Name]'s ops team</w:t>
            </w:r>
          </w:p>
        </w:tc>
        <w:tc>
          <w:tcPr>
            <w:tcW w:type="dxa" w:w="4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Oversight of every patient and provider, approvals, compliance, reporting, and refunds.</w:t>
            </w:r>
          </w:p>
        </w:tc>
      </w:tr>
    </w:tbl>
    <w:p>
      <w:pPr>
        <w:spacing w:after="160" w:line="280"/>
        <w:jc w:val="left"/>
      </w:pPr>
      <w:r>
        <w:rPr>
          <w:b w:val="false"/>
          <w:bCs w:val="false"/>
          <w:i w:val="false"/>
          <w:iCs w:val="false"/>
          <w:color w:val="3F3F3F"/>
          <w:sz w:val="21"/>
          <w:szCs w:val="21"/>
        </w:rPr>
        <w:t xml:space="preserve">All three share one underlying patient/provider/visit data model — built once, used three ways — rather than three disconnected systems stitched together later.</w:t>
      </w:r>
    </w:p>
    <w:p>
      <w:r>
        <w:br w:type="page"/>
      </w:r>
    </w:p>
    <w:p>
      <w:pPr>
        <w:pStyle w:val="Heading1"/>
      </w:pPr>
      <w:r>
        <w:t xml:space="preserve">4. Our Phased Approach</w:t>
      </w:r>
    </w:p>
    <w:p>
      <w:pPr>
        <w:spacing w:after="160" w:line="280"/>
        <w:jc w:val="left"/>
      </w:pPr>
      <w:r>
        <w:rPr>
          <w:b w:val="false"/>
          <w:bCs w:val="false"/>
          <w:i w:val="false"/>
          <w:iCs w:val="false"/>
          <w:color w:val="3F3F3F"/>
          <w:sz w:val="21"/>
          <w:szCs w:val="21"/>
        </w:rPr>
        <w:t xml:space="preserve">We don't recommend building the full vision in one pass. We recommend proving the core loop first, then spending on insurance, scale, and the heavier compliance machinery once real patients and providers have used V1.</w:t>
      </w:r>
    </w:p>
    <w:p>
      <w:pPr>
        <w:pStyle w:val="Heading2"/>
      </w:pPr>
      <w:r>
        <w:t xml:space="preserve">Version 1 — Launch MVP</w:t>
      </w:r>
    </w:p>
    <w:p>
      <w:pPr>
        <w:spacing w:after="160" w:line="280"/>
        <w:jc w:val="left"/>
      </w:pPr>
      <w:r>
        <w:rPr>
          <w:b/>
          <w:bCs/>
          <w:color w:val="0E7C86"/>
          <w:sz w:val="21"/>
          <w:szCs w:val="21"/>
        </w:rPr>
        <w:t xml:space="preserve">~17 weeks  ·  </w:t>
      </w:r>
      <w:r>
        <w:rPr>
          <w:b/>
          <w:bCs/>
          <w:color w:val="1A2B4C"/>
          <w:sz w:val="21"/>
          <w:szCs w:val="21"/>
        </w:rPr>
        <w:t xml:space="preserve">$44,000 fixed price</w:t>
      </w:r>
    </w:p>
    <w:p>
      <w:pPr>
        <w:spacing w:after="160" w:line="280"/>
        <w:jc w:val="left"/>
      </w:pPr>
      <w:r>
        <w:rPr>
          <w:b w:val="false"/>
          <w:bCs w:val="false"/>
          <w:i w:val="false"/>
          <w:iCs w:val="false"/>
          <w:color w:val="3F3F3F"/>
          <w:sz w:val="21"/>
          <w:szCs w:val="21"/>
        </w:rPr>
        <w:t xml:space="preserve">A real, live, prescribing platform: marketing site, guided intake, provider matching, sync video visits, clinical charting, non-controlled e-prescribing, card payment, and an admin console to run it all — for one or two initial service lines, cash-pay only.</w:t>
      </w:r>
    </w:p>
    <w:p>
      <w:pPr>
        <w:pStyle w:val="Heading2"/>
      </w:pPr>
      <w:r>
        <w:t xml:space="preserve">Version 2 — Scale &amp; Monetize</w:t>
      </w:r>
    </w:p>
    <w:p>
      <w:pPr>
        <w:spacing w:after="160" w:line="280"/>
        <w:jc w:val="left"/>
      </w:pPr>
      <w:r>
        <w:rPr>
          <w:b/>
          <w:bCs/>
          <w:color w:val="0E7C86"/>
          <w:sz w:val="21"/>
          <w:szCs w:val="21"/>
        </w:rPr>
        <w:t xml:space="preserve">~14–16 weeks  ·  </w:t>
      </w:r>
      <w:r>
        <w:rPr>
          <w:b/>
          <w:bCs/>
          <w:color w:val="1A2B4C"/>
          <w:sz w:val="21"/>
          <w:szCs w:val="21"/>
        </w:rPr>
        <w:t xml:space="preserve">$58,000–$72,000 (planning estimate)</w:t>
      </w:r>
    </w:p>
    <w:p>
      <w:pPr>
        <w:spacing w:after="160" w:line="280"/>
        <w:jc w:val="left"/>
      </w:pPr>
      <w:r>
        <w:rPr>
          <w:b w:val="false"/>
          <w:bCs w:val="false"/>
          <w:i w:val="false"/>
          <w:iCs w:val="false"/>
          <w:color w:val="3F3F3F"/>
          <w:sz w:val="21"/>
          <w:szCs w:val="21"/>
        </w:rPr>
        <w:t xml:space="preserve">Once V1 has real usage data: insurance eligibility and billing, asynchronous visits, secure messaging, refills, native mobile apps, and automated provider credentialing.</w:t>
      </w:r>
    </w:p>
    <w:p>
      <w:pPr>
        <w:pStyle w:val="Heading2"/>
      </w:pPr>
      <w:r>
        <w:t xml:space="preserve">Version 3 — Mature Platform</w:t>
      </w:r>
    </w:p>
    <w:p>
      <w:pPr>
        <w:spacing w:after="160" w:line="280"/>
        <w:jc w:val="left"/>
      </w:pPr>
      <w:r>
        <w:rPr>
          <w:b/>
          <w:bCs/>
          <w:color w:val="0E7C86"/>
          <w:sz w:val="21"/>
          <w:szCs w:val="21"/>
        </w:rPr>
        <w:t xml:space="preserve">~12+ weeks or ongoing retainer  ·  </w:t>
      </w:r>
      <w:r>
        <w:rPr>
          <w:b/>
          <w:bCs/>
          <w:color w:val="1A2B4C"/>
          <w:sz w:val="21"/>
          <w:szCs w:val="21"/>
        </w:rPr>
        <w:t xml:space="preserve">$75,000–$95,000 (planning estimate)</w:t>
      </w:r>
    </w:p>
    <w:p>
      <w:pPr>
        <w:spacing w:after="160" w:line="280"/>
        <w:jc w:val="left"/>
      </w:pPr>
      <w:r>
        <w:rPr>
          <w:b w:val="false"/>
          <w:bCs w:val="false"/>
          <w:i w:val="false"/>
          <w:iCs w:val="false"/>
          <w:color w:val="3F3F3F"/>
          <w:sz w:val="21"/>
          <w:szCs w:val="21"/>
        </w:rPr>
        <w:t xml:space="preserve">Controlled-substance prescribing, EHR interoperability, SOC 2–ready audit infrastructure, white-label multi-brand support, and the analytics/automation layer that matters at real scale.</w:t>
      </w:r>
    </w:p>
    <w:p>
      <w:pPr>
        <w:spacing w:after="160" w:line="280"/>
        <w:jc w:val="left"/>
      </w:pPr>
      <w:r>
        <w:rPr>
          <w:b w:val="false"/>
          <w:bCs w:val="false"/>
          <w:i/>
          <w:iCs/>
          <w:color w:val="3F3F3F"/>
          <w:sz w:val="21"/>
          <w:szCs w:val="21"/>
        </w:rPr>
        <w:t xml:space="preserve">V2 and V3 numbers are good-faith planning estimates, not fixed quotes — we'll re-scope and re-quote each one at the start of its phase based on what V1 tells us patients and providers actually need.</w:t>
      </w:r>
    </w:p>
    <w:p>
      <w:pPr>
        <w:pStyle w:val="Heading1"/>
      </w:pPr>
      <w:r>
        <w:t xml:space="preserve">5. How We'll Work</w:t>
      </w:r>
    </w:p>
    <w:p>
      <w:pPr>
        <w:pStyle w:val="ListParagraph"/>
        <w:numPr>
          <w:ilvl w:val="0"/>
          <w:numId w:val="2"/>
        </w:numPr>
        <w:spacing w:after="90" w:line="270"/>
      </w:pPr>
      <w:r>
        <w:rPr>
          <w:b w:val="false"/>
          <w:bCs w:val="false"/>
          <w:color w:val="3F3F3F"/>
          <w:sz w:val="21"/>
          <w:szCs w:val="21"/>
        </w:rPr>
        <w:t xml:space="preserve">Compliance-first architecture: every PHI-touching service runs behind a signed BAA from week one, even in the lean V1 — retrofitting HIPAA compliance later is far more expensive than building for it from the start.</w:t>
      </w:r>
    </w:p>
    <w:p>
      <w:pPr>
        <w:pStyle w:val="ListParagraph"/>
        <w:numPr>
          <w:ilvl w:val="0"/>
          <w:numId w:val="2"/>
        </w:numPr>
        <w:spacing w:after="90" w:line="270"/>
      </w:pPr>
      <w:r>
        <w:rPr>
          <w:b w:val="false"/>
          <w:bCs w:val="false"/>
          <w:color w:val="3F3F3F"/>
          <w:sz w:val="21"/>
          <w:szCs w:val="21"/>
        </w:rPr>
        <w:t xml:space="preserve">Data-driven configuration: service lines, intake questionnaires, and state coverage are configured, not hard-coded, so adding a new condition or state in V2/V3 doesn't require new code.</w:t>
      </w:r>
    </w:p>
    <w:p>
      <w:pPr>
        <w:pStyle w:val="ListParagraph"/>
        <w:numPr>
          <w:ilvl w:val="0"/>
          <w:numId w:val="2"/>
        </w:numPr>
        <w:spacing w:after="90" w:line="270"/>
      </w:pPr>
      <w:r>
        <w:rPr>
          <w:b w:val="false"/>
          <w:bCs w:val="false"/>
          <w:color w:val="3F3F3F"/>
          <w:sz w:val="21"/>
          <w:szCs w:val="21"/>
        </w:rPr>
        <w:t xml:space="preserve">Weekly demo + async standup updates, so you see working software every week, not a status report.</w:t>
      </w:r>
    </w:p>
    <w:p>
      <w:pPr>
        <w:pStyle w:val="ListParagraph"/>
        <w:numPr>
          <w:ilvl w:val="0"/>
          <w:numId w:val="2"/>
        </w:numPr>
        <w:spacing w:after="90" w:line="270"/>
      </w:pPr>
      <w:r>
        <w:rPr>
          <w:b w:val="false"/>
          <w:bCs w:val="false"/>
          <w:color w:val="3F3F3F"/>
          <w:sz w:val="21"/>
          <w:szCs w:val="21"/>
        </w:rPr>
        <w:t xml:space="preserve">A staging environment with synthetic data for your team to test against before every release.</w:t>
      </w:r>
    </w:p>
    <w:p>
      <w:pPr>
        <w:pStyle w:val="ListParagraph"/>
        <w:numPr>
          <w:ilvl w:val="0"/>
          <w:numId w:val="2"/>
        </w:numPr>
        <w:spacing w:after="90" w:line="270"/>
      </w:pPr>
      <w:r>
        <w:rPr>
          <w:b w:val="false"/>
          <w:bCs w:val="false"/>
          <w:color w:val="3F3F3F"/>
          <w:sz w:val="21"/>
          <w:szCs w:val="21"/>
        </w:rPr>
        <w:t xml:space="preserve">Formal UAT (user acceptance testing) window before go-live, with a defined bug-severity triage process.</w:t>
      </w:r>
    </w:p>
    <w:p>
      <w:pPr>
        <w:pStyle w:val="Heading1"/>
      </w:pPr>
      <w:r>
        <w:t xml:space="preserve">6. Version 1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rPr>
          <w:tblHeader/>
        </w:trPr>
        <w:tc>
          <w:tcPr>
            <w:tcW w:type="dxa" w:w="30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Phase</w:t>
            </w:r>
          </w:p>
        </w:tc>
        <w:tc>
          <w:tcPr>
            <w:tcW w:type="dxa" w:w="15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Weeks</w:t>
            </w:r>
          </w:p>
        </w:tc>
        <w:tc>
          <w:tcPr>
            <w:tcW w:type="dxa" w:w="55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What happens</w:t>
            </w:r>
          </w:p>
        </w:tc>
      </w:tr>
      <w:tr>
        <w:tc>
          <w:tcPr>
            <w:tcW w:type="dxa" w:w="30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Discovery &amp; Architecture</w:t>
            </w:r>
          </w:p>
        </w:tc>
        <w:tc>
          <w:tcPr>
            <w:tcW w:type="dxa" w:w="1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1–2</w:t>
            </w:r>
          </w:p>
        </w:tc>
        <w:tc>
          <w:tcPr>
            <w:tcW w:type="dxa" w:w="55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Requirements sign-off, technical architecture, BAA vendor selection, environment setup.</w:t>
            </w:r>
          </w:p>
        </w:tc>
      </w:tr>
      <w:tr>
        <w:tc>
          <w:tcPr>
            <w:tcW w:type="dxa" w:w="30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UI/UX Design</w:t>
            </w:r>
          </w:p>
        </w:tc>
        <w:tc>
          <w:tcPr>
            <w:tcW w:type="dxa" w:w="1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3–5</w:t>
            </w:r>
          </w:p>
        </w:tc>
        <w:tc>
          <w:tcPr>
            <w:tcW w:type="dxa" w:w="55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Wireframes, design system, high-fidelity screens for all three portals.</w:t>
            </w:r>
          </w:p>
        </w:tc>
      </w:tr>
      <w:tr>
        <w:tc>
          <w:tcPr>
            <w:tcW w:type="dxa" w:w="30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Core Development</w:t>
            </w:r>
          </w:p>
        </w:tc>
        <w:tc>
          <w:tcPr>
            <w:tcW w:type="dxa" w:w="1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6–12</w:t>
            </w:r>
          </w:p>
        </w:tc>
        <w:tc>
          <w:tcPr>
            <w:tcW w:type="dxa" w:w="55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Patient app, provider dashboard, admin console, and all integrations built and unit-tested.</w:t>
            </w:r>
          </w:p>
        </w:tc>
      </w:tr>
      <w:tr>
        <w:tc>
          <w:tcPr>
            <w:tcW w:type="dxa" w:w="30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Integration &amp; Security Testing</w:t>
            </w:r>
          </w:p>
        </w:tc>
        <w:tc>
          <w:tcPr>
            <w:tcW w:type="dxa" w:w="1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13–14</w:t>
            </w:r>
          </w:p>
        </w:tc>
        <w:tc>
          <w:tcPr>
            <w:tcW w:type="dxa" w:w="55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End-to-end testing, security review, HIPAA compliance walkthrough.</w:t>
            </w:r>
          </w:p>
        </w:tc>
      </w:tr>
      <w:tr>
        <w:tc>
          <w:tcPr>
            <w:tcW w:type="dxa" w:w="30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UAT &amp; Bug Fixing</w:t>
            </w:r>
          </w:p>
        </w:tc>
        <w:tc>
          <w:tcPr>
            <w:tcW w:type="dxa" w:w="1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15–16</w:t>
            </w:r>
          </w:p>
        </w:tc>
        <w:tc>
          <w:tcPr>
            <w:tcW w:type="dxa" w:w="55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Client testing window, fixes, sign-off.</w:t>
            </w:r>
          </w:p>
        </w:tc>
      </w:tr>
      <w:tr>
        <w:tc>
          <w:tcPr>
            <w:tcW w:type="dxa" w:w="30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Launch</w:t>
            </w:r>
          </w:p>
        </w:tc>
        <w:tc>
          <w:tcPr>
            <w:tcW w:type="dxa" w:w="1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17</w:t>
            </w:r>
          </w:p>
        </w:tc>
        <w:tc>
          <w:tcPr>
            <w:tcW w:type="dxa" w:w="55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Deployment, go-live, knowledge transfer and handover documentation.</w:t>
            </w:r>
          </w:p>
        </w:tc>
      </w:tr>
    </w:tbl>
    <w:p>
      <w:r>
        <w:br w:type="page"/>
      </w:r>
    </w:p>
    <w:p>
      <w:pPr>
        <w:pStyle w:val="Heading1"/>
      </w:pPr>
      <w:r>
        <w:t xml:space="preserve">7. Investment Summary — Version 1</w:t>
      </w:r>
    </w:p>
    <w:p>
      <w:pPr>
        <w:spacing w:after="160" w:line="280"/>
        <w:jc w:val="left"/>
      </w:pPr>
      <w:r>
        <w:rPr>
          <w:b w:val="false"/>
          <w:bCs w:val="false"/>
          <w:i w:val="false"/>
          <w:iCs w:val="false"/>
          <w:color w:val="3F3F3F"/>
          <w:sz w:val="21"/>
          <w:szCs w:val="21"/>
        </w:rPr>
        <w:t xml:space="preserve">Total fixed price for Version 1: $44,000 USD. The breakdown below shows how that's allocated; it's provided for transparency and isn't itemized for billing — V1 is billed as a fixed-price engagement against the milestone schedule in the Scope of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700"/>
        <w:gridCol w:w="2180"/>
      </w:tblGrid>
      <w:tr>
        <w:trPr>
          <w:tblHeader/>
        </w:trPr>
        <w:tc>
          <w:tcPr>
            <w:tcW w:type="dxa" w:w="42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Role</w:t>
            </w:r>
          </w:p>
        </w:tc>
        <w:tc>
          <w:tcPr>
            <w:tcW w:type="dxa" w:w="20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Engagement</w:t>
            </w:r>
          </w:p>
        </w:tc>
        <w:tc>
          <w:tcPr>
            <w:tcW w:type="dxa" w:w="17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Duration</w:t>
            </w:r>
          </w:p>
        </w:tc>
        <w:tc>
          <w:tcPr>
            <w:tcW w:type="dxa" w:w="21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Cost</w:t>
            </w:r>
          </w:p>
        </w:tc>
      </w:tr>
      <w:tr>
        <w:tc>
          <w:tcPr>
            <w:tcW w:type="dxa" w:w="4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Project Manager / Business Analyst</w:t>
            </w:r>
          </w:p>
        </w:tc>
        <w:tc>
          <w:tcPr>
            <w:tcW w:type="dxa" w:w="20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Part-time (50%)</w:t>
            </w:r>
          </w:p>
        </w:tc>
        <w:tc>
          <w:tcPr>
            <w:tcW w:type="dxa" w:w="1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4 months</w:t>
            </w:r>
          </w:p>
        </w:tc>
        <w:tc>
          <w:tcPr>
            <w:tcW w:type="dxa" w:w="21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$4,800</w:t>
            </w:r>
          </w:p>
        </w:tc>
      </w:tr>
      <w:tr>
        <w:tc>
          <w:tcPr>
            <w:tcW w:type="dxa" w:w="4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UI/UX Designer</w:t>
            </w:r>
          </w:p>
        </w:tc>
        <w:tc>
          <w:tcPr>
            <w:tcW w:type="dxa" w:w="20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Full-time</w:t>
            </w:r>
          </w:p>
        </w:tc>
        <w:tc>
          <w:tcPr>
            <w:tcW w:type="dxa" w:w="1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1.5 months</w:t>
            </w:r>
          </w:p>
        </w:tc>
        <w:tc>
          <w:tcPr>
            <w:tcW w:type="dxa" w:w="21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$2,250</w:t>
            </w:r>
          </w:p>
        </w:tc>
      </w:tr>
      <w:tr>
        <w:tc>
          <w:tcPr>
            <w:tcW w:type="dxa" w:w="4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Senior Backend Engineer</w:t>
            </w:r>
          </w:p>
        </w:tc>
        <w:tc>
          <w:tcPr>
            <w:tcW w:type="dxa" w:w="20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Full-time</w:t>
            </w:r>
          </w:p>
        </w:tc>
        <w:tc>
          <w:tcPr>
            <w:tcW w:type="dxa" w:w="1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4 months</w:t>
            </w:r>
          </w:p>
        </w:tc>
        <w:tc>
          <w:tcPr>
            <w:tcW w:type="dxa" w:w="21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$11,200</w:t>
            </w:r>
          </w:p>
        </w:tc>
      </w:tr>
      <w:tr>
        <w:tc>
          <w:tcPr>
            <w:tcW w:type="dxa" w:w="4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Backend Engineer</w:t>
            </w:r>
          </w:p>
        </w:tc>
        <w:tc>
          <w:tcPr>
            <w:tcW w:type="dxa" w:w="20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Full-time</w:t>
            </w:r>
          </w:p>
        </w:tc>
        <w:tc>
          <w:tcPr>
            <w:tcW w:type="dxa" w:w="1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4 months</w:t>
            </w:r>
          </w:p>
        </w:tc>
        <w:tc>
          <w:tcPr>
            <w:tcW w:type="dxa" w:w="21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$8,000</w:t>
            </w:r>
          </w:p>
        </w:tc>
      </w:tr>
      <w:tr>
        <w:tc>
          <w:tcPr>
            <w:tcW w:type="dxa" w:w="4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Frontend Engineer</w:t>
            </w:r>
          </w:p>
        </w:tc>
        <w:tc>
          <w:tcPr>
            <w:tcW w:type="dxa" w:w="20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Full-time</w:t>
            </w:r>
          </w:p>
        </w:tc>
        <w:tc>
          <w:tcPr>
            <w:tcW w:type="dxa" w:w="1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4 months</w:t>
            </w:r>
          </w:p>
        </w:tc>
        <w:tc>
          <w:tcPr>
            <w:tcW w:type="dxa" w:w="21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$8,800</w:t>
            </w:r>
          </w:p>
        </w:tc>
      </w:tr>
      <w:tr>
        <w:tc>
          <w:tcPr>
            <w:tcW w:type="dxa" w:w="4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QA Engineer</w:t>
            </w:r>
          </w:p>
        </w:tc>
        <w:tc>
          <w:tcPr>
            <w:tcW w:type="dxa" w:w="20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Part-time (50%)</w:t>
            </w:r>
          </w:p>
        </w:tc>
        <w:tc>
          <w:tcPr>
            <w:tcW w:type="dxa" w:w="1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4 months</w:t>
            </w:r>
          </w:p>
        </w:tc>
        <w:tc>
          <w:tcPr>
            <w:tcW w:type="dxa" w:w="21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$4,000</w:t>
            </w:r>
          </w:p>
        </w:tc>
      </w:tr>
      <w:tr>
        <w:tc>
          <w:tcPr>
            <w:tcW w:type="dxa" w:w="42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DevOps / Security (compliance setup)</w:t>
            </w:r>
          </w:p>
        </w:tc>
        <w:tc>
          <w:tcPr>
            <w:tcW w:type="dxa" w:w="20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Part-time</w:t>
            </w:r>
          </w:p>
        </w:tc>
        <w:tc>
          <w:tcPr>
            <w:tcW w:type="dxa" w:w="17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3 months</w:t>
            </w:r>
          </w:p>
        </w:tc>
        <w:tc>
          <w:tcPr>
            <w:tcW w:type="dxa" w:w="21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b w:val="false"/>
                <w:bCs w:val="false"/>
                <w:sz w:val="19"/>
                <w:szCs w:val="19"/>
              </w:rPr>
              <w:t xml:space="preserve">$3,000</w:t>
            </w:r>
          </w:p>
        </w:tc>
      </w:tr>
      <w:tr>
        <w:tc>
          <w:tcPr>
            <w:tcW w:type="dxa" w:w="42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Third-party integration setup (video, eRx, e-sign, identity — setup &amp; sandbox fees)</w:t>
            </w:r>
          </w:p>
        </w:tc>
        <w:tc>
          <w:tcPr>
            <w:tcW w:type="dxa" w:w="20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One-time</w:t>
            </w:r>
          </w:p>
        </w:tc>
        <w:tc>
          <w:tcPr>
            <w:tcW w:type="dxa" w:w="17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w:t>
            </w:r>
          </w:p>
        </w:tc>
        <w:tc>
          <w:tcPr>
            <w:tcW w:type="dxa" w:w="21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b w:val="false"/>
                <w:bCs w:val="false"/>
                <w:sz w:val="19"/>
                <w:szCs w:val="19"/>
              </w:rPr>
              <w:t xml:space="preserve">$1,950</w:t>
            </w:r>
          </w:p>
        </w:tc>
      </w:tr>
    </w:tbl>
    <w:p>
      <w:pPr>
        <w:spacing w:after="200" w:line="280"/>
        <w:jc w:val="left"/>
      </w:pPr>
      <w:r>
        <w:rPr>
          <w:b/>
          <w:bCs/>
          <w:color w:val="1A2B4C"/>
          <w:sz w:val="22"/>
          <w:szCs w:val="22"/>
        </w:rPr>
        <w:t xml:space="preserve">Total Version 1 Investment:  </w:t>
      </w:r>
      <w:r>
        <w:rPr>
          <w:b/>
          <w:bCs/>
          <w:color w:val="0E7C86"/>
          <w:sz w:val="22"/>
          <w:szCs w:val="22"/>
        </w:rPr>
        <w:t xml:space="preserve">$44,000 USD</w:t>
      </w:r>
    </w:p>
    <w:p>
      <w:pPr>
        <w:spacing w:after="160" w:line="280"/>
        <w:jc w:val="left"/>
      </w:pPr>
      <w:r>
        <w:rPr>
          <w:b w:val="false"/>
          <w:bCs w:val="false"/>
          <w:i w:val="false"/>
          <w:iCs w:val="false"/>
          <w:color w:val="3F3F3F"/>
          <w:sz w:val="21"/>
          <w:szCs w:val="21"/>
        </w:rPr>
        <w:t xml:space="preserve">Excludes ongoing third-party subscription costs post-launch (video/eRx/payment processing fees, hosting), which scale with usage and are billed directly to [Client Company Name] by those vendors — typically $300–$800/month at early-stage volume. Also excludes the clinical malpractice insurance and clinician contracting/payroll, which sit with the client as the licensed healthcare entity.</w:t>
      </w:r>
    </w:p>
    <w:p>
      <w:pPr>
        <w:pStyle w:val="Heading2"/>
      </w:pPr>
      <w:r>
        <w:t xml:space="preserve">Payment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1500"/>
        <w:gridCol w:w="1680"/>
      </w:tblGrid>
      <w:tr>
        <w:trPr>
          <w:tblHeader/>
        </w:trPr>
        <w:tc>
          <w:tcPr>
            <w:tcW w:type="dxa" w:w="36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Milestone</w:t>
            </w:r>
          </w:p>
        </w:tc>
        <w:tc>
          <w:tcPr>
            <w:tcW w:type="dxa" w:w="33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Trigger</w:t>
            </w:r>
          </w:p>
        </w:tc>
        <w:tc>
          <w:tcPr>
            <w:tcW w:type="dxa" w:w="150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 of Total</w:t>
            </w:r>
          </w:p>
        </w:tc>
        <w:tc>
          <w:tcPr>
            <w:tcW w:type="dxa" w:w="1680"/>
            <w:tcBorders>
              <w:top w:val="single" w:color="CFCFCF" w:sz="2"/>
              <w:left w:val="single" w:color="CFCFCF" w:sz="2"/>
              <w:bottom w:val="single" w:color="CFCFCF" w:sz="2"/>
              <w:right w:val="single" w:color="CFCFCF" w:sz="2"/>
            </w:tcBorders>
            <w:shd w:fill="1A2B4C" w:val="clear"/>
            <w:tcMar>
              <w:top w:type="dxa" w:w="90"/>
              <w:left w:type="dxa" w:w="120"/>
              <w:bottom w:type="dxa" w:w="90"/>
              <w:right w:type="dxa" w:w="120"/>
            </w:tcMar>
            <w:vAlign w:val="center"/>
          </w:tcPr>
          <w:p>
            <w:r>
              <w:rPr>
                <w:b/>
                <w:bCs/>
                <w:color w:val="FFFFFF"/>
                <w:sz w:val="19"/>
                <w:szCs w:val="19"/>
              </w:rPr>
              <w:t xml:space="preserve">Amount</w:t>
            </w:r>
          </w:p>
        </w:tc>
      </w:tr>
      <w:tr>
        <w:tc>
          <w:tcPr>
            <w:tcW w:type="dxa" w:w="36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M1 — Signing</w:t>
            </w:r>
          </w:p>
        </w:tc>
        <w:tc>
          <w:tcPr>
            <w:tcW w:type="dxa" w:w="33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Contract execution &amp; kickoff</w:t>
            </w:r>
          </w:p>
        </w:tc>
        <w:tc>
          <w:tcPr>
            <w:tcW w:type="dxa" w:w="1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30%</w:t>
            </w:r>
          </w:p>
        </w:tc>
        <w:tc>
          <w:tcPr>
            <w:tcW w:type="dxa" w:w="1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$13,200</w:t>
            </w:r>
          </w:p>
        </w:tc>
      </w:tr>
      <w:tr>
        <w:tc>
          <w:tcPr>
            <w:tcW w:type="dxa" w:w="36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M2 — Design Sign-off</w:t>
            </w:r>
          </w:p>
        </w:tc>
        <w:tc>
          <w:tcPr>
            <w:tcW w:type="dxa" w:w="33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End of Week 5 (design approved)</w:t>
            </w:r>
          </w:p>
        </w:tc>
        <w:tc>
          <w:tcPr>
            <w:tcW w:type="dxa" w:w="1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30%</w:t>
            </w:r>
          </w:p>
        </w:tc>
        <w:tc>
          <w:tcPr>
            <w:tcW w:type="dxa" w:w="16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$13,200</w:t>
            </w:r>
          </w:p>
        </w:tc>
      </w:tr>
      <w:tr>
        <w:tc>
          <w:tcPr>
            <w:tcW w:type="dxa" w:w="36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M3 — UAT Ready</w:t>
            </w:r>
          </w:p>
        </w:tc>
        <w:tc>
          <w:tcPr>
            <w:tcW w:type="dxa" w:w="33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End of Week 14 (build complete, enters UAT)</w:t>
            </w:r>
          </w:p>
        </w:tc>
        <w:tc>
          <w:tcPr>
            <w:tcW w:type="dxa" w:w="150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30%</w:t>
            </w:r>
          </w:p>
        </w:tc>
        <w:tc>
          <w:tcPr>
            <w:tcW w:type="dxa" w:w="1680"/>
            <w:tcBorders>
              <w:top w:val="single" w:color="CFCFCF" w:sz="2"/>
              <w:left w:val="single" w:color="CFCFCF" w:sz="2"/>
              <w:bottom w:val="single" w:color="CFCFCF" w:sz="2"/>
              <w:right w:val="single" w:color="CFCFCF" w:sz="2"/>
            </w:tcBorders>
            <w:shd w:fill="FFFFFF" w:val="clear"/>
            <w:tcMar>
              <w:top w:type="dxa" w:w="80"/>
              <w:left w:type="dxa" w:w="120"/>
              <w:bottom w:type="dxa" w:w="80"/>
              <w:right w:type="dxa" w:w="120"/>
            </w:tcMar>
            <w:vAlign w:val="center"/>
          </w:tcPr>
          <w:p>
            <w:r>
              <w:rPr>
                <w:sz w:val="19"/>
                <w:szCs w:val="19"/>
              </w:rPr>
              <w:t xml:space="preserve">$13,200</w:t>
            </w:r>
          </w:p>
        </w:tc>
      </w:tr>
      <w:tr>
        <w:tc>
          <w:tcPr>
            <w:tcW w:type="dxa" w:w="36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M4 — Go-Live</w:t>
            </w:r>
          </w:p>
        </w:tc>
        <w:tc>
          <w:tcPr>
            <w:tcW w:type="dxa" w:w="33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End of Week 17 (production launch)</w:t>
            </w:r>
          </w:p>
        </w:tc>
        <w:tc>
          <w:tcPr>
            <w:tcW w:type="dxa" w:w="150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10%</w:t>
            </w:r>
          </w:p>
        </w:tc>
        <w:tc>
          <w:tcPr>
            <w:tcW w:type="dxa" w:w="1680"/>
            <w:tcBorders>
              <w:top w:val="single" w:color="CFCFCF" w:sz="2"/>
              <w:left w:val="single" w:color="CFCFCF" w:sz="2"/>
              <w:bottom w:val="single" w:color="CFCFCF" w:sz="2"/>
              <w:right w:val="single" w:color="CFCFCF" w:sz="2"/>
            </w:tcBorders>
            <w:shd w:fill="F4F4F4" w:val="clear"/>
            <w:tcMar>
              <w:top w:type="dxa" w:w="80"/>
              <w:left w:type="dxa" w:w="120"/>
              <w:bottom w:type="dxa" w:w="80"/>
              <w:right w:type="dxa" w:w="120"/>
            </w:tcMar>
            <w:vAlign w:val="center"/>
          </w:tcPr>
          <w:p>
            <w:r>
              <w:rPr>
                <w:sz w:val="19"/>
                <w:szCs w:val="19"/>
              </w:rPr>
              <w:t xml:space="preserve">$4,400</w:t>
            </w:r>
          </w:p>
        </w:tc>
      </w:tr>
    </w:tbl>
    <w:p>
      <w:pPr>
        <w:pStyle w:val="Heading1"/>
      </w:pPr>
      <w:r>
        <w:t xml:space="preserve">8. Why [Your Agency Name]</w:t>
      </w:r>
    </w:p>
    <w:p>
      <w:pPr>
        <w:pStyle w:val="ListParagraph"/>
        <w:numPr>
          <w:ilvl w:val="0"/>
          <w:numId w:val="2"/>
        </w:numPr>
        <w:spacing w:after="90" w:line="270"/>
      </w:pPr>
      <w:r>
        <w:rPr>
          <w:b w:val="false"/>
          <w:bCs w:val="false"/>
          <w:color w:val="3F3F3F"/>
          <w:sz w:val="21"/>
          <w:szCs w:val="21"/>
        </w:rPr>
        <w:t xml:space="preserve">We scope telehealth builds around the clinician and operations workflows first, because that's where compliance risk and rework actually live — not as an afterthought to the patient app.</w:t>
      </w:r>
    </w:p>
    <w:p>
      <w:pPr>
        <w:pStyle w:val="ListParagraph"/>
        <w:numPr>
          <w:ilvl w:val="0"/>
          <w:numId w:val="2"/>
        </w:numPr>
        <w:spacing w:after="90" w:line="270"/>
      </w:pPr>
      <w:r>
        <w:rPr>
          <w:b w:val="false"/>
          <w:bCs w:val="false"/>
          <w:color w:val="3F3F3F"/>
          <w:sz w:val="21"/>
          <w:szCs w:val="21"/>
        </w:rPr>
        <w:t xml:space="preserve">Fixed-price V1, transparent estimate ranges for V2/V3 — no surprise change orders for the scope defined in the attached PRD.</w:t>
      </w:r>
    </w:p>
    <w:p>
      <w:pPr>
        <w:pStyle w:val="ListParagraph"/>
        <w:numPr>
          <w:ilvl w:val="0"/>
          <w:numId w:val="2"/>
        </w:numPr>
        <w:spacing w:after="90" w:line="270"/>
      </w:pPr>
      <w:r>
        <w:rPr>
          <w:b w:val="false"/>
          <w:bCs w:val="false"/>
          <w:color w:val="3F3F3F"/>
          <w:sz w:val="21"/>
          <w:szCs w:val="21"/>
        </w:rPr>
        <w:t xml:space="preserve">Architecture built to extend into insurance billing, EHR interoperability, and white-label use from V1, without a rebuild.</w:t>
      </w:r>
    </w:p>
    <w:p>
      <w:pPr>
        <w:pStyle w:val="Heading1"/>
      </w:pPr>
      <w:r>
        <w:t xml:space="preserve">9. Next Steps</w:t>
      </w:r>
    </w:p>
    <w:p>
      <w:pPr>
        <w:pStyle w:val="ListParagraph"/>
        <w:numPr>
          <w:ilvl w:val="0"/>
          <w:numId w:val="3"/>
        </w:numPr>
        <w:spacing w:after="90" w:line="270"/>
      </w:pPr>
      <w:r>
        <w:rPr>
          <w:b w:val="false"/>
          <w:bCs w:val="false"/>
          <w:color w:val="3F3F3F"/>
          <w:sz w:val="21"/>
          <w:szCs w:val="21"/>
        </w:rPr>
        <w:t xml:space="preserve">Review this proposal alongside the Product Requirements Document and Scope of Work.</w:t>
      </w:r>
    </w:p>
    <w:p>
      <w:pPr>
        <w:pStyle w:val="ListParagraph"/>
        <w:numPr>
          <w:ilvl w:val="0"/>
          <w:numId w:val="3"/>
        </w:numPr>
        <w:spacing w:after="90" w:line="270"/>
      </w:pPr>
      <w:r>
        <w:rPr>
          <w:b w:val="false"/>
          <w:bCs w:val="false"/>
          <w:color w:val="3F3F3F"/>
          <w:sz w:val="21"/>
          <w:szCs w:val="21"/>
        </w:rPr>
        <w:t xml:space="preserve">Confirm the initial service line(s) and launch state(s) for V1.</w:t>
      </w:r>
    </w:p>
    <w:p>
      <w:pPr>
        <w:pStyle w:val="ListParagraph"/>
        <w:numPr>
          <w:ilvl w:val="0"/>
          <w:numId w:val="3"/>
        </w:numPr>
        <w:spacing w:after="90" w:line="270"/>
      </w:pPr>
      <w:r>
        <w:rPr>
          <w:b w:val="false"/>
          <w:bCs w:val="false"/>
          <w:color w:val="3F3F3F"/>
          <w:sz w:val="21"/>
          <w:szCs w:val="21"/>
        </w:rPr>
        <w:t xml:space="preserve">Sign the Master Services Agreement and the Scope of Work.</w:t>
      </w:r>
    </w:p>
    <w:p>
      <w:pPr>
        <w:pStyle w:val="ListParagraph"/>
        <w:numPr>
          <w:ilvl w:val="0"/>
          <w:numId w:val="3"/>
        </w:numPr>
        <w:spacing w:after="90" w:line="270"/>
      </w:pPr>
      <w:r>
        <w:rPr>
          <w:b w:val="false"/>
          <w:bCs w:val="false"/>
          <w:color w:val="3F3F3F"/>
          <w:sz w:val="21"/>
          <w:szCs w:val="21"/>
        </w:rPr>
        <w:t xml:space="preserve">Kickoff call scheduled within 5 business days of signing, M1 invoice issued same day.</w:t>
      </w:r>
    </w:p>
    <w:p>
      <w:pPr>
        <w:spacing w:after="0" w:line="280"/>
        <w:jc w:val="left"/>
      </w:pPr>
      <w:r>
        <w:rPr>
          <w:b w:val="false"/>
          <w:bCs w:val="false"/>
          <w:i w:val="false"/>
          <w:iCs w:val="false"/>
          <w:color w:val="3F3F3F"/>
          <w:sz w:val="21"/>
          <w:szCs w:val="21"/>
        </w:rPr>
        <w:t xml:space="preserve">We're happy to walk through any part of this on a call before you sign anything.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3F3F3F"/>
        <w:sz w:val="16"/>
        <w:szCs w:val="16"/>
      </w:rPr>
      <w:t xml:space="preserve">Confidential — Prepared for [Client Company Name]</w:t>
    </w:r>
    <w:r>
      <w:rPr>
        <w:color w:val="3F3F3F"/>
        <w:sz w:val="16"/>
        <w:szCs w:val="16"/>
      </w:rPr>
      <w:t xml:space="preserve">	Page </w:t>
    </w:r>
    <w:r>
      <w:rPr>
        <w:color w:val="3F3F3F"/>
        <w:sz w:val="16"/>
        <w:szCs w:val="16"/>
      </w:rPr>
      <w:fldChar w:fldCharType="begin"/>
      <w:instrText xml:space="preserve">PAGE</w:instrText>
      <w:fldChar w:fldCharType="separate"/>
      <w:fldChar w:fldCharType="end"/>
    </w:r>
    <w:r>
      <w:rPr>
        <w:color w:val="3F3F3F"/>
        <w:sz w:val="16"/>
        <w:szCs w:val="16"/>
      </w:rPr>
      <w:t xml:space="preserve"> of </w:t>
    </w:r>
    <w:r>
      <w:rPr>
        <w:color w:val="3F3F3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tabs>
        <w:tab w:val="right" w:pos="10080"/>
      </w:tabs>
    </w:pPr>
    <w:r>
      <w:rPr>
        <w:color w:val="3F3F3F"/>
        <w:sz w:val="16"/>
        <w:szCs w:val="16"/>
      </w:rPr>
      <w:t xml:space="preserve">[Your Agency Name]</w:t>
    </w:r>
    <w:r>
      <w:rPr>
        <w:color w:val="3F3F3F"/>
        <w:sz w:val="16"/>
        <w:szCs w:val="16"/>
      </w:rPr>
      <w:t xml:space="preserv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9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F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4"/>
      </w:pBdr>
      <w:spacing w:after="200" w:before="360"/>
      <w:outlineLvl w:val="0"/>
    </w:pPr>
    <w:rPr>
      <w:rFonts w:ascii="Arial" w:cs="Arial" w:eastAsia="Arial" w:hAnsi="Arial"/>
      <w:b/>
      <w:bCs/>
      <w:color w:val="1A2B4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2B4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2026-06-16T08:35:14.544Z</dcterms:created>
  <dcterms:modified xsi:type="dcterms:W3CDTF">2026-06-16T08:35:14.544Z</dcterms:modified>
</cp:coreProperties>
</file>

<file path=docProps/custom.xml><?xml version="1.0" encoding="utf-8"?>
<Properties xmlns="http://schemas.openxmlformats.org/officeDocument/2006/custom-properties" xmlns:vt="http://schemas.openxmlformats.org/officeDocument/2006/docPropsVTypes"/>
</file>