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jc w:val="center"/>
      </w:pPr>
      <w:r>
        <w:rPr>
          <w:b/>
          <w:bCs/>
          <w:color w:val="0E7C86"/>
          <w:sz w:val="22"/>
          <w:szCs w:val="22"/>
        </w:rPr>
        <w:t xml:space="preserve">OPENLOOP-STYLE TELEMEDICINE PLATFORM</w:t>
      </w:r>
    </w:p>
    <w:p>
      <w:pPr>
        <w:spacing w:after="240"/>
        <w:jc w:val="center"/>
      </w:pPr>
      <w:r>
        <w:rPr>
          <w:b/>
          <w:bCs/>
          <w:color w:val="1A2B4C"/>
          <w:sz w:val="56"/>
          <w:szCs w:val="56"/>
        </w:rPr>
        <w:t xml:space="preserve">Scope of Work</w:t>
      </w:r>
    </w:p>
    <w:p>
      <w:pPr>
        <w:spacing w:after="600"/>
        <w:jc w:val="center"/>
      </w:pPr>
      <w:r>
        <w:rPr>
          <w:color w:val="3F3F3F"/>
          <w:sz w:val="26"/>
          <w:szCs w:val="26"/>
        </w:rPr>
        <w:t xml:space="preserve">Version 1 — Telemedicine Platform Launch MVP</w:t>
      </w:r>
    </w:p>
    <w:p>
      <w:pPr>
        <w:spacing w:after="60"/>
        <w:jc w:val="center"/>
      </w:pPr>
      <w:r>
        <w:rPr>
          <w:color w:val="3F3F3F"/>
          <w:sz w:val="21"/>
          <w:szCs w:val="21"/>
        </w:rPr>
        <w:t xml:space="preserve">Between: [Your Agency Name] (“Service Provider”)</w:t>
      </w:r>
    </w:p>
    <w:p>
      <w:pPr>
        <w:spacing w:after="60"/>
        <w:jc w:val="center"/>
      </w:pPr>
      <w:r>
        <w:rPr>
          <w:color w:val="3F3F3F"/>
          <w:sz w:val="21"/>
          <w:szCs w:val="21"/>
        </w:rPr>
        <w:t xml:space="preserve">And: [Client Company Name] (“Client”)</w:t>
      </w:r>
    </w:p>
    <w:p>
      <w:pPr>
        <w:spacing w:after="60"/>
        <w:jc w:val="center"/>
      </w:pPr>
      <w:r>
        <w:rPr>
          <w:color w:val="3F3F3F"/>
          <w:sz w:val="21"/>
          <w:szCs w:val="21"/>
        </w:rPr>
        <w:t xml:space="preserve">Reference: Master Services Agreement dated [Date]</w:t>
      </w:r>
    </w:p>
    <w:p>
      <w:pPr>
        <w:spacing w:after="60"/>
        <w:jc w:val="center"/>
      </w:pPr>
      <w:r>
        <w:rPr>
          <w:color w:val="3F3F3F"/>
          <w:sz w:val="21"/>
          <w:szCs w:val="21"/>
        </w:rPr>
        <w:t xml:space="preserve">SOW No. SOW-001  |  [Date]</w:t>
      </w:r>
    </w:p>
    <w:p>
      <w:r>
        <w:br w:type="page"/>
      </w:r>
    </w:p>
    <w:p>
      <w:pPr>
        <w:pStyle w:val="Heading1"/>
      </w:pPr>
      <w:r>
        <w:t xml:space="preserve">1. Purpose &amp; Reference Documents</w:t>
      </w:r>
    </w:p>
    <w:p>
      <w:pPr>
        <w:spacing w:after="160" w:line="280"/>
        <w:jc w:val="left"/>
      </w:pPr>
      <w:r>
        <w:rPr>
          <w:b w:val="false"/>
          <w:bCs w:val="false"/>
          <w:i w:val="false"/>
          <w:iCs w:val="false"/>
          <w:color w:val="3F3F3F"/>
          <w:sz w:val="21"/>
          <w:szCs w:val="21"/>
        </w:rPr>
        <w:t xml:space="preserve">This Scope of Work (“SOW”) is issued under, and incorporated into, the Master Services Agreement (“MSA”) between [Your Agency Name] and [Client Company Name] dated [Date]. It governs the delivery of Version 1 of the telemedicine platform described in the Product Requirements Document v1.0 (“PRD”), which is incorporated into this SOW by reference. Where this SOW conflicts with the PRD on feature scope, this SOW controls; where it conflicts with the MSA on legal terms, the MSA controls.</w:t>
      </w:r>
    </w:p>
    <w:p>
      <w:pPr>
        <w:pStyle w:val="Heading1"/>
      </w:pPr>
      <w:r>
        <w:t xml:space="preserve">2. Deliverables</w:t>
      </w:r>
    </w:p>
    <w:p>
      <w:pPr>
        <w:spacing w:after="160" w:line="280"/>
        <w:jc w:val="left"/>
      </w:pPr>
      <w:r>
        <w:rPr>
          <w:b w:val="false"/>
          <w:bCs w:val="false"/>
          <w:i w:val="false"/>
          <w:iCs w:val="false"/>
          <w:color w:val="3F3F3F"/>
          <w:sz w:val="21"/>
          <w:szCs w:val="21"/>
        </w:rPr>
        <w:t xml:space="preserve">Service Provider will design, develop, test, and deploy to production the following, as fully specified in the PRD Section 5:</w:t>
      </w:r>
    </w:p>
    <w:p>
      <w:pPr>
        <w:pStyle w:val="ListParagraph"/>
        <w:numPr>
          <w:ilvl w:val="0"/>
          <w:numId w:val="2"/>
        </w:numPr>
        <w:spacing w:after="90" w:line="270"/>
      </w:pPr>
      <w:r>
        <w:rPr>
          <w:b w:val="false"/>
          <w:bCs w:val="false"/>
          <w:color w:val="3F3F3F"/>
          <w:sz w:val="21"/>
          <w:szCs w:val="21"/>
        </w:rPr>
        <w:t xml:space="preserve">Patient App: landing page, account creation &amp; identity verification, HIPAA/telehealth consent capture, condition-specific intake (1–2 service lines), provider matching, sync video visit booking, visit summary &amp; care plan delivery, ePrescription hand-off, Stripe payment, rating prompt.</w:t>
      </w:r>
    </w:p>
    <w:p>
      <w:pPr>
        <w:pStyle w:val="ListParagraph"/>
        <w:numPr>
          <w:ilvl w:val="0"/>
          <w:numId w:val="2"/>
        </w:numPr>
        <w:spacing w:after="90" w:line="270"/>
      </w:pPr>
      <w:r>
        <w:rPr>
          <w:b w:val="false"/>
          <w:bCs w:val="false"/>
          <w:color w:val="3F3F3F"/>
          <w:sz w:val="21"/>
          <w:szCs w:val="21"/>
        </w:rPr>
        <w:t xml:space="preserve">Provider Dashboard: provider onboarding &amp; credential upload, daily visit queue, in-call dashboard with patient chart, SOAP charting with ICD-10/CPT coding, non-controlled-substance eRx, schedule and availability management, earnings/pay-stub view.</w:t>
      </w:r>
    </w:p>
    <w:p>
      <w:pPr>
        <w:pStyle w:val="ListParagraph"/>
        <w:numPr>
          <w:ilvl w:val="0"/>
          <w:numId w:val="2"/>
        </w:numPr>
        <w:spacing w:after="90" w:line="270"/>
      </w:pPr>
      <w:r>
        <w:rPr>
          <w:b w:val="false"/>
          <w:bCs w:val="false"/>
          <w:color w:val="3F3F3F"/>
          <w:sz w:val="21"/>
          <w:szCs w:val="21"/>
        </w:rPr>
        <w:t xml:space="preserve">Admin Console: patient/provider directory, manual provider approval, flagged-case review, operational reporting (visits, revenue, conversion), refund handling, role-based access control.</w:t>
      </w:r>
    </w:p>
    <w:p>
      <w:pPr>
        <w:pStyle w:val="ListParagraph"/>
        <w:numPr>
          <w:ilvl w:val="0"/>
          <w:numId w:val="2"/>
        </w:numPr>
        <w:spacing w:after="90" w:line="270"/>
      </w:pPr>
      <w:r>
        <w:rPr>
          <w:b w:val="false"/>
          <w:bCs w:val="false"/>
          <w:color w:val="3F3F3F"/>
          <w:sz w:val="21"/>
          <w:szCs w:val="21"/>
        </w:rPr>
        <w:t xml:space="preserve">Supporting deliverables: technical architecture document, BAA-eligible infrastructure setup, integration with video, eRx, payments, identity verification, and e-signature vendors named in the PRD (Section 7), staging environment, deployment runbook, and a 2-week post-launch warranty period for defect fixes (Section 9).</w:t>
      </w:r>
    </w:p>
    <w:p>
      <w:pPr>
        <w:pStyle w:val="Heading1"/>
      </w:pPr>
      <w:r>
        <w:t xml:space="preserve">3. Out of Scope</w:t>
      </w:r>
    </w:p>
    <w:p>
      <w:pPr>
        <w:spacing w:after="160" w:line="280"/>
        <w:jc w:val="left"/>
      </w:pPr>
      <w:r>
        <w:rPr>
          <w:b w:val="false"/>
          <w:bCs w:val="false"/>
          <w:i w:val="false"/>
          <w:iCs w:val="false"/>
          <w:color w:val="3F3F3F"/>
          <w:sz w:val="21"/>
          <w:szCs w:val="21"/>
        </w:rPr>
        <w:t xml:space="preserve">The following are explicitly excluded from this SOW and are planned for V2/V3 per the PRD; they may be added only via the Change Request process in Section 7:</w:t>
      </w:r>
    </w:p>
    <w:p>
      <w:pPr>
        <w:pStyle w:val="ListParagraph"/>
        <w:numPr>
          <w:ilvl w:val="0"/>
          <w:numId w:val="2"/>
        </w:numPr>
        <w:spacing w:after="90" w:line="270"/>
      </w:pPr>
      <w:r>
        <w:rPr>
          <w:b w:val="false"/>
          <w:bCs w:val="false"/>
          <w:color w:val="3F3F3F"/>
          <w:sz w:val="21"/>
          <w:szCs w:val="21"/>
        </w:rPr>
        <w:t xml:space="preserve">Insurance eligibility checks, claims submission, or payer billing of any kind.</w:t>
      </w:r>
    </w:p>
    <w:p>
      <w:pPr>
        <w:pStyle w:val="ListParagraph"/>
        <w:numPr>
          <w:ilvl w:val="0"/>
          <w:numId w:val="2"/>
        </w:numPr>
        <w:spacing w:after="90" w:line="270"/>
      </w:pPr>
      <w:r>
        <w:rPr>
          <w:b w:val="false"/>
          <w:bCs w:val="false"/>
          <w:color w:val="3F3F3F"/>
          <w:sz w:val="21"/>
          <w:szCs w:val="21"/>
        </w:rPr>
        <w:t xml:space="preserve">Asynchronous (store-and-forward) visits.</w:t>
      </w:r>
    </w:p>
    <w:p>
      <w:pPr>
        <w:pStyle w:val="ListParagraph"/>
        <w:numPr>
          <w:ilvl w:val="0"/>
          <w:numId w:val="2"/>
        </w:numPr>
        <w:spacing w:after="90" w:line="270"/>
      </w:pPr>
      <w:r>
        <w:rPr>
          <w:b w:val="false"/>
          <w:bCs w:val="false"/>
          <w:color w:val="3F3F3F"/>
          <w:sz w:val="21"/>
          <w:szCs w:val="21"/>
        </w:rPr>
        <w:t xml:space="preserve">Secure in-app messaging beyond visit-bound notes.</w:t>
      </w:r>
    </w:p>
    <w:p>
      <w:pPr>
        <w:pStyle w:val="ListParagraph"/>
        <w:numPr>
          <w:ilvl w:val="0"/>
          <w:numId w:val="2"/>
        </w:numPr>
        <w:spacing w:after="90" w:line="270"/>
      </w:pPr>
      <w:r>
        <w:rPr>
          <w:b w:val="false"/>
          <w:bCs w:val="false"/>
          <w:color w:val="3F3F3F"/>
          <w:sz w:val="21"/>
          <w:szCs w:val="21"/>
        </w:rPr>
        <w:t xml:space="preserve">Native iOS/Android applications (V1 ships as a responsive web app).</w:t>
      </w:r>
    </w:p>
    <w:p>
      <w:pPr>
        <w:pStyle w:val="ListParagraph"/>
        <w:numPr>
          <w:ilvl w:val="0"/>
          <w:numId w:val="2"/>
        </w:numPr>
        <w:spacing w:after="90" w:line="270"/>
      </w:pPr>
      <w:r>
        <w:rPr>
          <w:b w:val="false"/>
          <w:bCs w:val="false"/>
          <w:color w:val="3F3F3F"/>
          <w:sz w:val="21"/>
          <w:szCs w:val="21"/>
        </w:rPr>
        <w:t xml:space="preserve">Controlled-substance e-prescribing / EPCS workflow.</w:t>
      </w:r>
    </w:p>
    <w:p>
      <w:pPr>
        <w:pStyle w:val="ListParagraph"/>
        <w:numPr>
          <w:ilvl w:val="0"/>
          <w:numId w:val="2"/>
        </w:numPr>
        <w:spacing w:after="90" w:line="270"/>
      </w:pPr>
      <w:r>
        <w:rPr>
          <w:b w:val="false"/>
          <w:bCs w:val="false"/>
          <w:color w:val="3F3F3F"/>
          <w:sz w:val="21"/>
          <w:szCs w:val="21"/>
        </w:rPr>
        <w:t xml:space="preserve">Automated background-check or credentialing integrations.</w:t>
      </w:r>
    </w:p>
    <w:p>
      <w:pPr>
        <w:pStyle w:val="ListParagraph"/>
        <w:numPr>
          <w:ilvl w:val="0"/>
          <w:numId w:val="2"/>
        </w:numPr>
        <w:spacing w:after="90" w:line="270"/>
      </w:pPr>
      <w:r>
        <w:rPr>
          <w:b w:val="false"/>
          <w:bCs w:val="false"/>
          <w:color w:val="3F3F3F"/>
          <w:sz w:val="21"/>
          <w:szCs w:val="21"/>
        </w:rPr>
        <w:t xml:space="preserve">EHR interoperability, SOC 2 audit support, and white-label/multi-brand configuration.</w:t>
      </w:r>
    </w:p>
    <w:p>
      <w:pPr>
        <w:pStyle w:val="ListParagraph"/>
        <w:numPr>
          <w:ilvl w:val="0"/>
          <w:numId w:val="2"/>
        </w:numPr>
        <w:spacing w:after="90" w:line="270"/>
      </w:pPr>
      <w:r>
        <w:rPr>
          <w:b w:val="false"/>
          <w:bCs w:val="false"/>
          <w:color w:val="3F3F3F"/>
          <w:sz w:val="21"/>
          <w:szCs w:val="21"/>
        </w:rPr>
        <w:t xml:space="preserve">Recruiting, contracting, payroll, or malpractice insurance for clinicians — Client is the licensed healthcare entity of record and is solely responsible for its clinical network.</w:t>
      </w:r>
    </w:p>
    <w:p>
      <w:pPr>
        <w:pStyle w:val="ListParagraph"/>
        <w:numPr>
          <w:ilvl w:val="0"/>
          <w:numId w:val="2"/>
        </w:numPr>
        <w:spacing w:after="90" w:line="270"/>
      </w:pPr>
      <w:r>
        <w:rPr>
          <w:b w:val="false"/>
          <w:bCs w:val="false"/>
          <w:color w:val="3F3F3F"/>
          <w:sz w:val="21"/>
          <w:szCs w:val="21"/>
        </w:rPr>
        <w:t xml:space="preserve">Paid marketing, content writing, or SEO beyond the structural landing page template.</w:t>
      </w:r>
    </w:p>
    <w:p>
      <w:r>
        <w:br w:type="page"/>
      </w:r>
    </w:p>
    <w:p>
      <w:pPr>
        <w:pStyle w:val="Heading1"/>
      </w:pPr>
      <w:r>
        <w:t xml:space="preserve">4. Milestones, Timeline &amp; Acceptance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00"/>
        <w:gridCol w:w="2880"/>
      </w:tblGrid>
      <w:tr>
        <w:trPr>
          <w:tblHeader/>
        </w:trPr>
        <w:tc>
          <w:tcPr>
            <w:tcW w:type="dxa" w:w="19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Milestone</w:t>
            </w:r>
          </w:p>
        </w:tc>
        <w:tc>
          <w:tcPr>
            <w:tcW w:type="dxa" w:w="13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Target Week</w:t>
            </w:r>
          </w:p>
        </w:tc>
        <w:tc>
          <w:tcPr>
            <w:tcW w:type="dxa" w:w="37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Deliverable</w:t>
            </w:r>
          </w:p>
        </w:tc>
        <w:tc>
          <w:tcPr>
            <w:tcW w:type="dxa" w:w="28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Acceptance Criteria</w:t>
            </w:r>
          </w:p>
        </w:tc>
      </w:tr>
      <w:tr>
        <w:tc>
          <w:tcPr>
            <w:tcW w:type="dxa" w:w="19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M1 — Kickoff</w:t>
            </w:r>
          </w:p>
        </w:tc>
        <w:tc>
          <w:tcPr>
            <w:tcW w:type="dxa" w:w="13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Week 1</w:t>
            </w:r>
          </w:p>
        </w:tc>
        <w:tc>
          <w:tcPr>
            <w:tcW w:type="dxa" w:w="3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Signed SOW, project plan, environment &amp; vendor accounts provisioned.</w:t>
            </w:r>
          </w:p>
        </w:tc>
        <w:tc>
          <w:tcPr>
            <w:tcW w:type="dxa" w:w="28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Kickoff meeting held; access credentials confirmed by both parties.</w:t>
            </w:r>
          </w:p>
        </w:tc>
      </w:tr>
      <w:tr>
        <w:tc>
          <w:tcPr>
            <w:tcW w:type="dxa" w:w="19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M2 — Design Sign-off</w:t>
            </w:r>
          </w:p>
        </w:tc>
        <w:tc>
          <w:tcPr>
            <w:tcW w:type="dxa" w:w="13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Week 5</w:t>
            </w:r>
          </w:p>
        </w:tc>
        <w:tc>
          <w:tcPr>
            <w:tcW w:type="dxa" w:w="3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Approved wireframes &amp; high-fidelity UI for all three portals.</w:t>
            </w:r>
          </w:p>
        </w:tc>
        <w:tc>
          <w:tcPr>
            <w:tcW w:type="dxa" w:w="28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Written design approval from Client within 5 business days of delivery, or deemed approved.</w:t>
            </w:r>
          </w:p>
        </w:tc>
      </w:tr>
      <w:tr>
        <w:tc>
          <w:tcPr>
            <w:tcW w:type="dxa" w:w="19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M3 — UAT Ready</w:t>
            </w:r>
          </w:p>
        </w:tc>
        <w:tc>
          <w:tcPr>
            <w:tcW w:type="dxa" w:w="13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Week 14</w:t>
            </w:r>
          </w:p>
        </w:tc>
        <w:tc>
          <w:tcPr>
            <w:tcW w:type="dxa" w:w="3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Feature-complete build deployed to staging; all PRD Section 5 items present.</w:t>
            </w:r>
          </w:p>
        </w:tc>
        <w:tc>
          <w:tcPr>
            <w:tcW w:type="dxa" w:w="28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Client completes UAT test script within 10 business days; Critical/High defects logged are the only items blocking sign-off.</w:t>
            </w:r>
          </w:p>
        </w:tc>
      </w:tr>
      <w:tr>
        <w:tc>
          <w:tcPr>
            <w:tcW w:type="dxa" w:w="19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M4 — Go-Live</w:t>
            </w:r>
          </w:p>
        </w:tc>
        <w:tc>
          <w:tcPr>
            <w:tcW w:type="dxa" w:w="13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Week 17</w:t>
            </w:r>
          </w:p>
        </w:tc>
        <w:tc>
          <w:tcPr>
            <w:tcW w:type="dxa" w:w="3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Production deployment, knowledge transfer session, handover documentation.</w:t>
            </w:r>
          </w:p>
        </w:tc>
        <w:tc>
          <w:tcPr>
            <w:tcW w:type="dxa" w:w="28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Platform live on production domain; core patient-to-prescription flow verified end-to-end by both parties.</w:t>
            </w:r>
          </w:p>
        </w:tc>
      </w:tr>
    </w:tbl>
    <w:p>
      <w:pPr>
        <w:spacing w:after="160" w:line="280"/>
        <w:jc w:val="left"/>
      </w:pPr>
      <w:r>
        <w:rPr>
          <w:b w:val="false"/>
          <w:bCs w:val="false"/>
          <w:i w:val="false"/>
          <w:iCs w:val="false"/>
          <w:color w:val="3F3F3F"/>
          <w:sz w:val="21"/>
          <w:szCs w:val="21"/>
        </w:rPr>
        <w:t xml:space="preserve">Acceptance is deemed granted if Client does not provide written objection, with specific defects referenced, within the review windows above. Cosmetic/Low-severity defects do not block milestone acceptance and are scheduled into the post-launch warranty period.</w:t>
      </w:r>
    </w:p>
    <w:p>
      <w:pPr>
        <w:pStyle w:val="Heading1"/>
      </w:pPr>
      <w:r>
        <w:t xml:space="preserve">5. Payment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980"/>
      </w:tblGrid>
      <w:tr>
        <w:trPr>
          <w:tblHeader/>
        </w:trPr>
        <w:tc>
          <w:tcPr>
            <w:tcW w:type="dxa" w:w="24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Milestone</w:t>
            </w:r>
          </w:p>
        </w:tc>
        <w:tc>
          <w:tcPr>
            <w:tcW w:type="dxa" w:w="22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 of Fixed Price</w:t>
            </w:r>
          </w:p>
        </w:tc>
        <w:tc>
          <w:tcPr>
            <w:tcW w:type="dxa" w:w="22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Amount (USD)</w:t>
            </w:r>
          </w:p>
        </w:tc>
        <w:tc>
          <w:tcPr>
            <w:tcW w:type="dxa" w:w="29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Due</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M1 — Kickoff</w:t>
            </w:r>
          </w:p>
        </w:tc>
        <w:tc>
          <w:tcPr>
            <w:tcW w:type="dxa" w:w="2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30%</w:t>
            </w:r>
          </w:p>
        </w:tc>
        <w:tc>
          <w:tcPr>
            <w:tcW w:type="dxa" w:w="2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$13,200</w:t>
            </w:r>
          </w:p>
        </w:tc>
        <w:tc>
          <w:tcPr>
            <w:tcW w:type="dxa" w:w="29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Within 5 business days of SOW signature</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M2 — Design Sign-off</w:t>
            </w:r>
          </w:p>
        </w:tc>
        <w:tc>
          <w:tcPr>
            <w:tcW w:type="dxa" w:w="2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30%</w:t>
            </w:r>
          </w:p>
        </w:tc>
        <w:tc>
          <w:tcPr>
            <w:tcW w:type="dxa" w:w="2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$13,200</w:t>
            </w:r>
          </w:p>
        </w:tc>
        <w:tc>
          <w:tcPr>
            <w:tcW w:type="dxa" w:w="29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Within 5 business days of M2 acceptance</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M3 — UAT Ready</w:t>
            </w:r>
          </w:p>
        </w:tc>
        <w:tc>
          <w:tcPr>
            <w:tcW w:type="dxa" w:w="2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30%</w:t>
            </w:r>
          </w:p>
        </w:tc>
        <w:tc>
          <w:tcPr>
            <w:tcW w:type="dxa" w:w="2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$13,200</w:t>
            </w:r>
          </w:p>
        </w:tc>
        <w:tc>
          <w:tcPr>
            <w:tcW w:type="dxa" w:w="29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Within 5 business days of M3 acceptance</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M4 — Go-Live</w:t>
            </w:r>
          </w:p>
        </w:tc>
        <w:tc>
          <w:tcPr>
            <w:tcW w:type="dxa" w:w="2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10%</w:t>
            </w:r>
          </w:p>
        </w:tc>
        <w:tc>
          <w:tcPr>
            <w:tcW w:type="dxa" w:w="2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$4,400</w:t>
            </w:r>
          </w:p>
        </w:tc>
        <w:tc>
          <w:tcPr>
            <w:tcW w:type="dxa" w:w="29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Within 5 business days of M4 acceptance</w:t>
            </w:r>
          </w:p>
        </w:tc>
      </w:tr>
    </w:tbl>
    <w:p>
      <w:pPr>
        <w:spacing w:after="160" w:line="280"/>
        <w:jc w:val="left"/>
      </w:pPr>
      <w:r>
        <w:rPr>
          <w:b w:val="false"/>
          <w:bCs w:val="false"/>
          <w:i w:val="false"/>
          <w:iCs w:val="false"/>
          <w:color w:val="3F3F3F"/>
          <w:sz w:val="21"/>
          <w:szCs w:val="21"/>
        </w:rPr>
        <w:t xml:space="preserve">Total fixed price: $44,000 USD, exclusive of applicable taxes. Late payments beyond 15 days of the invoice due date may pause development at Service Provider's discretion, per the MSA.</w:t>
      </w:r>
    </w:p>
    <w:p>
      <w:pPr>
        <w:pStyle w:val="Heading1"/>
      </w:pPr>
      <w:r>
        <w:t xml:space="preserve">6. Roles &amp; Responsibilities</w:t>
      </w:r>
    </w:p>
    <w:p>
      <w:pPr>
        <w:pStyle w:val="Heading2"/>
      </w:pPr>
      <w:r>
        <w:t xml:space="preserve">6.1 Service Provider Will:</w:t>
      </w:r>
    </w:p>
    <w:p>
      <w:pPr>
        <w:pStyle w:val="ListParagraph"/>
        <w:numPr>
          <w:ilvl w:val="0"/>
          <w:numId w:val="2"/>
        </w:numPr>
        <w:spacing w:after="90" w:line="270"/>
      </w:pPr>
      <w:r>
        <w:rPr>
          <w:b w:val="false"/>
          <w:bCs w:val="false"/>
          <w:color w:val="3F3F3F"/>
          <w:sz w:val="21"/>
          <w:szCs w:val="21"/>
        </w:rPr>
        <w:t xml:space="preserve">Deliver the items in Section 2 per the timeline in Section 4, staffed per the team plan in the Proposal.</w:t>
      </w:r>
    </w:p>
    <w:p>
      <w:pPr>
        <w:pStyle w:val="ListParagraph"/>
        <w:numPr>
          <w:ilvl w:val="0"/>
          <w:numId w:val="2"/>
        </w:numPr>
        <w:spacing w:after="90" w:line="270"/>
      </w:pPr>
      <w:r>
        <w:rPr>
          <w:b w:val="false"/>
          <w:bCs w:val="false"/>
          <w:color w:val="3F3F3F"/>
          <w:sz w:val="21"/>
          <w:szCs w:val="21"/>
        </w:rPr>
        <w:t xml:space="preserve">Maintain a staging environment and provide weekly progress demos.</w:t>
      </w:r>
    </w:p>
    <w:p>
      <w:pPr>
        <w:pStyle w:val="ListParagraph"/>
        <w:numPr>
          <w:ilvl w:val="0"/>
          <w:numId w:val="2"/>
        </w:numPr>
        <w:spacing w:after="90" w:line="270"/>
      </w:pPr>
      <w:r>
        <w:rPr>
          <w:b w:val="false"/>
          <w:bCs w:val="false"/>
          <w:color w:val="3F3F3F"/>
          <w:sz w:val="21"/>
          <w:szCs w:val="21"/>
        </w:rPr>
        <w:t xml:space="preserve">Flag risks, blockers, and scope questions within 2 business days of identifying them.</w:t>
      </w:r>
    </w:p>
    <w:p>
      <w:pPr>
        <w:pStyle w:val="Heading2"/>
      </w:pPr>
      <w:r>
        <w:t xml:space="preserve">6.2 Client Will:</w:t>
      </w:r>
    </w:p>
    <w:p>
      <w:pPr>
        <w:pStyle w:val="ListParagraph"/>
        <w:numPr>
          <w:ilvl w:val="0"/>
          <w:numId w:val="2"/>
        </w:numPr>
        <w:spacing w:after="90" w:line="270"/>
      </w:pPr>
      <w:r>
        <w:rPr>
          <w:b w:val="false"/>
          <w:bCs w:val="false"/>
          <w:color w:val="3F3F3F"/>
          <w:sz w:val="21"/>
          <w:szCs w:val="21"/>
        </w:rPr>
        <w:t xml:space="preserve">Execute Business Associate Agreements (BAAs) directly with all PHI-touching vendors (hosting, video, eRx) before development of the corresponding module begins — this is a hard dependency called out in the PRD risk register.</w:t>
      </w:r>
    </w:p>
    <w:p>
      <w:pPr>
        <w:pStyle w:val="ListParagraph"/>
        <w:numPr>
          <w:ilvl w:val="0"/>
          <w:numId w:val="2"/>
        </w:numPr>
        <w:spacing w:after="90" w:line="270"/>
      </w:pPr>
      <w:r>
        <w:rPr>
          <w:b w:val="false"/>
          <w:bCs w:val="false"/>
          <w:color w:val="3F3F3F"/>
          <w:sz w:val="21"/>
          <w:szCs w:val="21"/>
        </w:rPr>
        <w:t xml:space="preserve">Provide timely access to any vendor accounts Client elects to own directly (e.g., its own Stripe, DoseSpot, or hosting account).</w:t>
      </w:r>
    </w:p>
    <w:p>
      <w:pPr>
        <w:pStyle w:val="ListParagraph"/>
        <w:numPr>
          <w:ilvl w:val="0"/>
          <w:numId w:val="2"/>
        </w:numPr>
        <w:spacing w:after="90" w:line="270"/>
      </w:pPr>
      <w:r>
        <w:rPr>
          <w:b w:val="false"/>
          <w:bCs w:val="false"/>
          <w:color w:val="3F3F3F"/>
          <w:sz w:val="21"/>
          <w:szCs w:val="21"/>
        </w:rPr>
        <w:t xml:space="preserve">Supply brand assets (logo, colors, copy for the marketing landing page) by the end of Week 2.</w:t>
      </w:r>
    </w:p>
    <w:p>
      <w:pPr>
        <w:pStyle w:val="ListParagraph"/>
        <w:numPr>
          <w:ilvl w:val="0"/>
          <w:numId w:val="2"/>
        </w:numPr>
        <w:spacing w:after="90" w:line="270"/>
      </w:pPr>
      <w:r>
        <w:rPr>
          <w:b w:val="false"/>
          <w:bCs w:val="false"/>
          <w:color w:val="3F3F3F"/>
          <w:sz w:val="21"/>
          <w:szCs w:val="21"/>
        </w:rPr>
        <w:t xml:space="preserve">Provide the actual licensed clinicians, their credentials, and confirm the initial service line(s) and launch state(s) by the end of Week 1.</w:t>
      </w:r>
    </w:p>
    <w:p>
      <w:pPr>
        <w:pStyle w:val="ListParagraph"/>
        <w:numPr>
          <w:ilvl w:val="0"/>
          <w:numId w:val="2"/>
        </w:numPr>
        <w:spacing w:after="90" w:line="270"/>
      </w:pPr>
      <w:r>
        <w:rPr>
          <w:b w:val="false"/>
          <w:bCs w:val="false"/>
          <w:color w:val="3F3F3F"/>
          <w:sz w:val="21"/>
          <w:szCs w:val="21"/>
        </w:rPr>
        <w:t xml:space="preserve">Review and respond to milestone deliverables within the windows specified in Section 4.</w:t>
      </w:r>
    </w:p>
    <w:p>
      <w:pPr>
        <w:pStyle w:val="ListParagraph"/>
        <w:numPr>
          <w:ilvl w:val="0"/>
          <w:numId w:val="2"/>
        </w:numPr>
        <w:spacing w:after="90" w:line="270"/>
      </w:pPr>
      <w:r>
        <w:rPr>
          <w:b w:val="false"/>
          <w:bCs w:val="false"/>
          <w:color w:val="3F3F3F"/>
          <w:sz w:val="21"/>
          <w:szCs w:val="21"/>
        </w:rPr>
        <w:t xml:space="preserve">Designate one single point of contact authorized to approve milestones and change requests.</w:t>
      </w:r>
    </w:p>
    <w:p>
      <w:pPr>
        <w:pStyle w:val="Heading1"/>
      </w:pPr>
      <w:r>
        <w:t xml:space="preserve">7. Change Request Process</w:t>
      </w:r>
    </w:p>
    <w:p>
      <w:pPr>
        <w:pStyle w:val="ListParagraph"/>
        <w:numPr>
          <w:ilvl w:val="0"/>
          <w:numId w:val="3"/>
        </w:numPr>
        <w:spacing w:after="90" w:line="270"/>
      </w:pPr>
      <w:r>
        <w:rPr>
          <w:b w:val="false"/>
          <w:bCs w:val="false"/>
          <w:color w:val="3F3F3F"/>
          <w:sz w:val="21"/>
          <w:szCs w:val="21"/>
        </w:rPr>
        <w:t xml:space="preserve">Either party may submit a written change request describing the desired change and rationale.</w:t>
      </w:r>
    </w:p>
    <w:p>
      <w:pPr>
        <w:pStyle w:val="ListParagraph"/>
        <w:numPr>
          <w:ilvl w:val="0"/>
          <w:numId w:val="3"/>
        </w:numPr>
        <w:spacing w:after="90" w:line="270"/>
      </w:pPr>
      <w:r>
        <w:rPr>
          <w:b w:val="false"/>
          <w:bCs w:val="false"/>
          <w:color w:val="3F3F3F"/>
          <w:sz w:val="21"/>
          <w:szCs w:val="21"/>
        </w:rPr>
        <w:t xml:space="preserve">Service Provider will return a written impact assessment (cost and timeline effect) within 5 business days.</w:t>
      </w:r>
    </w:p>
    <w:p>
      <w:pPr>
        <w:pStyle w:val="ListParagraph"/>
        <w:numPr>
          <w:ilvl w:val="0"/>
          <w:numId w:val="3"/>
        </w:numPr>
        <w:spacing w:after="90" w:line="270"/>
      </w:pPr>
      <w:r>
        <w:rPr>
          <w:b w:val="false"/>
          <w:bCs w:val="false"/>
          <w:color w:val="3F3F3F"/>
          <w:sz w:val="21"/>
          <w:szCs w:val="21"/>
        </w:rPr>
        <w:t xml:space="preserve">No change is implemented, and no new cost or date is binding, until both parties sign the change order.</w:t>
      </w:r>
    </w:p>
    <w:p>
      <w:pPr>
        <w:pStyle w:val="ListParagraph"/>
        <w:numPr>
          <w:ilvl w:val="0"/>
          <w:numId w:val="3"/>
        </w:numPr>
        <w:spacing w:after="90" w:line="270"/>
      </w:pPr>
      <w:r>
        <w:rPr>
          <w:b w:val="false"/>
          <w:bCs w:val="false"/>
          <w:color w:val="3F3F3F"/>
          <w:sz w:val="21"/>
          <w:szCs w:val="21"/>
        </w:rPr>
        <w:t xml:space="preserve">Adding any item listed in Section 3 (“Out of Scope”) is treated as a new change request, not a defect.</w:t>
      </w:r>
    </w:p>
    <w:p>
      <w:pPr>
        <w:pStyle w:val="Heading1"/>
      </w:pPr>
      <w:r>
        <w:t xml:space="preserve">8. Assumptions</w:t>
      </w:r>
    </w:p>
    <w:p>
      <w:pPr>
        <w:pStyle w:val="ListParagraph"/>
        <w:numPr>
          <w:ilvl w:val="0"/>
          <w:numId w:val="2"/>
        </w:numPr>
        <w:spacing w:after="90" w:line="270"/>
      </w:pPr>
      <w:r>
        <w:rPr>
          <w:b w:val="false"/>
          <w:bCs w:val="false"/>
          <w:color w:val="3F3F3F"/>
          <w:sz w:val="21"/>
          <w:szCs w:val="21"/>
        </w:rPr>
        <w:t xml:space="preserve">One round of design revisions per portal is included at M2; additional rounds are billed via change request.</w:t>
      </w:r>
    </w:p>
    <w:p>
      <w:pPr>
        <w:pStyle w:val="ListParagraph"/>
        <w:numPr>
          <w:ilvl w:val="0"/>
          <w:numId w:val="2"/>
        </w:numPr>
        <w:spacing w:after="90" w:line="270"/>
      </w:pPr>
      <w:r>
        <w:rPr>
          <w:b w:val="false"/>
          <w:bCs w:val="false"/>
          <w:color w:val="3F3F3F"/>
          <w:sz w:val="21"/>
          <w:szCs w:val="21"/>
        </w:rPr>
        <w:t xml:space="preserve">Vendor sandbox/production access (Stripe, eRx, video SDK) is available by end of Week 1; delays shift the timeline 1:1.</w:t>
      </w:r>
    </w:p>
    <w:p>
      <w:pPr>
        <w:pStyle w:val="ListParagraph"/>
        <w:numPr>
          <w:ilvl w:val="0"/>
          <w:numId w:val="2"/>
        </w:numPr>
        <w:spacing w:after="90" w:line="270"/>
      </w:pPr>
      <w:r>
        <w:rPr>
          <w:b w:val="false"/>
          <w:bCs w:val="false"/>
          <w:color w:val="3F3F3F"/>
          <w:sz w:val="21"/>
          <w:szCs w:val="21"/>
        </w:rPr>
        <w:t xml:space="preserve">Content (legal consent text, clinical questionnaire content) is reviewed and approved by Client's compliance/clinical advisor — Service Provider implements but does not author clinical or legal content.</w:t>
      </w:r>
    </w:p>
    <w:p>
      <w:pPr>
        <w:pStyle w:val="Heading1"/>
      </w:pPr>
      <w:r>
        <w:t xml:space="preserve">9. Warranty</w:t>
      </w:r>
    </w:p>
    <w:p>
      <w:pPr>
        <w:spacing w:after="160" w:line="280"/>
        <w:jc w:val="left"/>
      </w:pPr>
      <w:r>
        <w:rPr>
          <w:b w:val="false"/>
          <w:bCs w:val="false"/>
          <w:i w:val="false"/>
          <w:iCs w:val="false"/>
          <w:color w:val="3F3F3F"/>
          <w:sz w:val="21"/>
          <w:szCs w:val="21"/>
        </w:rPr>
        <w:t xml:space="preserve">Service Provider will fix, at no additional cost, defects in the delivered V1 scope that are reported in writing within 14 calendar days of the Go-Live date and that reproduce against the accepted UAT test script. New feature requests and defects arising from Client-side changes after go-live are out of warranty and handled via Section 7.</w:t>
      </w:r>
    </w:p>
    <w:p>
      <w:r>
        <w:br w:type="page"/>
      </w:r>
    </w:p>
    <w:p>
      <w:pPr>
        <w:pStyle w:val="Heading1"/>
      </w:pPr>
      <w:r>
        <w:t xml:space="preserve">10. Signatures</w:t>
      </w:r>
    </w:p>
    <w:p>
      <w:pPr>
        <w:spacing w:after="160" w:line="280"/>
        <w:jc w:val="left"/>
      </w:pPr>
      <w:r>
        <w:rPr>
          <w:b w:val="false"/>
          <w:bCs w:val="false"/>
          <w:i w:val="false"/>
          <w:iCs w:val="false"/>
          <w:color w:val="3F3F3F"/>
          <w:sz w:val="21"/>
          <w:szCs w:val="21"/>
        </w:rPr>
        <w:t xml:space="preserve">By signing below, both parties agree this Scope of Work is incorporated into and governed by the Master Services Agreement dated [Date].</w:t>
      </w:r>
    </w:p>
    <w:p>
      <w:pPr>
        <w:spacing w:after="300"/>
      </w:pPr>
      <w:r>
        <w:t xml:space="preserve"/>
      </w:r>
    </w:p>
    <w:p>
      <w:pPr>
        <w:spacing w:after="160" w:line="280"/>
        <w:jc w:val="left"/>
      </w:pPr>
      <w:r>
        <w:rPr>
          <w:b/>
          <w:bCs/>
          <w:color w:val="1A2B4C"/>
          <w:sz w:val="21"/>
          <w:szCs w:val="21"/>
        </w:rPr>
        <w:t xml:space="preserve">For [Your Agency Name]</w:t>
      </w:r>
    </w:p>
    <w:p>
      <w:pPr>
        <w:spacing w:after="500"/>
      </w:pPr>
      <w:r>
        <w:t xml:space="preserve"/>
      </w:r>
    </w:p>
    <w:p>
      <w:pPr>
        <w:spacing w:after="160" w:line="280"/>
        <w:jc w:val="left"/>
      </w:pPr>
      <w:r>
        <w:rPr>
          <w:b w:val="false"/>
          <w:bCs w:val="false"/>
          <w:i w:val="false"/>
          <w:iCs w:val="false"/>
          <w:color w:val="3F3F3F"/>
          <w:sz w:val="21"/>
          <w:szCs w:val="21"/>
        </w:rPr>
        <w:t xml:space="preserve">Name: ___________________________        Title: ___________________________</w:t>
      </w:r>
    </w:p>
    <w:p>
      <w:pPr>
        <w:spacing w:after="160" w:line="280"/>
        <w:jc w:val="left"/>
      </w:pPr>
      <w:r>
        <w:rPr>
          <w:b w:val="false"/>
          <w:bCs w:val="false"/>
          <w:i w:val="false"/>
          <w:iCs w:val="false"/>
          <w:color w:val="3F3F3F"/>
          <w:sz w:val="21"/>
          <w:szCs w:val="21"/>
        </w:rPr>
        <w:t xml:space="preserve">Signature: ___________________________        Date: ___________________________</w:t>
      </w:r>
    </w:p>
    <w:p>
      <w:pPr>
        <w:spacing w:after="400"/>
      </w:pPr>
      <w:r>
        <w:t xml:space="preserve"/>
      </w:r>
    </w:p>
    <w:p>
      <w:pPr>
        <w:spacing w:after="160" w:line="280"/>
        <w:jc w:val="left"/>
      </w:pPr>
      <w:r>
        <w:rPr>
          <w:b/>
          <w:bCs/>
          <w:color w:val="1A2B4C"/>
          <w:sz w:val="21"/>
          <w:szCs w:val="21"/>
        </w:rPr>
        <w:t xml:space="preserve">For [Client Company Name]</w:t>
      </w:r>
    </w:p>
    <w:p>
      <w:pPr>
        <w:spacing w:after="500"/>
      </w:pPr>
      <w:r>
        <w:t xml:space="preserve"/>
      </w:r>
    </w:p>
    <w:p>
      <w:pPr>
        <w:spacing w:after="160" w:line="280"/>
        <w:jc w:val="left"/>
      </w:pPr>
      <w:r>
        <w:rPr>
          <w:b w:val="false"/>
          <w:bCs w:val="false"/>
          <w:i w:val="false"/>
          <w:iCs w:val="false"/>
          <w:color w:val="3F3F3F"/>
          <w:sz w:val="21"/>
          <w:szCs w:val="21"/>
        </w:rPr>
        <w:t xml:space="preserve">Name: ___________________________        Title: ___________________________</w:t>
      </w:r>
    </w:p>
    <w:p>
      <w:pPr>
        <w:spacing w:after="160" w:line="280"/>
        <w:jc w:val="left"/>
      </w:pPr>
      <w:r>
        <w:rPr>
          <w:b w:val="false"/>
          <w:bCs w:val="false"/>
          <w:i w:val="false"/>
          <w:iCs w:val="false"/>
          <w:color w:val="3F3F3F"/>
          <w:sz w:val="21"/>
          <w:szCs w:val="21"/>
        </w:rPr>
        <w:t xml:space="preserve">Signature: ___________________________        Date: 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3F3F3F"/>
        <w:sz w:val="16"/>
        <w:szCs w:val="16"/>
      </w:rPr>
      <w:t xml:space="preserve">Confidential — Prepared for [Client Company Name]</w:t>
    </w:r>
    <w:r>
      <w:rPr>
        <w:color w:val="3F3F3F"/>
        <w:sz w:val="16"/>
        <w:szCs w:val="16"/>
      </w:rPr>
      <w:t xml:space="preserve">	Page </w:t>
    </w:r>
    <w:r>
      <w:rPr>
        <w:color w:val="3F3F3F"/>
        <w:sz w:val="16"/>
        <w:szCs w:val="16"/>
      </w:rPr>
      <w:fldChar w:fldCharType="begin"/>
      <w:instrText xml:space="preserve">PAGE</w:instrText>
      <w:fldChar w:fldCharType="separate"/>
      <w:fldChar w:fldCharType="end"/>
    </w:r>
    <w:r>
      <w:rPr>
        <w:color w:val="3F3F3F"/>
        <w:sz w:val="16"/>
        <w:szCs w:val="16"/>
      </w:rPr>
      <w:t xml:space="preserve"> of </w:t>
    </w:r>
    <w:r>
      <w:rPr>
        <w:color w:val="3F3F3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10080"/>
      </w:tabs>
    </w:pPr>
    <w:r>
      <w:rPr>
        <w:color w:val="3F3F3F"/>
        <w:sz w:val="16"/>
        <w:szCs w:val="16"/>
      </w:rPr>
      <w:t xml:space="preserve">[Your Agency Name]</w:t>
    </w:r>
    <w:r>
      <w:rPr>
        <w:color w:val="3F3F3F"/>
        <w:sz w:val="16"/>
        <w:szCs w:val="16"/>
      </w:rPr>
      <w:t xml:space="preserve">	Scope of Work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9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F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200" w:before="360"/>
      <w:outlineLvl w:val="0"/>
    </w:pPr>
    <w:rPr>
      <w:rFonts w:ascii="Arial" w:cs="Arial" w:eastAsia="Arial" w:hAnsi="Arial"/>
      <w:b/>
      <w:bCs/>
      <w:color w:val="1A2B4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B4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2026-06-16T08:36:01.281Z</dcterms:created>
  <dcterms:modified xsi:type="dcterms:W3CDTF">2026-06-16T08:36:01.281Z</dcterms:modified>
</cp:coreProperties>
</file>

<file path=docProps/custom.xml><?xml version="1.0" encoding="utf-8"?>
<Properties xmlns="http://schemas.openxmlformats.org/officeDocument/2006/custom-properties" xmlns:vt="http://schemas.openxmlformats.org/officeDocument/2006/docPropsVTypes"/>
</file>