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jc w:val="center"/>
      </w:pPr>
      <w:r>
        <w:rPr>
          <w:b/>
          <w:bCs/>
          <w:color w:val="0E7C86"/>
          <w:sz w:val="22"/>
          <w:szCs w:val="22"/>
        </w:rPr>
        <w:t xml:space="preserve">OPENLOOP-STYLE TELEMEDICINE PLATFORM</w:t>
      </w:r>
    </w:p>
    <w:p>
      <w:pPr>
        <w:spacing w:after="240"/>
        <w:jc w:val="center"/>
      </w:pPr>
      <w:r>
        <w:rPr>
          <w:b/>
          <w:bCs/>
          <w:color w:val="1A2B4C"/>
          <w:sz w:val="56"/>
          <w:szCs w:val="56"/>
        </w:rPr>
        <w:t xml:space="preserve">Master Services Agreement</w:t>
      </w:r>
    </w:p>
    <w:p>
      <w:pPr>
        <w:spacing w:after="600"/>
        <w:jc w:val="center"/>
      </w:pPr>
      <w:r>
        <w:rPr>
          <w:color w:val="3F3F3F"/>
          <w:sz w:val="26"/>
          <w:szCs w:val="26"/>
        </w:rPr>
        <w:t xml:space="preserve">Software Development &amp; Delivery — Telemedicine Platform</w:t>
      </w:r>
    </w:p>
    <w:p>
      <w:pPr>
        <w:spacing w:after="60"/>
        <w:jc w:val="center"/>
      </w:pPr>
      <w:r>
        <w:rPr>
          <w:color w:val="3F3F3F"/>
          <w:sz w:val="21"/>
          <w:szCs w:val="21"/>
        </w:rPr>
        <w:t xml:space="preserve">Between [Your Agency Name] and [Client Company Name]</w:t>
      </w:r>
    </w:p>
    <w:p>
      <w:pPr>
        <w:spacing w:after="60"/>
        <w:jc w:val="center"/>
      </w:pPr>
      <w:r>
        <w:rPr>
          <w:color w:val="3F3F3F"/>
          <w:sz w:val="21"/>
          <w:szCs w:val="21"/>
        </w:rPr>
        <w:t xml:space="preserve">Effective Date: [Date]</w:t>
      </w:r>
    </w:p>
    <w:p>
      <w:pPr>
        <w:spacing w:after="60"/>
        <w:jc w:val="center"/>
      </w:pPr>
      <w:r>
        <w:rPr>
          <w:color w:val="3F3F3F"/>
          <w:sz w:val="21"/>
          <w:szCs w:val="21"/>
        </w:rPr>
        <w:t xml:space="preserve">Governing Law: [State/Country to be confirmed with counsel]</w:t>
      </w:r>
    </w:p>
    <w:p>
      <w:r>
        <w:br w:type="page"/>
      </w:r>
    </w:p>
    <w:p>
      <w:pPr>
        <w:pStyle w:val="Heading1"/>
      </w:pPr>
      <w:r>
        <w:t xml:space="preserve">Preamble</w:t>
      </w:r>
    </w:p>
    <w:p>
      <w:pPr>
        <w:spacing w:after="160" w:line="280"/>
        <w:jc w:val="left"/>
      </w:pPr>
      <w:r>
        <w:rPr>
          <w:b w:val="false"/>
          <w:bCs w:val="false"/>
          <w:i w:val="false"/>
          <w:iCs w:val="false"/>
          <w:color w:val="3F3F3F"/>
          <w:sz w:val="21"/>
          <w:szCs w:val="21"/>
        </w:rPr>
        <w:t xml:space="preserve">This Master Services Agreement (“Agreement”) is entered into as of [Date] (“Effective Date”) by and between [Your Agency Name], having its registered office at [Agency Address] (“Service Provider”), and [Client Company Name], having its registered office at [Client Address] (“Client”), each a “Party” and together the “Parties.”</w:t>
      </w:r>
    </w:p>
    <w:p>
      <w:pPr>
        <w:spacing w:after="160" w:line="280"/>
        <w:jc w:val="left"/>
      </w:pPr>
      <w:r>
        <w:rPr>
          <w:b w:val="false"/>
          <w:bCs w:val="false"/>
          <w:i w:val="false"/>
          <w:iCs w:val="false"/>
          <w:color w:val="3F3F3F"/>
          <w:sz w:val="21"/>
          <w:szCs w:val="21"/>
        </w:rPr>
        <w:t xml:space="preserve">WHEREAS, Client wishes to engage Service Provider to design, develop, and deliver a telemedicine software platform, and Service Provider wishes to provide such services, on the terms set out below and in each Scope of Work (“SOW”) executed under this Agreement.</w:t>
      </w:r>
    </w:p>
    <w:p>
      <w:pPr>
        <w:pStyle w:val="Heading1"/>
      </w:pPr>
      <w:r>
        <w:t xml:space="preserve">Article 1 — Definitions</w:t>
      </w:r>
    </w:p>
    <w:p>
      <w:pPr>
        <w:spacing w:after="140" w:line="280"/>
        <w:ind w:left="360"/>
      </w:pPr>
      <w:r>
        <w:rPr>
          <w:b/>
          <w:bCs/>
          <w:color w:val="3F3F3F"/>
          <w:sz w:val="21"/>
          <w:szCs w:val="21"/>
        </w:rPr>
        <w:t xml:space="preserve">1.1  </w:t>
      </w:r>
      <w:r>
        <w:rPr>
          <w:i w:val="false"/>
          <w:iCs w:val="false"/>
          <w:color w:val="3F3F3F"/>
          <w:sz w:val="21"/>
          <w:szCs w:val="21"/>
        </w:rPr>
        <w:t xml:space="preserve">“Services” means the software design, development, testing, deployment, and related professional services described in any SOW executed under this Agreement.</w:t>
      </w:r>
    </w:p>
    <w:p>
      <w:pPr>
        <w:spacing w:after="140" w:line="280"/>
        <w:ind w:left="360"/>
      </w:pPr>
      <w:r>
        <w:rPr>
          <w:b/>
          <w:bCs/>
          <w:color w:val="3F3F3F"/>
          <w:sz w:val="21"/>
          <w:szCs w:val="21"/>
        </w:rPr>
        <w:t xml:space="preserve">1.2  </w:t>
      </w:r>
      <w:r>
        <w:rPr>
          <w:i w:val="false"/>
          <w:iCs w:val="false"/>
          <w:color w:val="3F3F3F"/>
          <w:sz w:val="21"/>
          <w:szCs w:val="21"/>
        </w:rPr>
        <w:t xml:space="preserve">“Deliverables” means the source code, documentation, designs, and other work product Service Provider produces specifically for Client under an SOW.</w:t>
      </w:r>
    </w:p>
    <w:p>
      <w:pPr>
        <w:spacing w:after="140" w:line="280"/>
        <w:ind w:left="360"/>
      </w:pPr>
      <w:r>
        <w:rPr>
          <w:b/>
          <w:bCs/>
          <w:color w:val="3F3F3F"/>
          <w:sz w:val="21"/>
          <w:szCs w:val="21"/>
        </w:rPr>
        <w:t xml:space="preserve">1.3  </w:t>
      </w:r>
      <w:r>
        <w:rPr>
          <w:i w:val="false"/>
          <w:iCs w:val="false"/>
          <w:color w:val="3F3F3F"/>
          <w:sz w:val="21"/>
          <w:szCs w:val="21"/>
        </w:rPr>
        <w:t xml:space="preserve">“SOW” means a Scope of Work document referencing this Agreement, describing specific deliverables, timeline, and fees, signed by both Parties.</w:t>
      </w:r>
    </w:p>
    <w:p>
      <w:pPr>
        <w:spacing w:after="140" w:line="280"/>
        <w:ind w:left="360"/>
      </w:pPr>
      <w:r>
        <w:rPr>
          <w:b/>
          <w:bCs/>
          <w:color w:val="3F3F3F"/>
          <w:sz w:val="21"/>
          <w:szCs w:val="21"/>
        </w:rPr>
        <w:t xml:space="preserve">1.4  </w:t>
      </w:r>
      <w:r>
        <w:rPr>
          <w:i w:val="false"/>
          <w:iCs w:val="false"/>
          <w:color w:val="3F3F3F"/>
          <w:sz w:val="21"/>
          <w:szCs w:val="21"/>
        </w:rPr>
        <w:t xml:space="preserve">“Confidential Information” means non-public information disclosed by either Party that is marked confidential or that a reasonable person would understand to be confidential given its nature and the circumstances of disclosure.</w:t>
      </w:r>
    </w:p>
    <w:p>
      <w:pPr>
        <w:spacing w:after="140" w:line="280"/>
        <w:ind w:left="360"/>
      </w:pPr>
      <w:r>
        <w:rPr>
          <w:b/>
          <w:bCs/>
          <w:color w:val="3F3F3F"/>
          <w:sz w:val="21"/>
          <w:szCs w:val="21"/>
        </w:rPr>
        <w:t xml:space="preserve">1.5  </w:t>
      </w:r>
      <w:r>
        <w:rPr>
          <w:i w:val="false"/>
          <w:iCs w:val="false"/>
          <w:color w:val="3F3F3F"/>
          <w:sz w:val="21"/>
          <w:szCs w:val="21"/>
        </w:rPr>
        <w:t xml:space="preserve">“PHI” means Protected Health Information as defined under the U.S. Health Insurance Portability and Accountability Act of 1996 and its implementing regulations (“HIPAA”).</w:t>
      </w:r>
    </w:p>
    <w:p>
      <w:pPr>
        <w:spacing w:after="140" w:line="280"/>
        <w:ind w:left="360"/>
      </w:pPr>
      <w:r>
        <w:rPr>
          <w:b/>
          <w:bCs/>
          <w:color w:val="3F3F3F"/>
          <w:sz w:val="21"/>
          <w:szCs w:val="21"/>
        </w:rPr>
        <w:t xml:space="preserve">1.6  </w:t>
      </w:r>
      <w:r>
        <w:rPr>
          <w:i w:val="false"/>
          <w:iCs w:val="false"/>
          <w:color w:val="3F3F3F"/>
          <w:sz w:val="21"/>
          <w:szCs w:val="21"/>
        </w:rPr>
        <w:t xml:space="preserve">“BAA” means a Business Associate Agreement as required under HIPAA, to be executed separately as Exhibit B if and when Service Provider's role requires access to PHI.</w:t>
      </w:r>
    </w:p>
    <w:p>
      <w:pPr>
        <w:pStyle w:val="Heading1"/>
      </w:pPr>
      <w:r>
        <w:t xml:space="preserve">Article 2 — Services &amp; Scope of Work</w:t>
      </w:r>
    </w:p>
    <w:p>
      <w:pPr>
        <w:spacing w:after="140" w:line="280"/>
        <w:ind w:left="360"/>
      </w:pPr>
      <w:r>
        <w:rPr>
          <w:b/>
          <w:bCs/>
          <w:color w:val="3F3F3F"/>
          <w:sz w:val="21"/>
          <w:szCs w:val="21"/>
        </w:rPr>
        <w:t xml:space="preserve">2.1  </w:t>
      </w:r>
      <w:r>
        <w:rPr>
          <w:i w:val="false"/>
          <w:iCs w:val="false"/>
          <w:color w:val="3F3F3F"/>
          <w:sz w:val="21"/>
          <w:szCs w:val="21"/>
        </w:rPr>
        <w:t xml:space="preserve">Service Provider will perform the Services described in each SOW. Each SOW, once signed by both Parties, is incorporated into and governed by this Agreement.</w:t>
      </w:r>
    </w:p>
    <w:p>
      <w:pPr>
        <w:spacing w:after="140" w:line="280"/>
        <w:ind w:left="360"/>
      </w:pPr>
      <w:r>
        <w:rPr>
          <w:b/>
          <w:bCs/>
          <w:color w:val="3F3F3F"/>
          <w:sz w:val="21"/>
          <w:szCs w:val="21"/>
        </w:rPr>
        <w:t xml:space="preserve">2.2  </w:t>
      </w:r>
      <w:r>
        <w:rPr>
          <w:i w:val="false"/>
          <w:iCs w:val="false"/>
          <w:color w:val="3F3F3F"/>
          <w:sz w:val="21"/>
          <w:szCs w:val="21"/>
        </w:rPr>
        <w:t xml:space="preserve">In the event of a conflict between this Agreement and an SOW, this Agreement controls on legal/commercial terms (payment, liability, IP, confidentiality) and the SOW controls on technical scope and feature detail.</w:t>
      </w:r>
    </w:p>
    <w:p>
      <w:pPr>
        <w:spacing w:after="140" w:line="280"/>
        <w:ind w:left="360"/>
      </w:pPr>
      <w:r>
        <w:rPr>
          <w:b/>
          <w:bCs/>
          <w:color w:val="3F3F3F"/>
          <w:sz w:val="21"/>
          <w:szCs w:val="21"/>
        </w:rPr>
        <w:t xml:space="preserve">2.3  </w:t>
      </w:r>
      <w:r>
        <w:rPr>
          <w:i w:val="false"/>
          <w:iCs w:val="false"/>
          <w:color w:val="3F3F3F"/>
          <w:sz w:val="21"/>
          <w:szCs w:val="21"/>
        </w:rPr>
        <w:t xml:space="preserve">Either Party may propose changes to an active SOW only through the written change-request process defined in that SOW.</w:t>
      </w:r>
    </w:p>
    <w:p>
      <w:pPr>
        <w:pStyle w:val="Heading1"/>
      </w:pPr>
      <w:r>
        <w:t xml:space="preserve">Article 3 — Term &amp; Termination</w:t>
      </w:r>
    </w:p>
    <w:p>
      <w:pPr>
        <w:spacing w:after="140" w:line="280"/>
        <w:ind w:left="360"/>
      </w:pPr>
      <w:r>
        <w:rPr>
          <w:b/>
          <w:bCs/>
          <w:color w:val="3F3F3F"/>
          <w:sz w:val="21"/>
          <w:szCs w:val="21"/>
        </w:rPr>
        <w:t xml:space="preserve">3.1  </w:t>
      </w:r>
      <w:r>
        <w:rPr>
          <w:i w:val="false"/>
          <w:iCs w:val="false"/>
          <w:color w:val="3F3F3F"/>
          <w:sz w:val="21"/>
          <w:szCs w:val="21"/>
        </w:rPr>
        <w:t xml:space="preserve">This Agreement begins on the Effective Date and continues until all active SOWs are completed or terminated, unless earlier terminated as provided below.</w:t>
      </w:r>
    </w:p>
    <w:p>
      <w:pPr>
        <w:spacing w:after="140" w:line="280"/>
        <w:ind w:left="360"/>
      </w:pPr>
      <w:r>
        <w:rPr>
          <w:b/>
          <w:bCs/>
          <w:color w:val="3F3F3F"/>
          <w:sz w:val="21"/>
          <w:szCs w:val="21"/>
        </w:rPr>
        <w:t xml:space="preserve">3.2  </w:t>
      </w:r>
      <w:r>
        <w:rPr>
          <w:i w:val="false"/>
          <w:iCs w:val="false"/>
          <w:color w:val="3F3F3F"/>
          <w:sz w:val="21"/>
          <w:szCs w:val="21"/>
        </w:rPr>
        <w:t xml:space="preserve">Either Party may terminate an SOW for material breach if the breaching Party fails to cure within 15 days of written notice.</w:t>
      </w:r>
    </w:p>
    <w:p>
      <w:pPr>
        <w:spacing w:after="140" w:line="280"/>
        <w:ind w:left="360"/>
      </w:pPr>
      <w:r>
        <w:rPr>
          <w:b/>
          <w:bCs/>
          <w:color w:val="3F3F3F"/>
          <w:sz w:val="21"/>
          <w:szCs w:val="21"/>
        </w:rPr>
        <w:t xml:space="preserve">3.3  </w:t>
      </w:r>
      <w:r>
        <w:rPr>
          <w:i w:val="false"/>
          <w:iCs w:val="false"/>
          <w:color w:val="3F3F3F"/>
          <w:sz w:val="21"/>
          <w:szCs w:val="21"/>
        </w:rPr>
        <w:t xml:space="preserve">Client may terminate an SOW for convenience on 15 days' written notice, in which case Client pays for all Services performed and non-cancellable costs committed through the effective date of termination.</w:t>
      </w:r>
    </w:p>
    <w:p>
      <w:pPr>
        <w:spacing w:after="140" w:line="280"/>
        <w:ind w:left="360"/>
      </w:pPr>
      <w:r>
        <w:rPr>
          <w:b/>
          <w:bCs/>
          <w:color w:val="3F3F3F"/>
          <w:sz w:val="21"/>
          <w:szCs w:val="21"/>
        </w:rPr>
        <w:t xml:space="preserve">3.4  </w:t>
      </w:r>
      <w:r>
        <w:rPr>
          <w:i w:val="false"/>
          <w:iCs w:val="false"/>
          <w:color w:val="3F3F3F"/>
          <w:sz w:val="21"/>
          <w:szCs w:val="21"/>
        </w:rPr>
        <w:t xml:space="preserve">Upon termination, Service Provider will deliver all completed and in-progress Deliverables for which payment has been made, and the Parties' confidentiality, IP, and payment obligations survive termination.</w:t>
      </w:r>
    </w:p>
    <w:p>
      <w:pPr>
        <w:pStyle w:val="Heading1"/>
      </w:pPr>
      <w:r>
        <w:t xml:space="preserve">Article 4 — Fees, Invoicing &amp; Taxes</w:t>
      </w:r>
    </w:p>
    <w:p>
      <w:pPr>
        <w:spacing w:after="140" w:line="280"/>
        <w:ind w:left="360"/>
      </w:pPr>
      <w:r>
        <w:rPr>
          <w:b/>
          <w:bCs/>
          <w:color w:val="3F3F3F"/>
          <w:sz w:val="21"/>
          <w:szCs w:val="21"/>
        </w:rPr>
        <w:t xml:space="preserve">4.1  </w:t>
      </w:r>
      <w:r>
        <w:rPr>
          <w:i w:val="false"/>
          <w:iCs w:val="false"/>
          <w:color w:val="3F3F3F"/>
          <w:sz w:val="21"/>
          <w:szCs w:val="21"/>
        </w:rPr>
        <w:t xml:space="preserve">Fees for each SOW are as set out in that SOW's payment schedule. Unless otherwise stated, fees are quoted exclusive of applicable taxes.</w:t>
      </w:r>
    </w:p>
    <w:p>
      <w:pPr>
        <w:spacing w:after="140" w:line="280"/>
        <w:ind w:left="360"/>
      </w:pPr>
      <w:r>
        <w:rPr>
          <w:b/>
          <w:bCs/>
          <w:color w:val="3F3F3F"/>
          <w:sz w:val="21"/>
          <w:szCs w:val="21"/>
        </w:rPr>
        <w:t xml:space="preserve">4.2  </w:t>
      </w:r>
      <w:r>
        <w:rPr>
          <w:i w:val="false"/>
          <w:iCs w:val="false"/>
          <w:color w:val="3F3F3F"/>
          <w:sz w:val="21"/>
          <w:szCs w:val="21"/>
        </w:rPr>
        <w:t xml:space="preserve">Invoices are payable within 5 business days of issuance unless the applicable SOW states otherwise. Amounts unpaid more than 15 days past due may accrue interest at 1.5% per month or the maximum permitted by law, whichever is lower, and Service Provider may suspend Services until payment is current.</w:t>
      </w:r>
    </w:p>
    <w:p>
      <w:pPr>
        <w:spacing w:after="140" w:line="280"/>
        <w:ind w:left="360"/>
      </w:pPr>
      <w:r>
        <w:rPr>
          <w:b/>
          <w:bCs/>
          <w:color w:val="3F3F3F"/>
          <w:sz w:val="21"/>
          <w:szCs w:val="21"/>
        </w:rPr>
        <w:t xml:space="preserve">4.3  </w:t>
      </w:r>
      <w:r>
        <w:rPr>
          <w:i w:val="false"/>
          <w:iCs w:val="false"/>
          <w:color w:val="3F3F3F"/>
          <w:sz w:val="21"/>
          <w:szCs w:val="21"/>
        </w:rPr>
        <w:t xml:space="preserve">Goods and Services Tax (GST) at the applicable rate (currently 18% under Indian law, or as otherwise applicable) will be added to invoices where required by law and shown separately on each tax invoice. If Services qualify as a zero-rated export of services under applicable GST rules, Service Provider will issue invoices accordingly upon Client furnishing the documentation such treatment requires; each Party should confirm the correct tax treatment with its own advisors.</w:t>
      </w:r>
    </w:p>
    <w:p>
      <w:pPr>
        <w:spacing w:after="140" w:line="280"/>
        <w:ind w:left="360"/>
      </w:pPr>
      <w:r>
        <w:rPr>
          <w:b/>
          <w:bCs/>
          <w:color w:val="3F3F3F"/>
          <w:sz w:val="21"/>
          <w:szCs w:val="21"/>
        </w:rPr>
        <w:t xml:space="preserve">4.4  </w:t>
      </w:r>
      <w:r>
        <w:rPr>
          <w:i w:val="false"/>
          <w:iCs w:val="false"/>
          <w:color w:val="3F3F3F"/>
          <w:sz w:val="21"/>
          <w:szCs w:val="21"/>
        </w:rPr>
        <w:t xml:space="preserve">Client is responsible for all third-party/vendor costs named in the applicable SOW or Proposal (e.g., hosting, video, eRx, payment processing fees) which are billed directly to Client by those vendors unless explicitly included in the SOW's fixed price.</w:t>
      </w:r>
    </w:p>
    <w:p>
      <w:pPr>
        <w:pStyle w:val="Heading1"/>
      </w:pPr>
      <w:r>
        <w:t xml:space="preserve">Article 5 — Intellectual Property</w:t>
      </w:r>
    </w:p>
    <w:p>
      <w:pPr>
        <w:spacing w:after="140" w:line="280"/>
        <w:ind w:left="360"/>
      </w:pPr>
      <w:r>
        <w:rPr>
          <w:b/>
          <w:bCs/>
          <w:color w:val="3F3F3F"/>
          <w:sz w:val="21"/>
          <w:szCs w:val="21"/>
        </w:rPr>
        <w:t xml:space="preserve">5.1  </w:t>
      </w:r>
      <w:r>
        <w:rPr>
          <w:i w:val="false"/>
          <w:iCs w:val="false"/>
          <w:color w:val="3F3F3F"/>
          <w:sz w:val="21"/>
          <w:szCs w:val="21"/>
        </w:rPr>
        <w:t xml:space="preserve">Upon full payment of all fees due for an SOW, Service Provider assigns to Client all right, title, and interest in the Deliverables created specifically for Client under that SOW, excluding Background IP.</w:t>
      </w:r>
    </w:p>
    <w:p>
      <w:pPr>
        <w:spacing w:after="140" w:line="280"/>
        <w:ind w:left="360"/>
      </w:pPr>
      <w:r>
        <w:rPr>
          <w:b/>
          <w:bCs/>
          <w:color w:val="3F3F3F"/>
          <w:sz w:val="21"/>
          <w:szCs w:val="21"/>
        </w:rPr>
        <w:t xml:space="preserve">5.2  </w:t>
      </w:r>
      <w:r>
        <w:rPr>
          <w:i w:val="false"/>
          <w:iCs w:val="false"/>
          <w:color w:val="3F3F3F"/>
          <w:sz w:val="21"/>
          <w:szCs w:val="21"/>
        </w:rPr>
        <w:t xml:space="preserve">“Background IP” means tools, libraries, frameworks, templates, and know-how owned or licensed by Service Provider prior to or independent of the engagement, including any generic, reusable components not specific to Client's business. Service Provider grants Client a perpetual, royalty-free license to use any Background IP embedded in the Deliverables solely as part of the Deliverables.</w:t>
      </w:r>
    </w:p>
    <w:p>
      <w:pPr>
        <w:spacing w:after="140" w:line="280"/>
        <w:ind w:left="360"/>
      </w:pPr>
      <w:r>
        <w:rPr>
          <w:b/>
          <w:bCs/>
          <w:color w:val="3F3F3F"/>
          <w:sz w:val="21"/>
          <w:szCs w:val="21"/>
        </w:rPr>
        <w:t xml:space="preserve">5.3  </w:t>
      </w:r>
      <w:r>
        <w:rPr>
          <w:i w:val="false"/>
          <w:iCs w:val="false"/>
          <w:color w:val="3F3F3F"/>
          <w:sz w:val="21"/>
          <w:szCs w:val="21"/>
        </w:rPr>
        <w:t xml:space="preserve">Client retains ownership of all data it provides, including patient and provider data generated through use of the platform. Service Provider claims no ownership over Client's business data.</w:t>
      </w:r>
    </w:p>
    <w:p>
      <w:pPr>
        <w:spacing w:after="140" w:line="280"/>
        <w:ind w:left="360"/>
      </w:pPr>
      <w:r>
        <w:rPr>
          <w:b/>
          <w:bCs/>
          <w:color w:val="3F3F3F"/>
          <w:sz w:val="21"/>
          <w:szCs w:val="21"/>
        </w:rPr>
        <w:t xml:space="preserve">5.4  </w:t>
      </w:r>
      <w:r>
        <w:rPr>
          <w:i w:val="false"/>
          <w:iCs w:val="false"/>
          <w:color w:val="3F3F3F"/>
          <w:sz w:val="21"/>
          <w:szCs w:val="21"/>
        </w:rPr>
        <w:t xml:space="preserve">Service Provider may reference the engagement (name, logo, and a general description of the project) in its own portfolio and marketing materials, unless Client objects in writing, but will not disclose Confidential Information or any patient/clinical data in doing so.</w:t>
      </w:r>
    </w:p>
    <w:p>
      <w:pPr>
        <w:pStyle w:val="Heading1"/>
      </w:pPr>
      <w:r>
        <w:t xml:space="preserve">Article 6 — Confidentiality</w:t>
      </w:r>
    </w:p>
    <w:p>
      <w:pPr>
        <w:spacing w:after="140" w:line="280"/>
        <w:ind w:left="360"/>
      </w:pPr>
      <w:r>
        <w:rPr>
          <w:b/>
          <w:bCs/>
          <w:color w:val="3F3F3F"/>
          <w:sz w:val="21"/>
          <w:szCs w:val="21"/>
        </w:rPr>
        <w:t xml:space="preserve">6.1  </w:t>
      </w:r>
      <w:r>
        <w:rPr>
          <w:i w:val="false"/>
          <w:iCs w:val="false"/>
          <w:color w:val="3F3F3F"/>
          <w:sz w:val="21"/>
          <w:szCs w:val="21"/>
        </w:rPr>
        <w:t xml:space="preserve">Each Party will protect the other's Confidential Information with at least the same degree of care it uses for its own confidential information, and not less than reasonable care, and will use it only to perform under this Agreement.</w:t>
      </w:r>
    </w:p>
    <w:p>
      <w:pPr>
        <w:spacing w:after="140" w:line="280"/>
        <w:ind w:left="360"/>
      </w:pPr>
      <w:r>
        <w:rPr>
          <w:b/>
          <w:bCs/>
          <w:color w:val="3F3F3F"/>
          <w:sz w:val="21"/>
          <w:szCs w:val="21"/>
        </w:rPr>
        <w:t xml:space="preserve">6.2  </w:t>
      </w:r>
      <w:r>
        <w:rPr>
          <w:i w:val="false"/>
          <w:iCs w:val="false"/>
          <w:color w:val="3F3F3F"/>
          <w:sz w:val="21"/>
          <w:szCs w:val="21"/>
        </w:rPr>
        <w:t xml:space="preserve">These obligations do not apply to information that is or becomes public through no fault of the receiving Party, was already known to the receiving Party without restriction, or is independently developed without use of the disclosing Party's Confidential Information.</w:t>
      </w:r>
    </w:p>
    <w:p>
      <w:pPr>
        <w:spacing w:after="140" w:line="280"/>
        <w:ind w:left="360"/>
      </w:pPr>
      <w:r>
        <w:rPr>
          <w:b/>
          <w:bCs/>
          <w:color w:val="3F3F3F"/>
          <w:sz w:val="21"/>
          <w:szCs w:val="21"/>
        </w:rPr>
        <w:t xml:space="preserve">6.3  </w:t>
      </w:r>
      <w:r>
        <w:rPr>
          <w:i w:val="false"/>
          <w:iCs w:val="false"/>
          <w:color w:val="3F3F3F"/>
          <w:sz w:val="21"/>
          <w:szCs w:val="21"/>
        </w:rPr>
        <w:t xml:space="preserve">Confidentiality obligations survive termination of this Agreement for 3 years, except for trade secrets and PHI-related obligations, which survive for as long as the information retains its protected status.</w:t>
      </w:r>
    </w:p>
    <w:p>
      <w:r>
        <w:br w:type="page"/>
      </w:r>
    </w:p>
    <w:p>
      <w:pPr>
        <w:pStyle w:val="Heading1"/>
      </w:pPr>
      <w:r>
        <w:t xml:space="preserve">Article 7 — Data Protection, PHI &amp; HIPAA</w:t>
      </w:r>
    </w:p>
    <w:p>
      <w:pPr>
        <w:spacing w:after="140" w:line="280"/>
        <w:ind w:left="360"/>
      </w:pPr>
      <w:r>
        <w:rPr>
          <w:b/>
          <w:bCs/>
          <w:color w:val="3F3F3F"/>
          <w:sz w:val="21"/>
          <w:szCs w:val="21"/>
        </w:rPr>
        <w:t xml:space="preserve">7.1  </w:t>
      </w:r>
      <w:r>
        <w:rPr>
          <w:i w:val="false"/>
          <w:iCs w:val="false"/>
          <w:color w:val="3F3F3F"/>
          <w:sz w:val="21"/>
          <w:szCs w:val="21"/>
        </w:rPr>
        <w:t xml:space="preserve">The Parties intend that, wherever feasible, Service Provider will design, develop, and test the platform using synthetic or de-identified data, so that Service Provider does not create, receive, maintain, or transmit PHI in the ordinary course of performing the Services.</w:t>
      </w:r>
    </w:p>
    <w:p>
      <w:pPr>
        <w:spacing w:after="140" w:line="280"/>
        <w:ind w:left="360"/>
      </w:pPr>
      <w:r>
        <w:rPr>
          <w:b/>
          <w:bCs/>
          <w:color w:val="3F3F3F"/>
          <w:sz w:val="21"/>
          <w:szCs w:val="21"/>
        </w:rPr>
        <w:t xml:space="preserve">7.2  </w:t>
      </w:r>
      <w:r>
        <w:rPr>
          <w:i w:val="false"/>
          <w:iCs w:val="false"/>
          <w:color w:val="3F3F3F"/>
          <w:sz w:val="21"/>
          <w:szCs w:val="21"/>
        </w:rPr>
        <w:t xml:space="preserve">If and to the extent Service Provider's performance of the Services requires access to PHI (for example, during production support or debugging), the Parties will execute a Business Associate Agreement (Exhibit B) before any such access occurs, and Service Provider will comply with the applicable provisions of HIPAA as a business associate for that limited purpose.</w:t>
      </w:r>
    </w:p>
    <w:p>
      <w:pPr>
        <w:spacing w:after="140" w:line="280"/>
        <w:ind w:left="360"/>
      </w:pPr>
      <w:r>
        <w:rPr>
          <w:b/>
          <w:bCs/>
          <w:color w:val="3F3F3F"/>
          <w:sz w:val="21"/>
          <w:szCs w:val="21"/>
        </w:rPr>
        <w:t xml:space="preserve">7.3  </w:t>
      </w:r>
      <w:r>
        <w:rPr>
          <w:i w:val="false"/>
          <w:iCs w:val="false"/>
          <w:color w:val="3F3F3F"/>
          <w:sz w:val="21"/>
          <w:szCs w:val="21"/>
        </w:rPr>
        <w:t xml:space="preserve">Client is solely responsible, as the covered entity, for obtaining all patient consents, maintaining its own HIPAA compliance program, executing BAAs with all third-party vendors it selects (hosting, video, eRx, payment, and identity verification providers), and for the clinical and legal adequacy of all consent forms, intake content, and clinical workflows implemented on the platform.</w:t>
      </w:r>
    </w:p>
    <w:p>
      <w:pPr>
        <w:spacing w:after="140" w:line="280"/>
        <w:ind w:left="360"/>
      </w:pPr>
      <w:r>
        <w:rPr>
          <w:b/>
          <w:bCs/>
          <w:color w:val="3F3F3F"/>
          <w:sz w:val="21"/>
          <w:szCs w:val="21"/>
        </w:rPr>
        <w:t xml:space="preserve">7.4  </w:t>
      </w:r>
      <w:r>
        <w:rPr>
          <w:i w:val="false"/>
          <w:iCs w:val="false"/>
          <w:color w:val="3F3F3F"/>
          <w:sz w:val="21"/>
          <w:szCs w:val="21"/>
        </w:rPr>
        <w:t xml:space="preserve">Service Provider will implement the technical security controls specified in the applicable SOW (encryption in transit and at rest, access logging, role-based access control) but does not provide legal, clinical, or compliance advice, and nothing in this Agreement should be construed as such.</w:t>
      </w:r>
    </w:p>
    <w:p>
      <w:pPr>
        <w:pStyle w:val="Heading1"/>
      </w:pPr>
      <w:r>
        <w:t xml:space="preserve">Article 8 — Representations &amp; Warranties</w:t>
      </w:r>
    </w:p>
    <w:p>
      <w:pPr>
        <w:spacing w:after="140" w:line="280"/>
        <w:ind w:left="360"/>
      </w:pPr>
      <w:r>
        <w:rPr>
          <w:b/>
          <w:bCs/>
          <w:color w:val="3F3F3F"/>
          <w:sz w:val="21"/>
          <w:szCs w:val="21"/>
        </w:rPr>
        <w:t xml:space="preserve">8.1  </w:t>
      </w:r>
      <w:r>
        <w:rPr>
          <w:i w:val="false"/>
          <w:iCs w:val="false"/>
          <w:color w:val="3F3F3F"/>
          <w:sz w:val="21"/>
          <w:szCs w:val="21"/>
        </w:rPr>
        <w:t xml:space="preserve">Service Provider warrants that the Services will be performed in a professional manner consistent with generally accepted industry standards.</w:t>
      </w:r>
    </w:p>
    <w:p>
      <w:pPr>
        <w:spacing w:after="140" w:line="280"/>
        <w:ind w:left="360"/>
      </w:pPr>
      <w:r>
        <w:rPr>
          <w:b/>
          <w:bCs/>
          <w:color w:val="3F3F3F"/>
          <w:sz w:val="21"/>
          <w:szCs w:val="21"/>
        </w:rPr>
        <w:t xml:space="preserve">8.2  </w:t>
      </w:r>
      <w:r>
        <w:rPr>
          <w:i w:val="false"/>
          <w:iCs w:val="false"/>
          <w:color w:val="3F3F3F"/>
          <w:sz w:val="21"/>
          <w:szCs w:val="21"/>
        </w:rPr>
        <w:t xml:space="preserve">Each Party represents it has full authority to enter into this Agreement and that doing so does not conflict with any other agreement to which it is bound.</w:t>
      </w:r>
    </w:p>
    <w:p>
      <w:pPr>
        <w:spacing w:after="140" w:line="280"/>
        <w:ind w:left="360"/>
      </w:pPr>
      <w:r>
        <w:rPr>
          <w:b/>
          <w:bCs/>
          <w:color w:val="3F3F3F"/>
          <w:sz w:val="21"/>
          <w:szCs w:val="21"/>
        </w:rPr>
        <w:t xml:space="preserve">8.3  </w:t>
      </w:r>
      <w:r>
        <w:rPr>
          <w:i w:val="false"/>
          <w:iCs w:val="false"/>
          <w:color w:val="3F3F3F"/>
          <w:sz w:val="21"/>
          <w:szCs w:val="21"/>
        </w:rPr>
        <w:t xml:space="preserve">EXCEPT AS EXPRESSLY STATED IN THIS AGREEMENT, THE DELIVERABLES AND SERVICES ARE PROVIDED “AS IS” WITHOUT WARRANTIES OF ANY KIND, EXPRESS OR IMPLIED, INCLUDING MERCHANTABILITY, FITNESS FOR A PARTICULAR PURPOSE, OR NON-INFRINGEMENT, EXCEPT AS REQUIRED BY APPLICABLE LAW.</w:t>
      </w:r>
    </w:p>
    <w:p>
      <w:pPr>
        <w:pStyle w:val="Heading1"/>
      </w:pPr>
      <w:r>
        <w:t xml:space="preserve">Article 9 — Limitation of Liability</w:t>
      </w:r>
    </w:p>
    <w:p>
      <w:pPr>
        <w:spacing w:after="140" w:line="280"/>
        <w:ind w:left="360"/>
      </w:pPr>
      <w:r>
        <w:rPr>
          <w:b/>
          <w:bCs/>
          <w:color w:val="3F3F3F"/>
          <w:sz w:val="21"/>
          <w:szCs w:val="21"/>
        </w:rPr>
        <w:t xml:space="preserve">9.1  </w:t>
      </w:r>
      <w:r>
        <w:rPr>
          <w:i w:val="false"/>
          <w:iCs w:val="false"/>
          <w:color w:val="3F3F3F"/>
          <w:sz w:val="21"/>
          <w:szCs w:val="21"/>
        </w:rPr>
        <w:t xml:space="preserve">Except for breaches of Article 6 (Confidentiality), Article 7 (PHI/HIPAA), indemnification obligations, or willful misconduct, neither Party's aggregate liability arising out of this Agreement will exceed the total fees paid or payable under the SOW giving rise to the claim in the 6 months preceding the claim.</w:t>
      </w:r>
    </w:p>
    <w:p>
      <w:pPr>
        <w:spacing w:after="140" w:line="280"/>
        <w:ind w:left="360"/>
      </w:pPr>
      <w:r>
        <w:rPr>
          <w:b/>
          <w:bCs/>
          <w:color w:val="3F3F3F"/>
          <w:sz w:val="21"/>
          <w:szCs w:val="21"/>
        </w:rPr>
        <w:t xml:space="preserve">9.2  </w:t>
      </w:r>
      <w:r>
        <w:rPr>
          <w:i w:val="false"/>
          <w:iCs w:val="false"/>
          <w:color w:val="3F3F3F"/>
          <w:sz w:val="21"/>
          <w:szCs w:val="21"/>
        </w:rPr>
        <w:t xml:space="preserve">Neither Party will be liable for indirect, incidental, special, or consequential damages, including lost profits or lost data, even if advised of the possibility of such damages.</w:t>
      </w:r>
    </w:p>
    <w:p>
      <w:pPr>
        <w:spacing w:after="140" w:line="280"/>
        <w:ind w:left="360"/>
      </w:pPr>
      <w:r>
        <w:rPr>
          <w:b/>
          <w:bCs/>
          <w:color w:val="3F3F3F"/>
          <w:sz w:val="21"/>
          <w:szCs w:val="21"/>
        </w:rPr>
        <w:t xml:space="preserve">9.3  </w:t>
      </w:r>
      <w:r>
        <w:rPr>
          <w:i w:val="false"/>
          <w:iCs w:val="false"/>
          <w:color w:val="3F3F3F"/>
          <w:sz w:val="21"/>
          <w:szCs w:val="21"/>
        </w:rPr>
        <w:t xml:space="preserve">Nothing in this Article limits liability that cannot be limited under applicable law, including liability arising from gross negligence, fraud, or willful misconduct.</w:t>
      </w:r>
    </w:p>
    <w:p>
      <w:pPr>
        <w:pStyle w:val="Heading1"/>
      </w:pPr>
      <w:r>
        <w:t xml:space="preserve">Article 10 — Indemnification</w:t>
      </w:r>
    </w:p>
    <w:p>
      <w:pPr>
        <w:spacing w:after="140" w:line="280"/>
        <w:ind w:left="360"/>
      </w:pPr>
      <w:r>
        <w:rPr>
          <w:b/>
          <w:bCs/>
          <w:color w:val="3F3F3F"/>
          <w:sz w:val="21"/>
          <w:szCs w:val="21"/>
        </w:rPr>
        <w:t xml:space="preserve">10.1  </w:t>
      </w:r>
      <w:r>
        <w:rPr>
          <w:i w:val="false"/>
          <w:iCs w:val="false"/>
          <w:color w:val="3F3F3F"/>
          <w:sz w:val="21"/>
          <w:szCs w:val="21"/>
        </w:rPr>
        <w:t xml:space="preserve">Service Provider will indemnify Client against third-party claims that the Deliverables, as delivered and used as intended, infringe a third party's intellectual property rights, except to the extent the claim arises from Client's modifications, combination with non-Service-Provider materials, or use outside the scope of the applicable SOW.</w:t>
      </w:r>
    </w:p>
    <w:p>
      <w:pPr>
        <w:spacing w:after="140" w:line="280"/>
        <w:ind w:left="360"/>
      </w:pPr>
      <w:r>
        <w:rPr>
          <w:b/>
          <w:bCs/>
          <w:color w:val="3F3F3F"/>
          <w:sz w:val="21"/>
          <w:szCs w:val="21"/>
        </w:rPr>
        <w:t xml:space="preserve">10.2  </w:t>
      </w:r>
      <w:r>
        <w:rPr>
          <w:i w:val="false"/>
          <w:iCs w:val="false"/>
          <w:color w:val="3F3F3F"/>
          <w:sz w:val="21"/>
          <w:szCs w:val="21"/>
        </w:rPr>
        <w:t xml:space="preserve">Client will indemnify Service Provider against third-party claims, including patient or regulatory claims, arising from Client's clinical operations, content, consent adequacy, licensure of its clinicians, or use of the platform in a manner inconsistent with applicable healthcare law, except to the extent caused by Service Provider's breach of this Agreement.</w:t>
      </w:r>
    </w:p>
    <w:p>
      <w:pPr>
        <w:pStyle w:val="Heading1"/>
      </w:pPr>
      <w:r>
        <w:t xml:space="preserve">Article 11 — Independent Contractor Relationship</w:t>
      </w:r>
    </w:p>
    <w:p>
      <w:pPr>
        <w:spacing w:after="140" w:line="280"/>
        <w:ind w:left="360"/>
      </w:pPr>
      <w:r>
        <w:rPr>
          <w:b/>
          <w:bCs/>
          <w:color w:val="3F3F3F"/>
          <w:sz w:val="21"/>
          <w:szCs w:val="21"/>
        </w:rPr>
        <w:t xml:space="preserve">11.1  </w:t>
      </w:r>
      <w:r>
        <w:rPr>
          <w:i w:val="false"/>
          <w:iCs w:val="false"/>
          <w:color w:val="3F3F3F"/>
          <w:sz w:val="21"/>
          <w:szCs w:val="21"/>
        </w:rPr>
        <w:t xml:space="preserve">Service Provider is an independent contractor. Nothing in this Agreement creates a partnership, joint venture, or employment relationship between the Parties or between Client and any personnel of Service Provider.</w:t>
      </w:r>
    </w:p>
    <w:p>
      <w:pPr>
        <w:pStyle w:val="Heading1"/>
      </w:pPr>
      <w:r>
        <w:t xml:space="preserve">Article 12 — Insurance</w:t>
      </w:r>
    </w:p>
    <w:p>
      <w:pPr>
        <w:spacing w:after="140" w:line="280"/>
        <w:ind w:left="360"/>
      </w:pPr>
      <w:r>
        <w:rPr>
          <w:b/>
          <w:bCs/>
          <w:color w:val="3F3F3F"/>
          <w:sz w:val="21"/>
          <w:szCs w:val="21"/>
        </w:rPr>
        <w:t xml:space="preserve">12.1  </w:t>
      </w:r>
      <w:r>
        <w:rPr>
          <w:i w:val="false"/>
          <w:iCs w:val="false"/>
          <w:color w:val="3F3F3F"/>
          <w:sz w:val="21"/>
          <w:szCs w:val="21"/>
        </w:rPr>
        <w:t xml:space="preserve">Service Provider will maintain professional liability (errors &amp; omissions) insurance appropriate to the scale of the engagement during the term of this Agreement.</w:t>
      </w:r>
    </w:p>
    <w:p>
      <w:pPr>
        <w:spacing w:after="140" w:line="280"/>
        <w:ind w:left="360"/>
      </w:pPr>
      <w:r>
        <w:rPr>
          <w:b/>
          <w:bCs/>
          <w:color w:val="3F3F3F"/>
          <w:sz w:val="21"/>
          <w:szCs w:val="21"/>
        </w:rPr>
        <w:t xml:space="preserve">12.2  </w:t>
      </w:r>
      <w:r>
        <w:rPr>
          <w:i w:val="false"/>
          <w:iCs w:val="false"/>
          <w:color w:val="3F3F3F"/>
          <w:sz w:val="21"/>
          <w:szCs w:val="21"/>
        </w:rPr>
        <w:t xml:space="preserve">Client will maintain medical malpractice and general liability insurance appropriate to operating a healthcare service, covering its clinicians and clinical operations.</w:t>
      </w:r>
    </w:p>
    <w:p>
      <w:pPr>
        <w:pStyle w:val="Heading1"/>
      </w:pPr>
      <w:r>
        <w:t xml:space="preserve">Article 13 — Force Majeure</w:t>
      </w:r>
    </w:p>
    <w:p>
      <w:pPr>
        <w:spacing w:after="140" w:line="280"/>
        <w:ind w:left="360"/>
      </w:pPr>
      <w:r>
        <w:rPr>
          <w:b/>
          <w:bCs/>
          <w:color w:val="3F3F3F"/>
          <w:sz w:val="21"/>
          <w:szCs w:val="21"/>
        </w:rPr>
        <w:t xml:space="preserve">13.1  </w:t>
      </w:r>
      <w:r>
        <w:rPr>
          <w:i w:val="false"/>
          <w:iCs w:val="false"/>
          <w:color w:val="3F3F3F"/>
          <w:sz w:val="21"/>
          <w:szCs w:val="21"/>
        </w:rPr>
        <w:t xml:space="preserve">Neither Party is liable for delay or failure to perform caused by events beyond its reasonable control, including natural disasters, war, civil unrest, internet or utility outages, or government action, provided the affected Party gives prompt notice and uses reasonable efforts to resume performance.</w:t>
      </w:r>
    </w:p>
    <w:p>
      <w:pPr>
        <w:pStyle w:val="Heading1"/>
      </w:pPr>
      <w:r>
        <w:t xml:space="preserve">Article 14 — Dispute Resolution &amp; Governing Law</w:t>
      </w:r>
    </w:p>
    <w:p>
      <w:pPr>
        <w:spacing w:after="140" w:line="280"/>
        <w:ind w:left="360"/>
      </w:pPr>
      <w:r>
        <w:rPr>
          <w:b/>
          <w:bCs/>
          <w:color w:val="3F3F3F"/>
          <w:sz w:val="21"/>
          <w:szCs w:val="21"/>
        </w:rPr>
        <w:t xml:space="preserve">14.1  </w:t>
      </w:r>
      <w:r>
        <w:rPr>
          <w:i w:val="false"/>
          <w:iCs w:val="false"/>
          <w:color w:val="3F3F3F"/>
          <w:sz w:val="21"/>
          <w:szCs w:val="21"/>
        </w:rPr>
        <w:t xml:space="preserve">The Parties will first attempt to resolve any dispute through good-faith negotiation between designated senior representatives within 15 days of written notice of the dispute.</w:t>
      </w:r>
    </w:p>
    <w:p>
      <w:pPr>
        <w:spacing w:after="140" w:line="280"/>
        <w:ind w:left="360"/>
      </w:pPr>
      <w:r>
        <w:rPr>
          <w:b/>
          <w:bCs/>
          <w:color w:val="3F3F3F"/>
          <w:sz w:val="21"/>
          <w:szCs w:val="21"/>
        </w:rPr>
        <w:t xml:space="preserve">14.2  </w:t>
      </w:r>
      <w:r>
        <w:rPr>
          <w:i w:val="false"/>
          <w:iCs w:val="false"/>
          <w:color w:val="3F3F3F"/>
          <w:sz w:val="21"/>
          <w:szCs w:val="21"/>
        </w:rPr>
        <w:t xml:space="preserve">Unresolved disputes will be referred to binding arbitration under the rules of [Arbitration Institution — e.g., the Arbitration and Conciliation Act, 1996 of India, or another body to be confirmed], with the seat of arbitration at [City], and the proceedings conducted in English.</w:t>
      </w:r>
    </w:p>
    <w:p>
      <w:pPr>
        <w:spacing w:after="140" w:line="280"/>
        <w:ind w:left="360"/>
      </w:pPr>
      <w:r>
        <w:rPr>
          <w:b/>
          <w:bCs/>
          <w:color w:val="3F3F3F"/>
          <w:sz w:val="21"/>
          <w:szCs w:val="21"/>
        </w:rPr>
        <w:t xml:space="preserve">14.3  </w:t>
      </w:r>
      <w:r>
        <w:rPr>
          <w:i w:val="false"/>
          <w:iCs w:val="false"/>
          <w:color w:val="3F3F3F"/>
          <w:sz w:val="21"/>
          <w:szCs w:val="21"/>
        </w:rPr>
        <w:t xml:space="preserve">This Agreement is governed by the laws of [State/Country to be confirmed with counsel], without regard to its conflict-of-laws principles. Given the cross-border nature of this engagement (an India-based Service Provider delivering a platform serving U.S. patients), both Parties should have qualified counsel confirm the governing law, tax treatment, and arbitration venue before signing.</w:t>
      </w:r>
    </w:p>
    <w:p>
      <w:pPr>
        <w:pStyle w:val="Heading1"/>
      </w:pPr>
      <w:r>
        <w:t xml:space="preserve">Article 15 — General Provisions</w:t>
      </w:r>
    </w:p>
    <w:p>
      <w:pPr>
        <w:spacing w:after="140" w:line="280"/>
        <w:ind w:left="360"/>
      </w:pPr>
      <w:r>
        <w:rPr>
          <w:b/>
          <w:bCs/>
          <w:color w:val="3F3F3F"/>
          <w:sz w:val="21"/>
          <w:szCs w:val="21"/>
        </w:rPr>
        <w:t xml:space="preserve">15.1  </w:t>
      </w:r>
      <w:r>
        <w:rPr>
          <w:i w:val="false"/>
          <w:iCs w:val="false"/>
          <w:color w:val="3F3F3F"/>
          <w:sz w:val="21"/>
          <w:szCs w:val="21"/>
        </w:rPr>
        <w:t xml:space="preserve">Notices. All notices under this Agreement must be in writing and delivered by email with read confirmation or by courier to the addresses set out in the Preamble, or such other address as a Party designates in writing.</w:t>
      </w:r>
    </w:p>
    <w:p>
      <w:pPr>
        <w:spacing w:after="140" w:line="280"/>
        <w:ind w:left="360"/>
      </w:pPr>
      <w:r>
        <w:rPr>
          <w:b/>
          <w:bCs/>
          <w:color w:val="3F3F3F"/>
          <w:sz w:val="21"/>
          <w:szCs w:val="21"/>
        </w:rPr>
        <w:t xml:space="preserve">15.2  </w:t>
      </w:r>
      <w:r>
        <w:rPr>
          <w:i w:val="false"/>
          <w:iCs w:val="false"/>
          <w:color w:val="3F3F3F"/>
          <w:sz w:val="21"/>
          <w:szCs w:val="21"/>
        </w:rPr>
        <w:t xml:space="preserve">Assignment. Neither Party may assign this Agreement without the other's written consent, except in connection with a merger, acquisition, or sale of substantially all assets.</w:t>
      </w:r>
    </w:p>
    <w:p>
      <w:pPr>
        <w:spacing w:after="140" w:line="280"/>
        <w:ind w:left="360"/>
      </w:pPr>
      <w:r>
        <w:rPr>
          <w:b/>
          <w:bCs/>
          <w:color w:val="3F3F3F"/>
          <w:sz w:val="21"/>
          <w:szCs w:val="21"/>
        </w:rPr>
        <w:t xml:space="preserve">15.3  </w:t>
      </w:r>
      <w:r>
        <w:rPr>
          <w:i w:val="false"/>
          <w:iCs w:val="false"/>
          <w:color w:val="3F3F3F"/>
          <w:sz w:val="21"/>
          <w:szCs w:val="21"/>
        </w:rPr>
        <w:t xml:space="preserve">Entire Agreement. This Agreement, together with all executed SOWs and Exhibits, constitutes the entire agreement between the Parties on its subject matter and supersedes all prior discussions and proposals, including the non-binding Proposal exchanged prior to signing.</w:t>
      </w:r>
    </w:p>
    <w:p>
      <w:pPr>
        <w:spacing w:after="140" w:line="280"/>
        <w:ind w:left="360"/>
      </w:pPr>
      <w:r>
        <w:rPr>
          <w:b/>
          <w:bCs/>
          <w:color w:val="3F3F3F"/>
          <w:sz w:val="21"/>
          <w:szCs w:val="21"/>
        </w:rPr>
        <w:t xml:space="preserve">15.4  </w:t>
      </w:r>
      <w:r>
        <w:rPr>
          <w:i w:val="false"/>
          <w:iCs w:val="false"/>
          <w:color w:val="3F3F3F"/>
          <w:sz w:val="21"/>
          <w:szCs w:val="21"/>
        </w:rPr>
        <w:t xml:space="preserve">Amendment. This Agreement may be amended only by a written instrument signed by both Parties.</w:t>
      </w:r>
    </w:p>
    <w:p>
      <w:pPr>
        <w:spacing w:after="140" w:line="280"/>
        <w:ind w:left="360"/>
      </w:pPr>
      <w:r>
        <w:rPr>
          <w:b/>
          <w:bCs/>
          <w:color w:val="3F3F3F"/>
          <w:sz w:val="21"/>
          <w:szCs w:val="21"/>
        </w:rPr>
        <w:t xml:space="preserve">15.5  </w:t>
      </w:r>
      <w:r>
        <w:rPr>
          <w:i w:val="false"/>
          <w:iCs w:val="false"/>
          <w:color w:val="3F3F3F"/>
          <w:sz w:val="21"/>
          <w:szCs w:val="21"/>
        </w:rPr>
        <w:t xml:space="preserve">Severability. If any provision of this Agreement is held unenforceable, the remaining provisions remain in full force and effect.</w:t>
      </w:r>
    </w:p>
    <w:p>
      <w:pPr>
        <w:spacing w:after="140" w:line="280"/>
        <w:ind w:left="360"/>
      </w:pPr>
      <w:r>
        <w:rPr>
          <w:b/>
          <w:bCs/>
          <w:color w:val="3F3F3F"/>
          <w:sz w:val="21"/>
          <w:szCs w:val="21"/>
        </w:rPr>
        <w:t xml:space="preserve">15.6  </w:t>
      </w:r>
      <w:r>
        <w:rPr>
          <w:i w:val="false"/>
          <w:iCs w:val="false"/>
          <w:color w:val="3F3F3F"/>
          <w:sz w:val="21"/>
          <w:szCs w:val="21"/>
        </w:rPr>
        <w:t xml:space="preserve">Counterparts. This Agreement may be executed in counterparts, including by electronic signature, each of which is deemed an original.</w:t>
      </w:r>
    </w:p>
    <w:p>
      <w:r>
        <w:br w:type="page"/>
      </w:r>
    </w:p>
    <w:p>
      <w:pPr>
        <w:pStyle w:val="Heading1"/>
      </w:pPr>
      <w:r>
        <w:t xml:space="preserve">Signatures</w:t>
      </w:r>
    </w:p>
    <w:p>
      <w:pPr>
        <w:spacing w:after="160" w:line="280"/>
        <w:jc w:val="left"/>
      </w:pPr>
      <w:r>
        <w:rPr>
          <w:b w:val="false"/>
          <w:bCs w:val="false"/>
          <w:i w:val="false"/>
          <w:iCs w:val="false"/>
          <w:color w:val="3F3F3F"/>
          <w:sz w:val="21"/>
          <w:szCs w:val="21"/>
        </w:rPr>
        <w:t xml:space="preserve">IN WITNESS WHEREOF, the Parties have executed this Agreement as of the Effective Date.</w:t>
      </w:r>
    </w:p>
    <w:p>
      <w:pPr>
        <w:spacing w:after="300"/>
      </w:pPr>
      <w:r>
        <w:t xml:space="preserve"/>
      </w:r>
    </w:p>
    <w:p>
      <w:pPr>
        <w:spacing w:after="160" w:line="280"/>
        <w:jc w:val="left"/>
      </w:pPr>
      <w:r>
        <w:rPr>
          <w:b/>
          <w:bCs/>
          <w:color w:val="1A2B4C"/>
          <w:sz w:val="21"/>
          <w:szCs w:val="21"/>
        </w:rPr>
        <w:t xml:space="preserve">[Your Agency Name]</w:t>
      </w:r>
    </w:p>
    <w:p>
      <w:pPr>
        <w:spacing w:after="500"/>
      </w:pPr>
      <w:r>
        <w:t xml:space="preserve"/>
      </w:r>
    </w:p>
    <w:p>
      <w:pPr>
        <w:spacing w:after="160" w:line="280"/>
        <w:jc w:val="left"/>
      </w:pPr>
      <w:r>
        <w:rPr>
          <w:b w:val="false"/>
          <w:bCs w:val="false"/>
          <w:i w:val="false"/>
          <w:iCs w:val="false"/>
          <w:color w:val="3F3F3F"/>
          <w:sz w:val="21"/>
          <w:szCs w:val="21"/>
        </w:rPr>
        <w:t xml:space="preserve">Name: ___________________________        Title: ___________________________</w:t>
      </w:r>
    </w:p>
    <w:p>
      <w:pPr>
        <w:spacing w:after="160" w:line="280"/>
        <w:jc w:val="left"/>
      </w:pPr>
      <w:r>
        <w:rPr>
          <w:b w:val="false"/>
          <w:bCs w:val="false"/>
          <w:i w:val="false"/>
          <w:iCs w:val="false"/>
          <w:color w:val="3F3F3F"/>
          <w:sz w:val="21"/>
          <w:szCs w:val="21"/>
        </w:rPr>
        <w:t xml:space="preserve">Signature: ___________________________        Date: ___________________________</w:t>
      </w:r>
    </w:p>
    <w:p>
      <w:pPr>
        <w:spacing w:after="400"/>
      </w:pPr>
      <w:r>
        <w:t xml:space="preserve"/>
      </w:r>
    </w:p>
    <w:p>
      <w:pPr>
        <w:spacing w:after="160" w:line="280"/>
        <w:jc w:val="left"/>
      </w:pPr>
      <w:r>
        <w:rPr>
          <w:b/>
          <w:bCs/>
          <w:color w:val="1A2B4C"/>
          <w:sz w:val="21"/>
          <w:szCs w:val="21"/>
        </w:rPr>
        <w:t xml:space="preserve">[Client Company Name]</w:t>
      </w:r>
    </w:p>
    <w:p>
      <w:pPr>
        <w:spacing w:after="500"/>
      </w:pPr>
      <w:r>
        <w:t xml:space="preserve"/>
      </w:r>
    </w:p>
    <w:p>
      <w:pPr>
        <w:spacing w:after="160" w:line="280"/>
        <w:jc w:val="left"/>
      </w:pPr>
      <w:r>
        <w:rPr>
          <w:b w:val="false"/>
          <w:bCs w:val="false"/>
          <w:i w:val="false"/>
          <w:iCs w:val="false"/>
          <w:color w:val="3F3F3F"/>
          <w:sz w:val="21"/>
          <w:szCs w:val="21"/>
        </w:rPr>
        <w:t xml:space="preserve">Name: ___________________________        Title: ___________________________</w:t>
      </w:r>
    </w:p>
    <w:p>
      <w:pPr>
        <w:spacing w:after="160" w:line="280"/>
        <w:jc w:val="left"/>
      </w:pPr>
      <w:r>
        <w:rPr>
          <w:b w:val="false"/>
          <w:bCs w:val="false"/>
          <w:i w:val="false"/>
          <w:iCs w:val="false"/>
          <w:color w:val="3F3F3F"/>
          <w:sz w:val="21"/>
          <w:szCs w:val="21"/>
        </w:rPr>
        <w:t xml:space="preserve">Signature: ___________________________        Date: ___________________________</w:t>
      </w:r>
    </w:p>
    <w:p>
      <w:pPr>
        <w:spacing w:after="400"/>
      </w:pPr>
      <w:r>
        <w:t xml:space="preserve"/>
      </w:r>
    </w:p>
    <w:p>
      <w:pPr>
        <w:pStyle w:val="Heading2"/>
      </w:pPr>
      <w:r>
        <w:t xml:space="preserve">Exhibits</w:t>
      </w:r>
    </w:p>
    <w:p>
      <w:pPr>
        <w:pStyle w:val="ListParagraph"/>
        <w:numPr>
          <w:ilvl w:val="0"/>
          <w:numId w:val="2"/>
        </w:numPr>
        <w:spacing w:after="90" w:line="270"/>
      </w:pPr>
      <w:r>
        <w:rPr>
          <w:b w:val="false"/>
          <w:bCs w:val="false"/>
          <w:color w:val="3F3F3F"/>
          <w:sz w:val="21"/>
          <w:szCs w:val="21"/>
        </w:rPr>
        <w:t xml:space="preserve">Exhibit A: Scope of Work SOW-001 (Version 1 — Launch MVP)</w:t>
      </w:r>
    </w:p>
    <w:p>
      <w:pPr>
        <w:pStyle w:val="ListParagraph"/>
        <w:numPr>
          <w:ilvl w:val="0"/>
          <w:numId w:val="2"/>
        </w:numPr>
        <w:spacing w:after="90" w:line="270"/>
      </w:pPr>
      <w:r>
        <w:rPr>
          <w:b w:val="false"/>
          <w:bCs w:val="false"/>
          <w:color w:val="3F3F3F"/>
          <w:sz w:val="21"/>
          <w:szCs w:val="21"/>
        </w:rPr>
        <w:t xml:space="preserve">Exhibit B: Business Associate Agreement (to be executed if/when Service Provider requires access to PHI, per Article 7.2)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3F3F3F"/>
        <w:sz w:val="16"/>
        <w:szCs w:val="16"/>
      </w:rPr>
      <w:t xml:space="preserve">Confidential — Prepared for [Client Company Name]</w:t>
    </w:r>
    <w:r>
      <w:rPr>
        <w:color w:val="3F3F3F"/>
        <w:sz w:val="16"/>
        <w:szCs w:val="16"/>
      </w:rPr>
      <w:t xml:space="preserve">	Page </w:t>
    </w:r>
    <w:r>
      <w:rPr>
        <w:color w:val="3F3F3F"/>
        <w:sz w:val="16"/>
        <w:szCs w:val="16"/>
      </w:rPr>
      <w:fldChar w:fldCharType="begin"/>
      <w:instrText xml:space="preserve">PAGE</w:instrText>
      <w:fldChar w:fldCharType="separate"/>
      <w:fldChar w:fldCharType="end"/>
    </w:r>
    <w:r>
      <w:rPr>
        <w:color w:val="3F3F3F"/>
        <w:sz w:val="16"/>
        <w:szCs w:val="16"/>
      </w:rPr>
      <w:t xml:space="preserve"> of </w:t>
    </w:r>
    <w:r>
      <w:rPr>
        <w:color w:val="3F3F3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10080"/>
      </w:tabs>
    </w:pPr>
    <w:r>
      <w:rPr>
        <w:color w:val="3F3F3F"/>
        <w:sz w:val="16"/>
        <w:szCs w:val="16"/>
      </w:rPr>
      <w:t xml:space="preserve">[Your Agency Name]</w:t>
    </w:r>
    <w:r>
      <w:rPr>
        <w:color w:val="3F3F3F"/>
        <w:sz w:val="16"/>
        <w:szCs w:val="16"/>
      </w:rPr>
      <w:t xml:space="preserve">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9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00" w:before="360"/>
      <w:outlineLvl w:val="0"/>
    </w:pPr>
    <w:rPr>
      <w:rFonts w:ascii="Arial" w:cs="Arial" w:eastAsia="Arial" w:hAnsi="Arial"/>
      <w:b/>
      <w:bCs/>
      <w:color w:val="1A2B4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B4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2026-06-16T08:37:33.483Z</dcterms:created>
  <dcterms:modified xsi:type="dcterms:W3CDTF">2026-06-16T08:37:33.483Z</dcterms:modified>
</cp:coreProperties>
</file>

<file path=docProps/custom.xml><?xml version="1.0" encoding="utf-8"?>
<Properties xmlns="http://schemas.openxmlformats.org/officeDocument/2006/custom-properties" xmlns:vt="http://schemas.openxmlformats.org/officeDocument/2006/docPropsVTypes"/>
</file>