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Times New Roman" w:cs="Times New Roman" w:eastAsia="Times New Roman" w:hAnsi="Times New Roman"/>
          <w:b/>
          <w:bCs/>
          <w:sz w:val="40"/>
          <w:szCs w:val="40"/>
        </w:rPr>
        <w:t xml:space="preserve">SPLM-India: Satellite Parking Lot Occupancy as a Leading Indicator</w:t>
      </w:r>
    </w:p>
    <w:p>
      <w:pPr>
        <w:spacing w:before="0" w:after="60"/>
        <w:jc w:val="center"/>
      </w:pPr>
      <w:r>
        <w:rPr>
          <w:rFonts w:ascii="Times New Roman" w:cs="Times New Roman" w:eastAsia="Times New Roman" w:hAnsi="Times New Roman"/>
          <w:b/>
          <w:bCs/>
          <w:sz w:val="40"/>
          <w:szCs w:val="40"/>
        </w:rPr>
        <w:t xml:space="preserve">for Revenue Surprises in Indian Organized Retail</w:t>
      </w:r>
    </w:p>
    <w:p>
      <w:pPr>
        <w:spacing w:before="0" w:after="160"/>
        <w:jc w:val="center"/>
      </w:pPr>
      <w:r>
        <w:rPr>
          <w:rFonts w:ascii="Times New Roman" w:cs="Times New Roman" w:eastAsia="Times New Roman" w:hAnsi="Times New Roman"/>
          <w:i/>
          <w:iCs/>
          <w:color w:val="333333"/>
          <w:sz w:val="25"/>
          <w:szCs w:val="25"/>
        </w:rPr>
        <w:t xml:space="preserve">A Spectral Computer Vision Framework for Sentinel-2 Imagery at 10m Resolution</w:t>
      </w:r>
    </w:p>
    <w:p>
      <w:pPr>
        <w:spacing w:before="80" w:after="40"/>
        <w:jc w:val="center"/>
      </w:pPr>
      <w:r>
        <w:rPr>
          <w:rFonts w:ascii="Times New Roman" w:cs="Times New Roman" w:eastAsia="Times New Roman" w:hAnsi="Times New Roman"/>
          <w:sz w:val="22"/>
          <w:szCs w:val="22"/>
        </w:rPr>
        <w:t xml:space="preserve">Anonymous Author(s) — IIIT Delhi</w:t>
      </w:r>
    </w:p>
    <w:p>
      <w:pPr>
        <w:spacing w:before="0" w:after="40"/>
        <w:jc w:val="center"/>
      </w:pPr>
      <w:r>
        <w:rPr>
          <w:rFonts w:ascii="Times New Roman" w:cs="Times New Roman" w:eastAsia="Times New Roman" w:hAnsi="Times New Roman"/>
          <w:i/>
          <w:iCs/>
          <w:color w:val="444444"/>
          <w:sz w:val="20"/>
          <w:szCs w:val="20"/>
        </w:rPr>
        <w:t xml:space="preserve">Submitted to the ACM International Conference on AI in Finance (ICAIF 2025)</w:t>
      </w:r>
    </w:p>
    <w:p>
      <w:pPr>
        <w:spacing w:before="0" w:after="460"/>
        <w:jc w:val="center"/>
      </w:pPr>
      <w:r>
        <w:rPr>
          <w:rFonts w:ascii="Times New Roman" w:cs="Times New Roman" w:eastAsia="Times New Roman" w:hAnsi="Times New Roman"/>
          <w:color w:val="888888"/>
          <w:sz w:val="19"/>
          <w:szCs w:val="19"/>
        </w:rPr>
        <w:t xml:space="preserve">Under Double-Blind Review  ·  Code: github.com/itzsam-lol/SPLM</w:t>
      </w:r>
    </w:p>
    <w:p>
      <w:pPr>
        <w:pBdr>
          <w:bottom w:val="single" w:color="AAAAAA" w:sz="4" w:space="2"/>
        </w:pBdr>
        <w:spacing w:before="0" w:after="100"/>
        <w:jc w:val="center"/>
      </w:pPr>
      <w:r>
        <w:rPr>
          <w:rFonts w:ascii="Times New Roman" w:cs="Times New Roman" w:eastAsia="Times New Roman" w:hAnsi="Times New Roman"/>
          <w:b/>
          <w:bCs/>
          <w:sz w:val="26"/>
          <w:szCs w:val="26"/>
        </w:rPr>
        <w:t xml:space="preserve">Abstract</w:t>
      </w:r>
    </w:p>
    <w:p>
      <w:pPr>
        <w:spacing w:before="140" w:after="140" w:line="264"/>
        <w:ind w:left="720" w:right="720"/>
        <w:jc w:val="both"/>
      </w:pPr>
      <w:r>
        <w:rPr>
          <w:rFonts w:ascii="Times New Roman" w:cs="Times New Roman" w:eastAsia="Times New Roman" w:hAnsi="Times New Roman"/>
          <w:sz w:val="21"/>
          <w:szCs w:val="21"/>
        </w:rPr>
        <w:t xml:space="preserve">We present SPLM-India, an end-to-end alternative data framework that predicts quarterly revenue surprises in Indian organized retail equities using satellite-derived parking lot occupancy signals. Our framework addresses two key challenges specific to the Indian context: (1) the 10m resolution constraint of freely available Sentinel-2 imagery, which precludes direct vehicle counting, addressed via a Normalized Difference Built-Up Index (NDBI) spectral occupancy proxy; and (2) the Indian monsoon season, which systematically degrades satellite coverage in Q3 and is handled through principled exclusion with documented sensitivity analysis. We make three contributions: a complete open-source CV pipeline validated against a fine-tuned YOLOv8 benchmark (mAP@50: 0.697 vs. 0.514 base, +18.3pp); a formal Physical Activity Index (PAI) construction methodology with weather deseasonalization and Indian festive calendar covariates; and preliminary pilot results from the first application of satellite parking lot momentum methodology to NSE-listed Consumer stocks. A pilot study on a 12-ticker Indian organized retail universe (2022-2023, 72 image chips) confirms the pipeline's operational validity and produces physically interpretable signals. The complete 5-year panel is currently running. The entire framework operates on freely available data accessible to any academic researcher, with no commercial data licenses required.</w:t>
      </w:r>
    </w:p>
    <w:p>
      <w:pPr>
        <w:spacing w:before="80" w:after="360" w:line="264"/>
        <w:ind w:left="720" w:right="720"/>
        <w:jc w:val="both"/>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i/>
          <w:iCs/>
          <w:sz w:val="21"/>
          <w:szCs w:val="21"/>
        </w:rPr>
        <w:t xml:space="preserve">satellite imagery, computer vision, alternative data, NSE India, organized retail, NDBI spectral proxy, revenue prediction, quantitative finance, emerging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3"/>
              <w:left w:val="thick" w:color="1a6b3a" w:sz="14"/>
              <w:bottom w:val="single" w:color="1a6b3a" w:sz="1"/>
              <w:right w:val="single" w:color="1a6b3a" w:sz="1"/>
            </w:tcBorders>
            <w:shd w:fill="F0FFF4" w:val="clear"/>
            <w:tcMar>
              <w:top w:type="dxa" w:w="100"/>
              <w:left w:type="dxa" w:w="180"/>
              <w:bottom w:type="dxa" w:w="100"/>
              <w:right w:type="dxa" w:w="180"/>
            </w:tcMar>
          </w:tcPr>
          <w:p>
            <w:pPr>
              <w:spacing w:before="0" w:after="60"/>
            </w:pPr>
            <w:r>
              <w:rPr>
                <w:rFonts w:ascii="Times New Roman" w:cs="Times New Roman" w:eastAsia="Times New Roman" w:hAnsi="Times New Roman"/>
                <w:b/>
                <w:bCs/>
                <w:caps/>
                <w:color w:val="1a6b3a"/>
                <w:sz w:val="19"/>
                <w:szCs w:val="19"/>
              </w:rPr>
              <w:t xml:space="preserve">Reproducibility &amp; Data Transparency Statement</w:t>
            </w:r>
          </w:p>
          <w:p>
            <w:pPr>
              <w:spacing w:before="0" w:after="0"/>
              <w:jc w:val="both"/>
            </w:pPr>
            <w:r>
              <w:rPr>
                <w:rFonts w:ascii="Times New Roman" w:cs="Times New Roman" w:eastAsia="Times New Roman" w:hAnsi="Times New Roman"/>
                <w:sz w:val="20"/>
                <w:szCs w:val="20"/>
              </w:rPr>
              <w:t xml:space="preserve">All satellite imagery is sourced from Sentinel-2 via Google Earth Engine (free, noncommercial research access). Financial data from NSE Corporate Filings API and Yahoo Finance (both free). Parking lot geometry from OpenStreetMap Overpass API (free). Weather data from NOAA GHCN-Daily (free). No commercial data licenses are required. Complete pipeline, parking lot registry, and processed signal files are publicly available at: github.com/itzsam-lol/SPLM. The pipeline can be reproduced in full by any researcher with a Google account and internet access.</w:t>
            </w:r>
          </w:p>
        </w:tc>
      </w:tr>
    </w:tbl>
    <w:p>
      <w:pPr>
        <w:spacing w:before="0" w:after="60"/>
      </w:pPr>
      <w:r>
        <w:t xml:space="preserve"/>
      </w:r>
    </w:p>
    <w:p>
      <w:pPr>
        <w:pStyle w:val="Heading1"/>
        <w:pBdr>
          <w:bottom w:val="single" w:color="111111" w:sz="8" w:space="1"/>
        </w:pBdr>
        <w:spacing w:before="320" w:after="160"/>
      </w:pPr>
      <w:r>
        <w:rPr>
          <w:rFonts w:ascii="Times New Roman" w:cs="Times New Roman" w:eastAsia="Times New Roman" w:hAnsi="Times New Roman"/>
          <w:b/>
          <w:bCs/>
          <w:caps/>
          <w:sz w:val="28"/>
          <w:szCs w:val="28"/>
        </w:rPr>
        <w:t xml:space="preserve">1. Introduction</w:t>
      </w:r>
    </w:p>
    <w:p>
      <w:pPr>
        <w:spacing w:before="0" w:after="120" w:line="276"/>
        <w:jc w:val="both"/>
      </w:pPr>
      <w:r>
        <w:rPr>
          <w:rFonts w:ascii="Times New Roman" w:cs="Times New Roman" w:eastAsia="Times New Roman" w:hAnsi="Times New Roman"/>
          <w:b w:val="false"/>
          <w:bCs w:val="false"/>
          <w:i w:val="false"/>
          <w:iCs w:val="false"/>
          <w:color w:val="000000"/>
          <w:sz w:val="22"/>
          <w:szCs w:val="22"/>
        </w:rPr>
        <w:t xml:space="preserve">The use of satellite imagery to infer physical economic activity has generated a growing body of quantitative finance research. The canonical result — that retail parking lot vehicle counts correlate with same-store sales — was established by </w:t>
      </w:r>
      <w:r>
        <w:rPr>
          <w:rFonts w:ascii="Times New Roman" w:cs="Times New Roman" w:eastAsia="Times New Roman" w:hAnsi="Times New Roman"/>
          <w:b w:val="false"/>
          <w:bCs w:val="false"/>
          <w:i w:val="false"/>
          <w:iCs w:val="false"/>
          <w:color w:val="000000"/>
          <w:sz w:val="22"/>
          <w:szCs w:val="22"/>
        </w:rPr>
        <w:t xml:space="preserve">Bernstein et al. (2016)</w:t>
      </w:r>
      <w:r>
        <w:rPr>
          <w:rFonts w:ascii="Times New Roman" w:cs="Times New Roman" w:eastAsia="Times New Roman" w:hAnsi="Times New Roman"/>
          <w:b w:val="false"/>
          <w:bCs w:val="false"/>
          <w:i w:val="false"/>
          <w:iCs w:val="false"/>
          <w:color w:val="000000"/>
          <w:sz w:val="22"/>
          <w:szCs w:val="22"/>
        </w:rPr>
        <w:t xml:space="preserve"> and extended by </w:t>
      </w:r>
      <w:r>
        <w:rPr>
          <w:rFonts w:ascii="Times New Roman" w:cs="Times New Roman" w:eastAsia="Times New Roman" w:hAnsi="Times New Roman"/>
          <w:b w:val="false"/>
          <w:bCs w:val="false"/>
          <w:i w:val="false"/>
          <w:iCs w:val="false"/>
          <w:color w:val="000000"/>
          <w:sz w:val="22"/>
          <w:szCs w:val="22"/>
        </w:rPr>
        <w:t xml:space="preserve">Kang et al. (2019)</w:t>
      </w:r>
      <w:r>
        <w:rPr>
          <w:rFonts w:ascii="Times New Roman" w:cs="Times New Roman" w:eastAsia="Times New Roman" w:hAnsi="Times New Roman"/>
          <w:b w:val="false"/>
          <w:bCs w:val="false"/>
          <w:i w:val="false"/>
          <w:iCs w:val="false"/>
          <w:color w:val="000000"/>
          <w:sz w:val="22"/>
          <w:szCs w:val="22"/>
        </w:rPr>
        <w:t xml:space="preserve"> and </w:t>
      </w:r>
      <w:r>
        <w:rPr>
          <w:rFonts w:ascii="Times New Roman" w:cs="Times New Roman" w:eastAsia="Times New Roman" w:hAnsi="Times New Roman"/>
          <w:b w:val="false"/>
          <w:bCs w:val="false"/>
          <w:i w:val="false"/>
          <w:iCs w:val="false"/>
          <w:color w:val="000000"/>
          <w:sz w:val="22"/>
          <w:szCs w:val="22"/>
        </w:rPr>
        <w:t xml:space="preserve">Katona et al. (2022)</w:t>
      </w:r>
      <w:r>
        <w:rPr>
          <w:rFonts w:ascii="Times New Roman" w:cs="Times New Roman" w:eastAsia="Times New Roman" w:hAnsi="Times New Roman"/>
          <w:b w:val="false"/>
          <w:bCs w:val="false"/>
          <w:i w:val="false"/>
          <w:iCs w:val="false"/>
          <w:color w:val="000000"/>
          <w:sz w:val="22"/>
          <w:szCs w:val="22"/>
        </w:rPr>
        <w:t xml:space="preserve">. However, this literature is concentrated almost entirely on U.S. equities using high-resolution commercial imagery (Planet Labs, 3m resolution), which is cost-prohibitive for academic researchers.</w:t>
      </w:r>
    </w:p>
    <w:p>
      <w:pPr>
        <w:spacing w:before="0" w:after="120" w:line="276"/>
        <w:jc w:val="both"/>
      </w:pPr>
      <w:r>
        <w:rPr>
          <w:rFonts w:ascii="Times New Roman" w:cs="Times New Roman" w:eastAsia="Times New Roman" w:hAnsi="Times New Roman"/>
          <w:b w:val="false"/>
          <w:bCs w:val="false"/>
          <w:i w:val="false"/>
          <w:iCs w:val="false"/>
          <w:color w:val="000000"/>
          <w:sz w:val="22"/>
          <w:szCs w:val="22"/>
        </w:rPr>
        <w:t xml:space="preserve">Two structural features limit the application of existing methods to Indian markets. First, the highest-resolution freely available imagery — Sentinel-2 at 10m ground sampling distance — is insufficient for direct vehicle counting, since individual cars (2-4m wide) occupy at most 1-2 pixels. Second, the Indian monsoon season (June-September) systematically degrades satellite coverage over most of peninsular India, introducing seasonal gaps with no analogue in U.S. or European studies.</w:t>
      </w:r>
    </w:p>
    <w:p>
      <w:pPr>
        <w:spacing w:before="0" w:after="120" w:line="276"/>
        <w:jc w:val="both"/>
      </w:pPr>
      <w:r>
        <w:rPr>
          <w:rFonts w:ascii="Times New Roman" w:cs="Times New Roman" w:eastAsia="Times New Roman" w:hAnsi="Times New Roman"/>
          <w:b w:val="false"/>
          <w:bCs w:val="false"/>
          <w:i w:val="false"/>
          <w:iCs w:val="false"/>
          <w:color w:val="000000"/>
          <w:sz w:val="22"/>
          <w:szCs w:val="22"/>
        </w:rPr>
        <w:t xml:space="preserve">This paper introduces </w:t>
      </w:r>
      <w:r>
        <w:rPr>
          <w:rFonts w:ascii="Times New Roman" w:cs="Times New Roman" w:eastAsia="Times New Roman" w:hAnsi="Times New Roman"/>
          <w:b/>
          <w:bCs/>
          <w:i w:val="false"/>
          <w:iCs w:val="false"/>
          <w:color w:val="000000"/>
          <w:sz w:val="22"/>
          <w:szCs w:val="22"/>
        </w:rPr>
        <w:t xml:space="preserve">SPLM-India</w:t>
      </w:r>
      <w:r>
        <w:rPr>
          <w:rFonts w:ascii="Times New Roman" w:cs="Times New Roman" w:eastAsia="Times New Roman" w:hAnsi="Times New Roman"/>
          <w:b w:val="false"/>
          <w:bCs w:val="false"/>
          <w:i w:val="false"/>
          <w:iCs w:val="false"/>
          <w:color w:val="000000"/>
          <w:sz w:val="22"/>
          <w:szCs w:val="22"/>
        </w:rPr>
        <w:t xml:space="preserve">, a framework that resolves both constraints. Rather than counting vehicles, we use a spectral signature approach based on the Normalized Difference Built-Up Index (NDBI), which exploits the distinct near-infrared and short-wave infrared reflectance profiles of vehicle surfaces relative to bare asphalt. Monsoon quarters are identified, flagged, and excluded from signal construction with documented sensitivity analysis.</w:t>
      </w:r>
    </w:p>
    <w:p>
      <w:pPr>
        <w:spacing w:before="0" w:after="120" w:line="276"/>
        <w:jc w:val="both"/>
      </w:pPr>
      <w:r>
        <w:rPr>
          <w:rFonts w:ascii="Times New Roman" w:cs="Times New Roman" w:eastAsia="Times New Roman" w:hAnsi="Times New Roman"/>
          <w:b w:val="false"/>
          <w:bCs w:val="false"/>
          <w:i w:val="false"/>
          <w:iCs w:val="false"/>
          <w:color w:val="000000"/>
          <w:sz w:val="22"/>
          <w:szCs w:val="22"/>
        </w:rPr>
        <w:t xml:space="preserve">We apply the framework to the NSE-listed Indian organized retail sector — DMart, Jubilant FoodWorks (Domino's), Westlife Foodworld (McDonald's), Trent (Zudio/Westside), and peers. This sector is ideal: stores have large, identifiable surface parking lots; quarterly revenue is closely watched by Indian brokers; and no prior satellite-based study of this universe exists, providing a clean contribution to the literature.</w:t>
      </w:r>
    </w:p>
    <w:p>
      <w:pPr>
        <w:spacing w:before="0" w:after="120" w:line="276"/>
        <w:jc w:val="both"/>
      </w:pPr>
      <w:r>
        <w:rPr>
          <w:rFonts w:ascii="Times New Roman" w:cs="Times New Roman" w:eastAsia="Times New Roman" w:hAnsi="Times New Roman"/>
          <w:b/>
          <w:bCs/>
          <w:i w:val="false"/>
          <w:iCs w:val="false"/>
          <w:color w:val="000000"/>
          <w:sz w:val="22"/>
          <w:szCs w:val="22"/>
        </w:rPr>
        <w:t xml:space="preserve">Contributions.</w:t>
      </w:r>
      <w:r>
        <w:rPr>
          <w:rFonts w:ascii="Times New Roman" w:cs="Times New Roman" w:eastAsia="Times New Roman" w:hAnsi="Times New Roman"/>
          <w:b w:val="false"/>
          <w:bCs w:val="false"/>
          <w:i w:val="false"/>
          <w:iCs w:val="false"/>
          <w:color w:val="000000"/>
          <w:sz w:val="22"/>
          <w:szCs w:val="22"/>
        </w:rPr>
        <w:t xml:space="preserve"> We make three contributions. First, a complete, reproducible spectral CV pipeline that operates on free Sentinel-2 imagery, validated against a DOTA-finetuned YOLOv8 detection benchmark. Second, a formal PAI construction methodology incorporating Indian seasonal and festive calendar effects not addressed in prior literature. Third, the first empirical application of parking lot momentum to Indian organized retail, with a 12-ticker pilot study confirming pipeline validity.</w:t>
      </w:r>
    </w:p>
    <w:p>
      <w:pPr>
        <w:pStyle w:val="Heading1"/>
        <w:pBdr>
          <w:bottom w:val="single" w:color="111111" w:sz="8" w:space="1"/>
        </w:pBdr>
        <w:spacing w:before="320" w:after="160"/>
      </w:pPr>
      <w:r>
        <w:rPr>
          <w:rFonts w:ascii="Times New Roman" w:cs="Times New Roman" w:eastAsia="Times New Roman" w:hAnsi="Times New Roman"/>
          <w:b/>
          <w:bCs/>
          <w:caps/>
          <w:sz w:val="28"/>
          <w:szCs w:val="28"/>
        </w:rPr>
        <w:t xml:space="preserve">2. Related Work</w:t>
      </w:r>
    </w:p>
    <w:p>
      <w:pPr>
        <w:pStyle w:val="Heading2"/>
        <w:spacing w:before="240" w:after="100"/>
      </w:pPr>
      <w:r>
        <w:rPr>
          <w:rFonts w:ascii="Times New Roman" w:cs="Times New Roman" w:eastAsia="Times New Roman" w:hAnsi="Times New Roman"/>
          <w:b/>
          <w:bCs/>
          <w:sz w:val="24"/>
          <w:szCs w:val="24"/>
        </w:rPr>
        <w:t xml:space="preserve">2.1  Satellite Imagery as Alternative Data in Finance</w:t>
      </w:r>
    </w:p>
    <w:p>
      <w:pPr>
        <w:spacing w:before="0" w:after="120" w:line="276"/>
        <w:jc w:val="both"/>
      </w:pPr>
      <w:r>
        <w:rPr>
          <w:rFonts w:ascii="Times New Roman" w:cs="Times New Roman" w:eastAsia="Times New Roman" w:hAnsi="Times New Roman"/>
          <w:sz w:val="22"/>
          <w:szCs w:val="22"/>
        </w:rPr>
        <w:t xml:space="preserve">Bernstein et al. (2016) first demonstrated that aerial parking lot photographs contain predictive information about retail same-store sales. Kang et al. (2019) formalized this as a systematic equity signal, reporting statistically significant Information Coefficients for U.S. big-box retailers. Katona et al. (2022) extended the methodology to supply chains, and Alt et al. (2024) applied transformer-based detection to European retail. Chen et al. (2023) document the signal's attenuation as satellite analytics became commoditized in U.S. markets — a trend that further motivates pivoting to the under-researched Indian market.</w:t>
      </w:r>
    </w:p>
    <w:p>
      <w:pPr>
        <w:pStyle w:val="Heading2"/>
        <w:spacing w:before="240" w:after="100"/>
      </w:pPr>
      <w:r>
        <w:rPr>
          <w:rFonts w:ascii="Times New Roman" w:cs="Times New Roman" w:eastAsia="Times New Roman" w:hAnsi="Times New Roman"/>
          <w:b/>
          <w:bCs/>
          <w:sz w:val="24"/>
          <w:szCs w:val="24"/>
        </w:rPr>
        <w:t xml:space="preserve">2.2  Resolution-Constrained Occupancy Estimation</w:t>
      </w:r>
    </w:p>
    <w:p>
      <w:pPr>
        <w:spacing w:before="0" w:after="120" w:line="276"/>
        <w:jc w:val="both"/>
      </w:pPr>
      <w:r>
        <w:rPr>
          <w:rFonts w:ascii="Times New Roman" w:cs="Times New Roman" w:eastAsia="Times New Roman" w:hAnsi="Times New Roman"/>
          <w:b w:val="false"/>
          <w:bCs w:val="false"/>
          <w:i w:val="false"/>
          <w:iCs w:val="false"/>
          <w:color w:val="000000"/>
          <w:sz w:val="22"/>
          <w:szCs w:val="22"/>
        </w:rPr>
        <w:t xml:space="preserve">Top-down vehicle detection benchmarks including DOTA (Xia et al., 2018) and VEDAI focus on sub-meter to 1m imagery. At Sentinel-2's 10m resolution, existing methods degrade substantially. </w:t>
      </w:r>
      <w:r>
        <w:rPr>
          <w:rFonts w:ascii="Times New Roman" w:cs="Times New Roman" w:eastAsia="Times New Roman" w:hAnsi="Times New Roman"/>
          <w:b w:val="false"/>
          <w:bCs w:val="false"/>
          <w:i w:val="false"/>
          <w:iCs w:val="false"/>
          <w:color w:val="000000"/>
          <w:sz w:val="22"/>
          <w:szCs w:val="22"/>
        </w:rPr>
        <w:t xml:space="preserve">Pesaresi et al. (2016)</w:t>
      </w:r>
      <w:r>
        <w:rPr>
          <w:rFonts w:ascii="Times New Roman" w:cs="Times New Roman" w:eastAsia="Times New Roman" w:hAnsi="Times New Roman"/>
          <w:b w:val="false"/>
          <w:bCs w:val="false"/>
          <w:i w:val="false"/>
          <w:iCs w:val="false"/>
          <w:color w:val="000000"/>
          <w:sz w:val="22"/>
          <w:szCs w:val="22"/>
        </w:rPr>
        <w:t xml:space="preserve"> introduced the NDBI index for urban built-surface characterization from medium-resolution imagery. We adapt NDBI to the parking lot occupancy estimation task, where its sensitivity to metal and glass surface coverage (vehicle bodies) relative to asphalt provides a proxy for the fraction of the lot occupied.</w:t>
      </w:r>
    </w:p>
    <w:p>
      <w:pPr>
        <w:pStyle w:val="Heading2"/>
        <w:spacing w:before="240" w:after="100"/>
      </w:pPr>
      <w:r>
        <w:rPr>
          <w:rFonts w:ascii="Times New Roman" w:cs="Times New Roman" w:eastAsia="Times New Roman" w:hAnsi="Times New Roman"/>
          <w:b/>
          <w:bCs/>
          <w:sz w:val="24"/>
          <w:szCs w:val="24"/>
        </w:rPr>
        <w:t xml:space="preserve">2.3  Indian Equity Market Predictability</w:t>
      </w:r>
    </w:p>
    <w:p>
      <w:pPr>
        <w:spacing w:before="0" w:after="120" w:line="276"/>
        <w:jc w:val="both"/>
      </w:pPr>
      <w:r>
        <w:rPr>
          <w:rFonts w:ascii="Times New Roman" w:cs="Times New Roman" w:eastAsia="Times New Roman" w:hAnsi="Times New Roman"/>
          <w:sz w:val="22"/>
          <w:szCs w:val="22"/>
        </w:rPr>
        <w:t xml:space="preserve">The Indian equity market has distinct structural features relevant to signal construction: a quarterly earnings cycle governed by SEBI reporting norms, a pronounced festive season effect concentrated in Q2/Q3 (Dussehra, Navratri, Diwali), and an analyst coverage universe heavily concentrated among institutional brokers (Motilal Oswal, Kotak Institutional, IIFL Securities). Sehgal and Jain (2011) document momentum effects in Indian equities. To our knowledge, no prior work has applied satellite-based physical activity signals to NSE-listed organized retail.</w:t>
      </w:r>
    </w:p>
    <w:p>
      <w:pPr>
        <w:pStyle w:val="Heading1"/>
        <w:pBdr>
          <w:bottom w:val="single" w:color="111111" w:sz="8" w:space="1"/>
        </w:pBdr>
        <w:spacing w:before="320" w:after="160"/>
      </w:pPr>
      <w:r>
        <w:rPr>
          <w:rFonts w:ascii="Times New Roman" w:cs="Times New Roman" w:eastAsia="Times New Roman" w:hAnsi="Times New Roman"/>
          <w:b/>
          <w:bCs/>
          <w:caps/>
          <w:sz w:val="28"/>
          <w:szCs w:val="28"/>
        </w:rPr>
        <w:t xml:space="preserve">3. Data and Universe</w:t>
      </w:r>
    </w:p>
    <w:p>
      <w:pPr>
        <w:pStyle w:val="Heading2"/>
        <w:spacing w:before="240" w:after="100"/>
      </w:pPr>
      <w:r>
        <w:rPr>
          <w:rFonts w:ascii="Times New Roman" w:cs="Times New Roman" w:eastAsia="Times New Roman" w:hAnsi="Times New Roman"/>
          <w:b/>
          <w:bCs/>
          <w:sz w:val="24"/>
          <w:szCs w:val="24"/>
        </w:rPr>
        <w:t xml:space="preserve">3.1  Pilot Universe</w:t>
      </w:r>
    </w:p>
    <w:p>
      <w:pPr>
        <w:spacing w:before="0" w:after="120" w:line="276"/>
        <w:jc w:val="both"/>
      </w:pPr>
      <w:r>
        <w:rPr>
          <w:rFonts w:ascii="Times New Roman" w:cs="Times New Roman" w:eastAsia="Times New Roman" w:hAnsi="Times New Roman"/>
          <w:sz w:val="22"/>
          <w:szCs w:val="22"/>
        </w:rPr>
        <w:t xml:space="preserve">The pilot study covers 12 NSE-listed equities in the Consumer Discretionary and Consumer Staples sectors with large-format surface parking lots amenable to satellite observation. Table 1 presents the universe with sector classification, data coverage, and parking lot polygon counts.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1300"/>
        <w:gridCol w:w="1700"/>
        <w:gridCol w:w="1760"/>
      </w:tblGrid>
      <w:tr>
        <w:tc>
          <w:tcPr>
            <w:tcW w:type="dxa" w:w="160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Ticker</w:t>
            </w:r>
          </w:p>
        </w:tc>
        <w:tc>
          <w:tcPr>
            <w:tcW w:type="dxa" w:w="180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Company</w:t>
            </w:r>
          </w:p>
        </w:tc>
        <w:tc>
          <w:tcPr>
            <w:tcW w:type="dxa" w:w="120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Sector</w:t>
            </w:r>
          </w:p>
        </w:tc>
        <w:tc>
          <w:tcPr>
            <w:tcW w:type="dxa" w:w="130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Quarters</w:t>
            </w:r>
          </w:p>
        </w:tc>
        <w:tc>
          <w:tcPr>
            <w:tcW w:type="dxa" w:w="170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OSM Lots</w:t>
            </w:r>
          </w:p>
        </w:tc>
        <w:tc>
          <w:tcPr>
            <w:tcW w:type="dxa" w:w="176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Status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DMART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Avenue Supermarts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Hypermarket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JUBLFOOD</w:t>
            </w:r>
          </w:p>
        </w:tc>
        <w:tc>
          <w:tcPr>
            <w:tcW w:type="dxa" w:w="18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Jubilant FoodWorks</w:t>
            </w:r>
          </w:p>
        </w:tc>
        <w:tc>
          <w:tcPr>
            <w:tcW w:type="dxa" w:w="12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QSR (Domino's)</w:t>
            </w:r>
          </w:p>
        </w:tc>
        <w:tc>
          <w:tcPr>
            <w:tcW w:type="dxa" w:w="13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31</w:t>
            </w:r>
          </w:p>
        </w:tc>
        <w:tc>
          <w:tcPr>
            <w:tcW w:type="dxa" w:w="176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WESTLIFE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Westlife Foodworld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QSR (McD)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18</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TRENT</w:t>
            </w:r>
          </w:p>
        </w:tc>
        <w:tc>
          <w:tcPr>
            <w:tcW w:type="dxa" w:w="18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Tata Trent</w:t>
            </w:r>
          </w:p>
        </w:tc>
        <w:tc>
          <w:tcPr>
            <w:tcW w:type="dxa" w:w="12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Fashion Retail</w:t>
            </w:r>
          </w:p>
        </w:tc>
        <w:tc>
          <w:tcPr>
            <w:tcW w:type="dxa" w:w="13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14</w:t>
            </w:r>
          </w:p>
        </w:tc>
        <w:tc>
          <w:tcPr>
            <w:tcW w:type="dxa" w:w="176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DEVYANI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Devyani Intl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QSR (KFC/PH)</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SHOPERSTOP</w:t>
            </w:r>
          </w:p>
        </w:tc>
        <w:tc>
          <w:tcPr>
            <w:tcW w:type="dxa" w:w="18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Shoppers Stop</w:t>
            </w:r>
          </w:p>
        </w:tc>
        <w:tc>
          <w:tcPr>
            <w:tcW w:type="dxa" w:w="12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Dept. Store</w:t>
            </w:r>
          </w:p>
        </w:tc>
        <w:tc>
          <w:tcPr>
            <w:tcW w:type="dxa" w:w="13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19</w:t>
            </w:r>
          </w:p>
        </w:tc>
        <w:tc>
          <w:tcPr>
            <w:tcW w:type="dxa" w:w="176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VMART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V-Mart Retail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Value Retail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11</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ABFRL</w:t>
            </w:r>
          </w:p>
        </w:tc>
        <w:tc>
          <w:tcPr>
            <w:tcW w:type="dxa" w:w="18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ABFRL (Pantaloons)</w:t>
            </w:r>
          </w:p>
        </w:tc>
        <w:tc>
          <w:tcPr>
            <w:tcW w:type="dxa" w:w="12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Fashion Retail</w:t>
            </w:r>
          </w:p>
        </w:tc>
        <w:tc>
          <w:tcPr>
            <w:tcW w:type="dxa" w:w="13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17</w:t>
            </w:r>
          </w:p>
        </w:tc>
        <w:tc>
          <w:tcPr>
            <w:tcW w:type="dxa" w:w="176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SPENCERS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Spencer's Retail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Hypermarket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SAPPHIRE</w:t>
            </w:r>
          </w:p>
        </w:tc>
        <w:tc>
          <w:tcPr>
            <w:tcW w:type="dxa" w:w="18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Sapphire Foods</w:t>
            </w:r>
          </w:p>
        </w:tc>
        <w:tc>
          <w:tcPr>
            <w:tcW w:type="dxa" w:w="12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QSR (KFC N/E)</w:t>
            </w:r>
          </w:p>
        </w:tc>
        <w:tc>
          <w:tcPr>
            <w:tcW w:type="dxa" w:w="13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16</w:t>
            </w:r>
          </w:p>
        </w:tc>
        <w:tc>
          <w:tcPr>
            <w:tcW w:type="dxa" w:w="176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BARBEQUE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Barbeque Nation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Casual Dining</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METRO</w:t>
            </w:r>
          </w:p>
        </w:tc>
        <w:tc>
          <w:tcPr>
            <w:tcW w:type="dxa" w:w="18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Metro Brands</w:t>
            </w:r>
          </w:p>
        </w:tc>
        <w:tc>
          <w:tcPr>
            <w:tcW w:type="dxa" w:w="12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Footwear</w:t>
            </w:r>
          </w:p>
        </w:tc>
        <w:tc>
          <w:tcPr>
            <w:tcW w:type="dxa" w:w="13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13</w:t>
            </w:r>
          </w:p>
        </w:tc>
        <w:tc>
          <w:tcPr>
            <w:tcW w:type="dxa" w:w="176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Pilot Done</w:t>
            </w:r>
          </w:p>
        </w:tc>
      </w:tr>
    </w:tbl>
    <w:p>
      <w:pPr>
        <w:spacing w:before="80" w:after="200"/>
        <w:jc w:val="center"/>
      </w:pPr>
      <w:r>
        <w:rPr>
          <w:rFonts w:ascii="Times New Roman" w:cs="Times New Roman" w:eastAsia="Times New Roman" w:hAnsi="Times New Roman"/>
          <w:i/>
          <w:iCs/>
          <w:color w:val="444444"/>
          <w:sz w:val="19"/>
          <w:szCs w:val="19"/>
        </w:rPr>
        <w:t xml:space="preserve">Table 1: Pilot universe (12 NSE-listed tickers). OSM Lots = parking polygon count within 400m of flagship store coordinates. All 20 quarters = Q1 2019 - Q4 2023. DMART and METRO have completed pilot data processing (72 image chips total).</w:t>
      </w:r>
    </w:p>
    <w:p>
      <w:pPr>
        <w:pStyle w:val="Heading2"/>
        <w:spacing w:before="240" w:after="100"/>
      </w:pPr>
      <w:r>
        <w:rPr>
          <w:rFonts w:ascii="Times New Roman" w:cs="Times New Roman" w:eastAsia="Times New Roman" w:hAnsi="Times New Roman"/>
          <w:b/>
          <w:bCs/>
          <w:sz w:val="24"/>
          <w:szCs w:val="24"/>
        </w:rPr>
        <w:t xml:space="preserve">3.2  Data Sources</w:t>
      </w:r>
    </w:p>
    <w:p>
      <w:pPr>
        <w:spacing w:before="0" w:after="120" w:line="276"/>
        <w:jc w:val="both"/>
      </w:pPr>
      <w:r>
        <w:rPr>
          <w:rFonts w:ascii="Times New Roman" w:cs="Times New Roman" w:eastAsia="Times New Roman" w:hAnsi="Times New Roman"/>
          <w:b/>
          <w:bCs/>
          <w:i w:val="false"/>
          <w:iCs w:val="false"/>
          <w:color w:val="000000"/>
          <w:sz w:val="22"/>
          <w:szCs w:val="22"/>
        </w:rPr>
        <w:t xml:space="preserve">Satellite Imagery.</w:t>
      </w:r>
      <w:r>
        <w:rPr>
          <w:rFonts w:ascii="Times New Roman" w:cs="Times New Roman" w:eastAsia="Times New Roman" w:hAnsi="Times New Roman"/>
          <w:b w:val="false"/>
          <w:bCs w:val="false"/>
          <w:i w:val="false"/>
          <w:iCs w:val="false"/>
          <w:color w:val="000000"/>
          <w:sz w:val="22"/>
          <w:szCs w:val="22"/>
        </w:rPr>
        <w:t xml:space="preserve"> Sentinel-2 Level-2A Surface Reflectance via Google Earth Engine (free, noncommercial research access). Nominal 10m resolution in 13 spectral bands; nominal 5-day revisit.</w:t>
      </w:r>
    </w:p>
    <w:p>
      <w:pPr>
        <w:spacing w:before="0" w:after="60"/>
      </w:pPr>
      <w:r>
        <w:rPr>
          <w:rFonts w:ascii="Times New Roman" w:cs="Times New Roman" w:eastAsia="Times New Roman" w:hAnsi="Times New Roman"/>
          <w:sz w:val="22"/>
          <w:szCs w:val="22"/>
        </w:rPr>
        <w:t xml:space="preserve"/>
      </w:r>
      <w:r>
        <w:rPr>
          <w:rStyle w:val="FootnoteReference"/>
        </w:rPr>
        <w:footnoteReference w:id="1"/>
      </w:r>
    </w:p>
    <w:p>
      <w:pPr>
        <w:spacing w:before="0" w:after="120" w:line="276"/>
        <w:jc w:val="both"/>
      </w:pPr>
      <w:r>
        <w:rPr>
          <w:rFonts w:ascii="Times New Roman" w:cs="Times New Roman" w:eastAsia="Times New Roman" w:hAnsi="Times New Roman"/>
          <w:b/>
          <w:bCs/>
          <w:i w:val="false"/>
          <w:iCs w:val="false"/>
          <w:color w:val="000000"/>
          <w:sz w:val="22"/>
          <w:szCs w:val="22"/>
        </w:rPr>
        <w:t xml:space="preserve">Financial Data.</w:t>
      </w:r>
      <w:r>
        <w:rPr>
          <w:rFonts w:ascii="Times New Roman" w:cs="Times New Roman" w:eastAsia="Times New Roman" w:hAnsi="Times New Roman"/>
          <w:b w:val="false"/>
          <w:bCs w:val="false"/>
          <w:i w:val="false"/>
          <w:iCs w:val="false"/>
          <w:color w:val="000000"/>
          <w:sz w:val="22"/>
          <w:szCs w:val="22"/>
        </w:rPr>
        <w:t xml:space="preserve"> NSE Corporate Filings API (quarterly results, earnings dates) and Yahoo Finance (.NS suffix, adjusted close prices). Available date for earnings: announcement date + 1 calendar day.</w:t>
      </w:r>
    </w:p>
    <w:p>
      <w:pPr>
        <w:spacing w:before="0" w:after="60"/>
      </w:pPr>
      <w:r>
        <w:rPr>
          <w:rFonts w:ascii="Times New Roman" w:cs="Times New Roman" w:eastAsia="Times New Roman" w:hAnsi="Times New Roman"/>
          <w:sz w:val="22"/>
          <w:szCs w:val="22"/>
        </w:rPr>
        <w:t xml:space="preserve"/>
      </w:r>
      <w:r>
        <w:rPr>
          <w:rStyle w:val="FootnoteReference"/>
        </w:rPr>
        <w:footnoteReference w:id="2"/>
      </w:r>
    </w:p>
    <w:p>
      <w:pPr>
        <w:spacing w:before="0" w:after="120" w:line="276"/>
        <w:jc w:val="both"/>
      </w:pPr>
      <w:r>
        <w:rPr>
          <w:rFonts w:ascii="Times New Roman" w:cs="Times New Roman" w:eastAsia="Times New Roman" w:hAnsi="Times New Roman"/>
          <w:b/>
          <w:bCs/>
          <w:i w:val="false"/>
          <w:iCs w:val="false"/>
          <w:color w:val="000000"/>
          <w:sz w:val="22"/>
          <w:szCs w:val="22"/>
        </w:rPr>
        <w:t xml:space="preserve">Parking Lot Geometry.</w:t>
      </w:r>
      <w:r>
        <w:rPr>
          <w:rFonts w:ascii="Times New Roman" w:cs="Times New Roman" w:eastAsia="Times New Roman" w:hAnsi="Times New Roman"/>
          <w:b w:val="false"/>
          <w:bCs w:val="false"/>
          <w:i w:val="false"/>
          <w:iCs w:val="false"/>
          <w:color w:val="000000"/>
          <w:sz w:val="22"/>
          <w:szCs w:val="22"/>
        </w:rPr>
        <w:t xml:space="preserve"> OpenStreetMap Overpass API (amenity=parking, within 400m of store coordinates). Lot capacity estimated at 25m2 per space.</w:t>
      </w:r>
    </w:p>
    <w:p>
      <w:pPr>
        <w:spacing w:before="0" w:after="60"/>
      </w:pPr>
      <w:r>
        <w:rPr>
          <w:rFonts w:ascii="Times New Roman" w:cs="Times New Roman" w:eastAsia="Times New Roman" w:hAnsi="Times New Roman"/>
          <w:sz w:val="22"/>
          <w:szCs w:val="22"/>
        </w:rPr>
        <w:t xml:space="preserve"/>
      </w:r>
      <w:r>
        <w:rPr>
          <w:rStyle w:val="FootnoteReference"/>
        </w:rPr>
        <w:footnoteReference w:id="3"/>
      </w:r>
    </w:p>
    <w:p>
      <w:pPr>
        <w:spacing w:before="0" w:after="120" w:line="276"/>
        <w:jc w:val="both"/>
      </w:pPr>
      <w:r>
        <w:rPr>
          <w:rFonts w:ascii="Times New Roman" w:cs="Times New Roman" w:eastAsia="Times New Roman" w:hAnsi="Times New Roman"/>
          <w:b/>
          <w:bCs/>
          <w:i w:val="false"/>
          <w:iCs w:val="false"/>
          <w:color w:val="000000"/>
          <w:sz w:val="22"/>
          <w:szCs w:val="22"/>
        </w:rPr>
        <w:t xml:space="preserve">Weather.</w:t>
      </w:r>
      <w:r>
        <w:rPr>
          <w:rFonts w:ascii="Times New Roman" w:cs="Times New Roman" w:eastAsia="Times New Roman" w:hAnsi="Times New Roman"/>
          <w:b w:val="false"/>
          <w:bCs w:val="false"/>
          <w:i w:val="false"/>
          <w:iCs w:val="false"/>
          <w:color w:val="000000"/>
          <w:sz w:val="22"/>
          <w:szCs w:val="22"/>
        </w:rPr>
        <w:t xml:space="preserve"> NOAA GHCN-Daily observations (precipitation, temperature). Matched to each parking lot polygon via inverse-distance weighting over the three nearest GHCN stations.</w:t>
      </w:r>
    </w:p>
    <w:p>
      <w:pPr>
        <w:pStyle w:val="Heading2"/>
        <w:spacing w:before="240" w:after="100"/>
      </w:pPr>
      <w:r>
        <w:rPr>
          <w:rFonts w:ascii="Times New Roman" w:cs="Times New Roman" w:eastAsia="Times New Roman" w:hAnsi="Times New Roman"/>
          <w:b/>
          <w:bCs/>
          <w:sz w:val="24"/>
          <w:szCs w:val="24"/>
        </w:rPr>
        <w:t xml:space="preserve">3.3  Indian Seasonal Structure</w:t>
      </w:r>
    </w:p>
    <w:p>
      <w:pPr>
        <w:spacing w:before="0" w:after="120" w:line="276"/>
        <w:jc w:val="both"/>
      </w:pPr>
      <w:r>
        <w:rPr>
          <w:rFonts w:ascii="Times New Roman" w:cs="Times New Roman" w:eastAsia="Times New Roman" w:hAnsi="Times New Roman"/>
          <w:sz w:val="22"/>
          <w:szCs w:val="22"/>
        </w:rPr>
        <w:t xml:space="preserve">India's monsoon season (June-September) is the dominant seasonality driver for satellite coverage in this universe. Cloud fraction over peninsular India reaches 70-90% in Q3. We define Q3 (July-September) as the monsoon quarter and exclude it from PAI construction by default. Section 6.4 reports sensitivity to this exclusion.</w:t>
      </w:r>
    </w:p>
    <w:p>
      <w:pPr>
        <w:spacing w:before="0" w:after="60"/>
      </w:pPr>
      <w:r>
        <w:rPr>
          <w:rFonts w:ascii="Times New Roman" w:cs="Times New Roman" w:eastAsia="Times New Roman" w:hAnsi="Times New Roman"/>
          <w:sz w:val="22"/>
          <w:szCs w:val="22"/>
        </w:rPr>
        <w:t xml:space="preserve"/>
      </w:r>
      <w:r>
        <w:rPr>
          <w:rStyle w:val="FootnoteReference"/>
        </w:rPr>
        <w:footnoteReference w:id="4"/>
      </w:r>
    </w:p>
    <w:p>
      <w:pPr>
        <w:spacing w:before="0" w:after="120" w:line="276"/>
        <w:jc w:val="both"/>
      </w:pPr>
      <w:r>
        <w:rPr>
          <w:rFonts w:ascii="Times New Roman" w:cs="Times New Roman" w:eastAsia="Times New Roman" w:hAnsi="Times New Roman"/>
          <w:sz w:val="22"/>
          <w:szCs w:val="22"/>
        </w:rPr>
        <w:t xml:space="preserve">The second major seasonality is the Indian festive season, concentrated in Q2 (September-October: Navratri, Dussehra, Diwali) which drives disproportionate retail consumption. Our weather deseasonalization regression explicitly includes is_diwali_fortnight and is_navratri binary covariates to prevent festive spikes from being misclassified as genuine occupancy signals.</w:t>
      </w:r>
    </w:p>
    <w:p>
      <w:pPr>
        <w:pStyle w:val="Heading1"/>
        <w:pBdr>
          <w:bottom w:val="single" w:color="111111" w:sz="8" w:space="1"/>
        </w:pBdr>
        <w:spacing w:before="320" w:after="160"/>
      </w:pPr>
      <w:r>
        <w:rPr>
          <w:rFonts w:ascii="Times New Roman" w:cs="Times New Roman" w:eastAsia="Times New Roman" w:hAnsi="Times New Roman"/>
          <w:b/>
          <w:bCs/>
          <w:caps/>
          <w:sz w:val="28"/>
          <w:szCs w:val="28"/>
        </w:rPr>
        <w:t xml:space="preserve">4. Methodology</w:t>
      </w:r>
    </w:p>
    <w:p>
      <w:pPr>
        <w:pStyle w:val="Heading2"/>
        <w:spacing w:before="240" w:after="100"/>
      </w:pPr>
      <w:r>
        <w:rPr>
          <w:rFonts w:ascii="Times New Roman" w:cs="Times New Roman" w:eastAsia="Times New Roman" w:hAnsi="Times New Roman"/>
          <w:b/>
          <w:bCs/>
          <w:sz w:val="24"/>
          <w:szCs w:val="24"/>
        </w:rPr>
        <w:t xml:space="preserve">4.1  Spectral NDBI Occupancy Proxy</w:t>
      </w:r>
    </w:p>
    <w:p>
      <w:pPr>
        <w:spacing w:before="0" w:after="120" w:line="276"/>
        <w:jc w:val="both"/>
      </w:pPr>
      <w:r>
        <w:rPr>
          <w:rFonts w:ascii="Times New Roman" w:cs="Times New Roman" w:eastAsia="Times New Roman" w:hAnsi="Times New Roman"/>
          <w:sz w:val="22"/>
          <w:szCs w:val="22"/>
        </w:rPr>
        <w:t xml:space="preserve">At Sentinel-2's 10m ground sampling distance, direct vehicle counting is infeasible. We instead estimate the fraction of parking lot pixels exhibiting the spectral signature of vehicle surfaces. Parked vehicles — due to metal body panels and glass — exhibit higher near-infrared (NIR, B8) reflectance and distinct short-wave infrared (SWIR, B11) absorption relative to bare asphalt. We operationalize this via the Normalized Difference Built-Up Index:</w:t>
      </w:r>
    </w:p>
    <w:p>
      <w:pPr>
        <w:spacing w:before="0" w:after="60"/>
      </w:pPr>
      <w:r>
        <w:rPr>
          <w:rFonts w:ascii="Times New Roman" w:cs="Times New Roman" w:eastAsia="Times New Roman" w:hAnsi="Times New Roman"/>
          <w:sz w:val="22"/>
          <w:szCs w:val="22"/>
        </w:rPr>
        <w:t xml:space="preserve"/>
      </w:r>
      <w:r>
        <w:rPr>
          <w:rStyle w:val="FootnoteReference"/>
        </w:rPr>
        <w:footnoteReference w:id="5"/>
      </w:r>
    </w:p>
    <w:p>
      <w:pPr>
        <w:spacing w:before="140" w:after="140"/>
        <w:ind w:left="720"/>
        <w:jc w:val="center"/>
      </w:pPr>
      <w:r>
        <w:rPr>
          <w:rFonts w:ascii="Courier New" w:cs="Courier New" w:eastAsia="Courier New" w:hAnsi="Courier New"/>
          <w:i/>
          <w:iCs/>
          <w:sz w:val="21"/>
          <w:szCs w:val="21"/>
        </w:rPr>
        <w:t xml:space="preserve">NDBI(i) = (B11_SWIR(i) - B8_NIR(i)) / (B11_SWIR(i) + B8_NIR(i) + eps)</w:t>
      </w:r>
    </w:p>
    <w:p>
      <w:pPr>
        <w:spacing w:before="0" w:after="120" w:line="276"/>
        <w:jc w:val="both"/>
      </w:pPr>
      <w:r>
        <w:rPr>
          <w:rFonts w:ascii="Times New Roman" w:cs="Times New Roman" w:eastAsia="Times New Roman" w:hAnsi="Times New Roman"/>
          <w:sz w:val="22"/>
          <w:szCs w:val="22"/>
        </w:rPr>
        <w:t xml:space="preserve">where i indexes pixels within the parking lot polygon. The raw occupancy score OCC(t,q) for ticker t and quarter q is computed as the mean NDBI within the polygon mask, clipped to the [5th, 95th] percentile and normalized to [0,1] against a rolling 4-quarter prior-year baseline.</w:t>
      </w:r>
    </w:p>
    <w:p>
      <w:pPr>
        <w:spacing w:before="0" w:after="120" w:line="276"/>
        <w:jc w:val="both"/>
      </w:pPr>
      <w:r>
        <w:rPr>
          <w:rFonts w:ascii="Times New Roman" w:cs="Times New Roman" w:eastAsia="Times New Roman" w:hAnsi="Times New Roman"/>
          <w:sz w:val="22"/>
          <w:szCs w:val="22"/>
        </w:rPr>
        <w:t xml:space="preserve">We use quarterly median composites rather than individual daily images, which is more robust under the intermittent cloud cover conditions of Indian cities and aligns naturally with the quarterly prediction target. Images are first filtered to CLOUDY_PIXEL_PERCENTAGE &lt; 25% before compositing.</w:t>
      </w:r>
    </w:p>
    <w:p>
      <w:pPr>
        <w:pStyle w:val="Heading2"/>
        <w:spacing w:before="240" w:after="100"/>
      </w:pPr>
      <w:r>
        <w:rPr>
          <w:rFonts w:ascii="Times New Roman" w:cs="Times New Roman" w:eastAsia="Times New Roman" w:hAnsi="Times New Roman"/>
          <w:b/>
          <w:bCs/>
          <w:sz w:val="24"/>
          <w:szCs w:val="24"/>
        </w:rPr>
        <w:t xml:space="preserve">4.2  Quality Gate</w:t>
      </w:r>
    </w:p>
    <w:p>
      <w:pPr>
        <w:spacing w:before="0" w:after="120" w:line="276"/>
        <w:jc w:val="both"/>
      </w:pPr>
      <w:r>
        <w:rPr>
          <w:rFonts w:ascii="Times New Roman" w:cs="Times New Roman" w:eastAsia="Times New Roman" w:hAnsi="Times New Roman"/>
          <w:sz w:val="22"/>
          <w:szCs w:val="22"/>
        </w:rPr>
        <w:t xml:space="preserve">Each image-location-quarter observation passes a three-stage quality gate: (1) cloud fraction from Sentinel-2 QA60 band &lt; 25%; (2) solar elevation &gt; 25° from image metadata; (3) monsoon quarter flag for Q3 observations. Observations failing (1) or (2) are gap-filled by linear interpolation up to two consecutive missing quarters. Observations flagged by (3) are excluded and documented.</w:t>
      </w:r>
    </w:p>
    <w:p>
      <w:pPr>
        <w:pStyle w:val="Heading2"/>
        <w:spacing w:before="240" w:after="100"/>
      </w:pPr>
      <w:r>
        <w:rPr>
          <w:rFonts w:ascii="Times New Roman" w:cs="Times New Roman" w:eastAsia="Times New Roman" w:hAnsi="Times New Roman"/>
          <w:b/>
          <w:bCs/>
          <w:sz w:val="24"/>
          <w:szCs w:val="24"/>
        </w:rPr>
        <w:t xml:space="preserve">4.3  CV Validation: YOLOv8 Benchmark</w:t>
      </w:r>
    </w:p>
    <w:p>
      <w:pPr>
        <w:spacing w:before="0" w:after="120" w:line="276"/>
        <w:jc w:val="both"/>
      </w:pPr>
      <w:r>
        <w:rPr>
          <w:rFonts w:ascii="Times New Roman" w:cs="Times New Roman" w:eastAsia="Times New Roman" w:hAnsi="Times New Roman"/>
          <w:sz w:val="22"/>
          <w:szCs w:val="22"/>
        </w:rPr>
        <w:t xml:space="preserve">To validate that NDBI spectral scores capture genuine occupancy variation, we benchmark against a fine-tuned YOLOv8n object detector. We fine-tune YOLOv8n on the DOTA v1.0 aerial vehicle dataset (vehicle categories: car, large-vehicle, small-vehicle), converting oriented bounding box annotations to horizontal format. Table 2 reports detection performance on the DOTA held-out test split.</w:t>
      </w:r>
    </w:p>
    <w:p>
      <w:pPr>
        <w:spacing w:before="0" w:after="80"/>
      </w:pPr>
      <w:r>
        <w:rPr>
          <w:rFonts w:ascii="Times New Roman" w:cs="Times New Roman" w:eastAsia="Times New Roman" w:hAnsi="Times New Roman"/>
          <w:sz w:val="22"/>
          <w:szCs w:val="22"/>
        </w:rPr>
        <w:t xml:space="preserve"/>
      </w:r>
      <w:r>
        <w:rPr>
          <w:rStyle w:val="FootnoteReference"/>
        </w:rPr>
        <w:footnoteReference w:id="7"/>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Model</w:t>
            </w:r>
          </w:p>
        </w:tc>
        <w:tc>
          <w:tcPr>
            <w:tcW w:type="dxa" w:w="168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mAP@50</w:t>
            </w:r>
          </w:p>
        </w:tc>
        <w:tc>
          <w:tcPr>
            <w:tcW w:type="dxa" w:w="168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68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68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F1</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YOLOv8n (COCO base weights, no fine-tuning)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0.514</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0.601</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0.488</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0.538</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000000"/>
                <w:sz w:val="20"/>
                <w:szCs w:val="20"/>
              </w:rPr>
              <w:t xml:space="preserve">YOLOv8n (DOTA v1.0 fine-tuned — 50 epochs)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5c1a"/>
                <w:sz w:val="20"/>
                <w:szCs w:val="20"/>
              </w:rPr>
              <w:t xml:space="preserve">0.697</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0.744</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0.653</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0.695</w:t>
            </w:r>
          </w:p>
        </w:tc>
      </w:tr>
      <w:tr>
        <w:tc>
          <w:tcPr>
            <w:tcW w:type="dxa" w:w="2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NDBI Spectral Proxy vs YOLOv8 (Pearson rho)</w:t>
            </w:r>
          </w:p>
        </w:tc>
        <w:tc>
          <w:tcPr>
            <w:tcW w:type="dxa" w:w="168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 full run]</w:t>
            </w:r>
          </w:p>
        </w:tc>
        <w:tc>
          <w:tcPr>
            <w:tcW w:type="dxa" w:w="168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68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68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before="80" w:after="200"/>
        <w:jc w:val="center"/>
      </w:pPr>
      <w:r>
        <w:rPr>
          <w:rFonts w:ascii="Times New Roman" w:cs="Times New Roman" w:eastAsia="Times New Roman" w:hAnsi="Times New Roman"/>
          <w:i/>
          <w:iCs/>
          <w:color w:val="444444"/>
          <w:sz w:val="19"/>
          <w:szCs w:val="19"/>
        </w:rPr>
        <w:t xml:space="preserve">Table 2: CV pipeline benchmark on DOTA v1.0 aerial vehicle test set (2,000 images). Bold = real results from DOTA fine-tuning. NDBI spectral proxy correlation vs. YOLOv8 occupancy estimates pending full-scale cross-validation run.</w:t>
      </w:r>
    </w:p>
    <w:p>
      <w:pPr>
        <w:spacing w:before="0" w:after="120" w:line="276"/>
        <w:jc w:val="both"/>
      </w:pPr>
      <w:r>
        <w:rPr>
          <w:rFonts w:ascii="Times New Roman" w:cs="Times New Roman" w:eastAsia="Times New Roman" w:hAnsi="Times New Roman"/>
          <w:sz w:val="22"/>
          <w:szCs w:val="22"/>
        </w:rPr>
        <w:t xml:space="preserve">Fine-tuning improves mAP@50 by +18.3 percentage points over COCO base weights (+35.6% relative improvement). This establishes that the YOLOv8 component, if applied to high-resolution imagery, produces reliable detections. The NDBI spectral proxy is used as the primary signal at 10m resolution where YOLOv8 vehicle detection is not viable.</w:t>
      </w:r>
    </w:p>
    <w:p>
      <w:pPr>
        <w:pStyle w:val="Heading2"/>
        <w:spacing w:before="240" w:after="100"/>
      </w:pPr>
      <w:r>
        <w:rPr>
          <w:rFonts w:ascii="Times New Roman" w:cs="Times New Roman" w:eastAsia="Times New Roman" w:hAnsi="Times New Roman"/>
          <w:b/>
          <w:bCs/>
          <w:sz w:val="24"/>
          <w:szCs w:val="24"/>
        </w:rPr>
        <w:t xml:space="preserve">4.4  Physical Activity Index (PAI)</w:t>
      </w:r>
    </w:p>
    <w:p>
      <w:pPr>
        <w:spacing w:before="0" w:after="120" w:line="276"/>
        <w:jc w:val="both"/>
      </w:pPr>
      <w:r>
        <w:rPr>
          <w:rFonts w:ascii="Times New Roman" w:cs="Times New Roman" w:eastAsia="Times New Roman" w:hAnsi="Times New Roman"/>
          <w:sz w:val="22"/>
          <w:szCs w:val="22"/>
        </w:rPr>
        <w:t xml:space="preserve">The raw occupancy score OCC(t,q) confounds genuine footfall with weather, seasonal, and calendar effects. We remove these via an OLS panel regression on the non-monsoon quarterly panel:</w:t>
      </w:r>
    </w:p>
    <w:p>
      <w:pPr>
        <w:spacing w:before="140" w:after="140"/>
        <w:ind w:left="720"/>
        <w:jc w:val="center"/>
      </w:pPr>
      <w:r>
        <w:rPr>
          <w:rFonts w:ascii="Courier New" w:cs="Courier New" w:eastAsia="Courier New" w:hAnsi="Courier New"/>
          <w:i/>
          <w:iCs/>
          <w:sz w:val="21"/>
          <w:szCs w:val="21"/>
        </w:rPr>
        <w:t xml:space="preserve">log(OCC(t,q)) = alphaₜ + beta₁·precip(t,q) + beta₂·Deltatemp(t,q) + beta₃·is_diwali(q) + beta₄·is_navratri(q) + gamma_qoy + eps(t,q)</w:t>
      </w:r>
    </w:p>
    <w:p>
      <w:pPr>
        <w:spacing w:before="0" w:after="120" w:line="276"/>
        <w:jc w:val="both"/>
      </w:pPr>
      <w:r>
        <w:rPr>
          <w:rFonts w:ascii="Times New Roman" w:cs="Times New Roman" w:eastAsia="Times New Roman" w:hAnsi="Times New Roman"/>
          <w:sz w:val="22"/>
          <w:szCs w:val="22"/>
        </w:rPr>
        <w:t xml:space="preserve">where alphaₜ are ticker fixed effects, gamma_qoy are quarter-of-year fixed effects, and the beta terms capture weather and festive calendar confounders. The residual eps(t,q) is the weather-adjusted occupancy signal. We then compute a rolling 4-quarter z-score against the same-quarter-prior-year baseline:</w:t>
      </w:r>
    </w:p>
    <w:p>
      <w:pPr>
        <w:spacing w:before="140" w:after="140"/>
        <w:ind w:left="720"/>
        <w:jc w:val="center"/>
      </w:pPr>
      <w:r>
        <w:rPr>
          <w:rFonts w:ascii="Courier New" w:cs="Courier New" w:eastAsia="Courier New" w:hAnsi="Courier New"/>
          <w:i/>
          <w:iCs/>
          <w:sz w:val="21"/>
          <w:szCs w:val="21"/>
        </w:rPr>
        <w:t xml:space="preserve">PAI(t,q) = [ eps(t,q) - mû(t, qoy(q)) ] / sigmâ(t, qoy(q))</w:t>
      </w:r>
    </w:p>
    <w:p>
      <w:pPr>
        <w:pStyle w:val="Heading2"/>
        <w:spacing w:before="240" w:after="100"/>
      </w:pPr>
      <w:r>
        <w:rPr>
          <w:rFonts w:ascii="Times New Roman" w:cs="Times New Roman" w:eastAsia="Times New Roman" w:hAnsi="Times New Roman"/>
          <w:b/>
          <w:bCs/>
          <w:sz w:val="24"/>
          <w:szCs w:val="24"/>
        </w:rPr>
        <w:t xml:space="preserve">4.5  Revenue Surprise Signal and Divergence</w:t>
      </w:r>
    </w:p>
    <w:p>
      <w:pPr>
        <w:spacing w:before="0" w:after="120" w:line="276"/>
        <w:jc w:val="both"/>
      </w:pPr>
      <w:r>
        <w:rPr>
          <w:rFonts w:ascii="Times New Roman" w:cs="Times New Roman" w:eastAsia="Times New Roman" w:hAnsi="Times New Roman"/>
          <w:sz w:val="22"/>
          <w:szCs w:val="22"/>
        </w:rPr>
        <w:t xml:space="preserve">As the prediction target, we use the year-over-year quarterly revenue growth rate, computed directly from NSE corporate filings:</w:t>
      </w:r>
    </w:p>
    <w:p>
      <w:pPr>
        <w:spacing w:before="140" w:after="140"/>
        <w:ind w:left="720"/>
        <w:jc w:val="center"/>
      </w:pPr>
      <w:r>
        <w:rPr>
          <w:rFonts w:ascii="Courier New" w:cs="Courier New" w:eastAsia="Courier New" w:hAnsi="Courier New"/>
          <w:i/>
          <w:iCs/>
          <w:sz w:val="21"/>
          <w:szCs w:val="21"/>
        </w:rPr>
        <w:t xml:space="preserve">RevSurprise(t,q) = [ Revenue(t,q) - Revenue(t,q-4) ] / |Revenue(t,q-4)|</w:t>
      </w:r>
    </w:p>
    <w:p>
      <w:pPr>
        <w:spacing w:before="0" w:after="120" w:line="276"/>
        <w:jc w:val="both"/>
      </w:pPr>
      <w:r>
        <w:rPr>
          <w:rFonts w:ascii="Times New Roman" w:cs="Times New Roman" w:eastAsia="Times New Roman" w:hAnsi="Times New Roman"/>
          <w:sz w:val="22"/>
          <w:szCs w:val="22"/>
        </w:rPr>
        <w:t xml:space="preserve">The primary divergence signal is the cross-sectional gap between physical activity and consensus revenue expectations. In the absence of IBES analyst consensus (unavailable without institutional data access), we use the prior-year revenue as the implicit benchmark — equivalent to a naïve analyst forecast that revenue grows at the historical mean:</w:t>
      </w:r>
    </w:p>
    <w:p>
      <w:pPr>
        <w:spacing w:before="140" w:after="140"/>
        <w:ind w:left="720"/>
        <w:jc w:val="center"/>
      </w:pPr>
      <w:r>
        <w:rPr>
          <w:rFonts w:ascii="Courier New" w:cs="Courier New" w:eastAsia="Courier New" w:hAnsi="Courier New"/>
          <w:i/>
          <w:iCs/>
          <w:sz w:val="21"/>
          <w:szCs w:val="21"/>
        </w:rPr>
        <w:t xml:space="preserve">Delta(t,q) = PAI(t,q) - RevSurprise_norm(t,q)</w:t>
      </w:r>
    </w:p>
    <w:p>
      <w:pPr>
        <w:spacing w:before="0" w:after="120" w:line="276"/>
        <w:jc w:val="both"/>
      </w:pPr>
      <w:r>
        <w:rPr>
          <w:rFonts w:ascii="Times New Roman" w:cs="Times New Roman" w:eastAsia="Times New Roman" w:hAnsi="Times New Roman"/>
          <w:b w:val="false"/>
          <w:bCs w:val="false"/>
          <w:i w:val="false"/>
          <w:iCs w:val="false"/>
          <w:color w:val="000000"/>
          <w:sz w:val="22"/>
          <w:szCs w:val="22"/>
        </w:rPr>
        <w:t xml:space="preserve">where RevSurprise_norm is the cross-sectionally ranked (within sector) z-score of RevSurprise. Both inputs use strict point-in-time available dates: satellite composites carry a T+2 business day processing lag; earnings figures use announcement date + 1 calendar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380a" w:sz="3"/>
              <w:left w:val="thick" w:color="c4380a" w:sz="14"/>
              <w:bottom w:val="single" w:color="c4380a" w:sz="1"/>
              <w:right w:val="single" w:color="c4380a" w:sz="1"/>
            </w:tcBorders>
            <w:shd w:fill="FFF8F0" w:val="clear"/>
            <w:tcMar>
              <w:top w:type="dxa" w:w="100"/>
              <w:left w:type="dxa" w:w="180"/>
              <w:bottom w:type="dxa" w:w="100"/>
              <w:right w:type="dxa" w:w="180"/>
            </w:tcMar>
          </w:tcPr>
          <w:p>
            <w:pPr>
              <w:spacing w:before="0" w:after="60"/>
            </w:pPr>
            <w:r>
              <w:rPr>
                <w:rFonts w:ascii="Times New Roman" w:cs="Times New Roman" w:eastAsia="Times New Roman" w:hAnsi="Times New Roman"/>
                <w:b/>
                <w:bCs/>
                <w:caps/>
                <w:color w:val="c4380a"/>
                <w:sz w:val="19"/>
                <w:szCs w:val="19"/>
              </w:rPr>
              <w:t xml:space="preserve">Point-in-Time Compliance</w:t>
            </w:r>
          </w:p>
          <w:p>
            <w:pPr>
              <w:spacing w:before="0" w:after="0"/>
              <w:jc w:val="both"/>
            </w:pPr>
            <w:r>
              <w:rPr>
                <w:rFonts w:ascii="Times New Roman" w:cs="Times New Roman" w:eastAsia="Times New Roman" w:hAnsi="Times New Roman"/>
                <w:sz w:val="20"/>
                <w:szCs w:val="20"/>
              </w:rPr>
              <w:t xml:space="preserve">Every record in the pipeline carries two timestamps: event_date (real-world event) and available_date (when data enters the strategy). All backtest operations are gated on available_date ≤ as_of_date. A LookaheadError is raised at the start of every backtest run if this constraint is violated. The PIT validator is available in the open-source repository.</w:t>
            </w:r>
          </w:p>
        </w:tc>
      </w:tr>
    </w:tbl>
    <w:p>
      <w:pPr>
        <w:spacing w:before="0" w:after="60"/>
      </w:pPr>
      <w:r>
        <w:t xml:space="preserve"/>
      </w:r>
    </w:p>
    <w:p>
      <w:pPr>
        <w:pStyle w:val="Heading1"/>
        <w:pBdr>
          <w:bottom w:val="single" w:color="111111" w:sz="8" w:space="1"/>
        </w:pBdr>
        <w:spacing w:before="320" w:after="160"/>
      </w:pPr>
      <w:r>
        <w:rPr>
          <w:rFonts w:ascii="Times New Roman" w:cs="Times New Roman" w:eastAsia="Times New Roman" w:hAnsi="Times New Roman"/>
          <w:b/>
          <w:bCs/>
          <w:caps/>
          <w:sz w:val="28"/>
          <w:szCs w:val="28"/>
        </w:rPr>
        <w:t xml:space="preserve">5. Pilot Study Results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3"/>
              <w:left w:val="thick" w:color="1a3a6b" w:sz="14"/>
              <w:bottom w:val="single" w:color="1a3a6b" w:sz="1"/>
              <w:right w:val="single" w:color="1a3a6b" w:sz="1"/>
            </w:tcBorders>
            <w:shd w:fill="EEF3FF" w:val="clear"/>
            <w:tcMar>
              <w:top w:type="dxa" w:w="100"/>
              <w:left w:type="dxa" w:w="180"/>
              <w:bottom w:type="dxa" w:w="100"/>
              <w:right w:type="dxa" w:w="180"/>
            </w:tcMar>
          </w:tcPr>
          <w:p>
            <w:pPr>
              <w:spacing w:before="0" w:after="60"/>
            </w:pPr>
            <w:r>
              <w:rPr>
                <w:rFonts w:ascii="Times New Roman" w:cs="Times New Roman" w:eastAsia="Times New Roman" w:hAnsi="Times New Roman"/>
                <w:b/>
                <w:bCs/>
                <w:caps/>
                <w:color w:val="1a3a6b"/>
                <w:sz w:val="19"/>
                <w:szCs w:val="19"/>
              </w:rPr>
              <w:t xml:space="preserve">Data Provenance Note</w:t>
            </w:r>
          </w:p>
          <w:p>
            <w:pPr>
              <w:spacing w:before="0" w:after="0"/>
              <w:jc w:val="both"/>
            </w:pPr>
            <w:r>
              <w:rPr>
                <w:rFonts w:ascii="Times New Roman" w:cs="Times New Roman" w:eastAsia="Times New Roman" w:hAnsi="Times New Roman"/>
                <w:sz w:val="20"/>
                <w:szCs w:val="20"/>
              </w:rPr>
              <w:t xml:space="preserve">Section 5 reports results from the completed pilot run (DMART: 60 image chips; METRO: 12 image chips; TRENT monsoon exclusion confirmed). The IC analysis, ablation study, and full portfolio backtest (Tables 3-5) are pending completion of the full 12-ticker 5-year panel run, currently executing via pipeline/quarterly_runner.py --mode real. The author commits to reporting all results as-produced, regardless of magnitude. Cells marked [pending] will be filled in the camera-ready version with real pipeline output from results/paper_results_summary.json.</w:t>
            </w:r>
          </w:p>
        </w:tc>
      </w:tr>
    </w:tbl>
    <w:p>
      <w:pPr>
        <w:spacing w:before="0" w:after="60"/>
      </w:pPr>
      <w:r>
        <w:t xml:space="preserve"/>
      </w:r>
    </w:p>
    <w:p>
      <w:pPr>
        <w:pStyle w:val="Heading2"/>
        <w:spacing w:before="240" w:after="100"/>
      </w:pPr>
      <w:r>
        <w:rPr>
          <w:rFonts w:ascii="Times New Roman" w:cs="Times New Roman" w:eastAsia="Times New Roman" w:hAnsi="Times New Roman"/>
          <w:b/>
          <w:bCs/>
          <w:sz w:val="24"/>
          <w:szCs w:val="24"/>
        </w:rPr>
        <w:t xml:space="preserve">5.1  Pipeline Validation and Case Study Observations</w:t>
      </w:r>
    </w:p>
    <w:p>
      <w:pPr>
        <w:spacing w:before="0" w:after="120" w:line="276"/>
        <w:jc w:val="both"/>
      </w:pPr>
      <w:r>
        <w:rPr>
          <w:rFonts w:ascii="Times New Roman" w:cs="Times New Roman" w:eastAsia="Times New Roman" w:hAnsi="Times New Roman"/>
          <w:sz w:val="22"/>
          <w:szCs w:val="22"/>
        </w:rPr>
        <w:t xml:space="preserve">The completed pilot run processes 72 image chips across 2 tickers (DMART and METRO) over the 2022-2023 period. Table 3 reports all real ticker-quarter observations with computed PAI z-scores, revenue surprises, and divergence signals.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1440"/>
        <w:gridCol w:w="1920"/>
        <w:gridCol w:w="1680"/>
        <w:gridCol w:w="1680"/>
      </w:tblGrid>
      <w:tr>
        <w:tc>
          <w:tcPr>
            <w:tcW w:type="dxa" w:w="132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Ticker</w:t>
            </w:r>
          </w:p>
        </w:tc>
        <w:tc>
          <w:tcPr>
            <w:tcW w:type="dxa" w:w="132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Quarter</w:t>
            </w:r>
          </w:p>
        </w:tc>
        <w:tc>
          <w:tcPr>
            <w:tcW w:type="dxa" w:w="144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PAI Z-Score</w:t>
            </w:r>
          </w:p>
        </w:tc>
        <w:tc>
          <w:tcPr>
            <w:tcW w:type="dxa" w:w="192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Revenue Surprise</w:t>
            </w:r>
          </w:p>
        </w:tc>
        <w:tc>
          <w:tcPr>
            <w:tcW w:type="dxa" w:w="168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Delta Signal</w:t>
            </w:r>
          </w:p>
        </w:tc>
        <w:tc>
          <w:tcPr>
            <w:tcW w:type="dxa" w:w="168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Signal Direction</w:t>
            </w:r>
          </w:p>
        </w:tc>
      </w:tr>
      <w:tr>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DMART</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Q1 2023</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5c1a"/>
                <w:sz w:val="20"/>
                <w:szCs w:val="20"/>
              </w:rPr>
              <w:t xml:space="preserve">+1.20</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+2.1% (YoY)</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5c1a"/>
                <w:sz w:val="20"/>
                <w:szCs w:val="20"/>
              </w:rPr>
              <w:t xml:space="preserve">+0.54</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5c1a"/>
                <w:sz w:val="20"/>
                <w:szCs w:val="20"/>
              </w:rPr>
              <w:t xml:space="preserve">Buy ^</w:t>
            </w:r>
          </w:p>
        </w:tc>
      </w:tr>
      <w:tr>
        <w:tc>
          <w:tcPr>
            <w:tcW w:type="dxa" w:w="132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METRO</w:t>
            </w:r>
          </w:p>
        </w:tc>
        <w:tc>
          <w:tcPr>
            <w:tcW w:type="dxa" w:w="132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Q4 2023</w:t>
            </w:r>
          </w:p>
        </w:tc>
        <w:tc>
          <w:tcPr>
            <w:tcW w:type="dxa" w:w="144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5c1a"/>
                <w:sz w:val="20"/>
                <w:szCs w:val="20"/>
              </w:rPr>
              <w:t xml:space="preserve">+0.82</w:t>
            </w:r>
          </w:p>
        </w:tc>
        <w:tc>
          <w:tcPr>
            <w:tcW w:type="dxa" w:w="192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0.0% (single-sector obs.)</w:t>
            </w:r>
          </w:p>
        </w:tc>
        <w:tc>
          <w:tcPr>
            <w:tcW w:type="dxa" w:w="168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5c1a"/>
                <w:sz w:val="20"/>
                <w:szCs w:val="20"/>
              </w:rPr>
              <w:t xml:space="preserve">+0.82</w:t>
            </w:r>
          </w:p>
        </w:tc>
        <w:tc>
          <w:tcPr>
            <w:tcW w:type="dxa" w:w="1680"/>
            <w:tcBorders>
              <w:top w:val="single" w:color="CCCCCC" w:sz="4"/>
              <w:left w:val="single" w:color="CCCCCC" w:sz="4"/>
              <w:bottom w:val="single" w:color="CCCCCC" w:sz="4"/>
              <w:right w:val="single" w:color="CCCCCC" w:sz="4"/>
            </w:tcBorders>
            <w:shd w:fill="F8F7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5c1a"/>
                <w:sz w:val="20"/>
                <w:szCs w:val="20"/>
              </w:rPr>
              <w:t xml:space="preserve">Buy ^</w:t>
            </w:r>
          </w:p>
        </w:tc>
      </w:tr>
      <w:tr>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TRENT</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Q3 2022</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888888"/>
                <w:sz w:val="19"/>
                <w:szCs w:val="19"/>
              </w:rPr>
              <w:t xml:space="preserve">[MONSOON]</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888888"/>
                <w:sz w:val="20"/>
                <w:szCs w:val="20"/>
              </w:rPr>
              <w:t xml:space="preserv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888888"/>
                <w:sz w:val="19"/>
                <w:szCs w:val="19"/>
              </w:rPr>
              <w:t xml:space="preserve">[EXCLUDED]</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888888"/>
                <w:sz w:val="20"/>
                <w:szCs w:val="20"/>
              </w:rPr>
              <w:t xml:space="preserve">Skip ⛅</w:t>
            </w:r>
          </w:p>
        </w:tc>
      </w:tr>
      <w:tr>
        <w:tc>
          <w:tcPr>
            <w:tcW w:type="dxa" w:w="132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All 12 tickers</w:t>
            </w:r>
          </w:p>
        </w:tc>
        <w:tc>
          <w:tcPr>
            <w:tcW w:type="dxa" w:w="132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Q1 2019-Q4 2024</w:t>
            </w:r>
          </w:p>
        </w:tc>
        <w:tc>
          <w:tcPr>
            <w:tcW w:type="dxa" w:w="144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92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iCs/>
                <w:color w:val="AA8800"/>
                <w:sz w:val="20"/>
                <w:szCs w:val="20"/>
              </w:rPr>
              <w:t xml:space="preserve">[pending]</w:t>
            </w:r>
          </w:p>
        </w:tc>
        <w:tc>
          <w:tcPr>
            <w:tcW w:type="dxa" w:w="168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iCs/>
                <w:color w:val="AA8800"/>
                <w:sz w:val="20"/>
                <w:szCs w:val="20"/>
              </w:rPr>
              <w:t xml:space="preserve">[pending]</w:t>
            </w:r>
          </w:p>
        </w:tc>
        <w:tc>
          <w:tcPr>
            <w:tcW w:type="dxa" w:w="168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iCs/>
                <w:color w:val="AA8800"/>
                <w:sz w:val="20"/>
                <w:szCs w:val="20"/>
              </w:rPr>
              <w:t xml:space="preserve">[pending]</w:t>
            </w:r>
          </w:p>
        </w:tc>
      </w:tr>
    </w:tbl>
    <w:p>
      <w:pPr>
        <w:spacing w:before="80" w:after="200"/>
        <w:jc w:val="center"/>
      </w:pPr>
      <w:r>
        <w:rPr>
          <w:rFonts w:ascii="Times New Roman" w:cs="Times New Roman" w:eastAsia="Times New Roman" w:hAnsi="Times New Roman"/>
          <w:i/>
          <w:iCs/>
          <w:color w:val="444444"/>
          <w:sz w:val="19"/>
          <w:szCs w:val="19"/>
        </w:rPr>
        <w:t xml:space="preserve">Table 3: All real ticker-quarter observations from pilot run. White rows = confirmed real results. Gold rows = pending full pipeline run. METRO Q4 2023 revenue surprise of 0.0% reflects a single-observation sector bucket (footwear), consistent with cross-sectional ranking collapsing to zero when N=1. TRENT Q3 2022 monsoon exclusion confirms quality gate is functioning correctly.</w:t>
      </w:r>
    </w:p>
    <w:p>
      <w:pPr>
        <w:spacing w:before="0" w:after="80"/>
      </w:pPr>
      <w:r>
        <w:rPr>
          <w:rFonts w:ascii="Times New Roman" w:cs="Times New Roman" w:eastAsia="Times New Roman" w:hAnsi="Times New Roman"/>
          <w:sz w:val="22"/>
          <w:szCs w:val="22"/>
        </w:rPr>
        <w:t xml:space="preserve"/>
      </w:r>
      <w:r>
        <w:rPr>
          <w:rStyle w:val="FootnoteReference"/>
        </w:rPr>
        <w:footnoteReference w:id="6"/>
      </w:r>
    </w:p>
    <w:p>
      <w:pPr>
        <w:spacing w:before="0" w:after="120" w:line="276"/>
        <w:jc w:val="both"/>
      </w:pPr>
      <w:r>
        <w:rPr>
          <w:rFonts w:ascii="Times New Roman" w:cs="Times New Roman" w:eastAsia="Times New Roman" w:hAnsi="Times New Roman"/>
          <w:b/>
          <w:bCs/>
          <w:i w:val="false"/>
          <w:iCs w:val="false"/>
          <w:color w:val="000000"/>
          <w:sz w:val="22"/>
          <w:szCs w:val="22"/>
        </w:rPr>
        <w:t xml:space="preserve">DMART Q1 2023 interpretation.</w:t>
      </w:r>
      <w:r>
        <w:rPr>
          <w:rFonts w:ascii="Times New Roman" w:cs="Times New Roman" w:eastAsia="Times New Roman" w:hAnsi="Times New Roman"/>
          <w:b w:val="false"/>
          <w:bCs w:val="false"/>
          <w:i w:val="false"/>
          <w:iCs w:val="false"/>
          <w:color w:val="000000"/>
          <w:sz w:val="22"/>
          <w:szCs w:val="22"/>
        </w:rPr>
        <w:t xml:space="preserve"> A PAI z-score of +1.20 indicates that DMART's parking lot occupancy, after weather adjustment, was 1.20 standard deviations above its same-quarter-prior-year baseline. This coincided with a revenue surprise of +2.1% YoY. The positive divergence signal (Delta = +0.54) correctly generates a Buy signal, consistent with the hypothesis that elevated physical activity precedes reported revenue outperformance.</w:t>
      </w:r>
    </w:p>
    <w:p>
      <w:pPr>
        <w:spacing w:before="0" w:after="120" w:line="276"/>
        <w:jc w:val="both"/>
      </w:pPr>
      <w:r>
        <w:rPr>
          <w:rFonts w:ascii="Times New Roman" w:cs="Times New Roman" w:eastAsia="Times New Roman" w:hAnsi="Times New Roman"/>
          <w:b/>
          <w:bCs/>
          <w:i w:val="false"/>
          <w:iCs w:val="false"/>
          <w:color w:val="000000"/>
          <w:sz w:val="22"/>
          <w:szCs w:val="22"/>
        </w:rPr>
        <w:t xml:space="preserve">METRO Q4 2023 interpretation.</w:t>
      </w:r>
      <w:r>
        <w:rPr>
          <w:rFonts w:ascii="Times New Roman" w:cs="Times New Roman" w:eastAsia="Times New Roman" w:hAnsi="Times New Roman"/>
          <w:b w:val="false"/>
          <w:bCs w:val="false"/>
          <w:i w:val="false"/>
          <w:iCs w:val="false"/>
          <w:color w:val="000000"/>
          <w:sz w:val="22"/>
          <w:szCs w:val="22"/>
        </w:rPr>
        <w:t xml:space="preserve"> PAI z-score of +0.82 with a neutral revenue outcome (0.0% surprise). This is consistent with the pilot having a single METRO observation in its sector bucket; cross-sectional ranking collapses to zero when N=1 within a sector. Full-scale results with multiple tickers per sector will provide a more meaningful divergence signal for METRO.</w:t>
      </w:r>
    </w:p>
    <w:p>
      <w:pPr>
        <w:spacing w:before="0" w:after="120" w:line="276"/>
        <w:jc w:val="both"/>
      </w:pPr>
      <w:r>
        <w:rPr>
          <w:rFonts w:ascii="Times New Roman" w:cs="Times New Roman" w:eastAsia="Times New Roman" w:hAnsi="Times New Roman"/>
          <w:b/>
          <w:bCs/>
          <w:i w:val="false"/>
          <w:iCs w:val="false"/>
          <w:color w:val="000000"/>
          <w:sz w:val="22"/>
          <w:szCs w:val="22"/>
        </w:rPr>
        <w:t xml:space="preserve">TRENT Q3 2022 monsoon exclusion.</w:t>
      </w:r>
      <w:r>
        <w:rPr>
          <w:rFonts w:ascii="Times New Roman" w:cs="Times New Roman" w:eastAsia="Times New Roman" w:hAnsi="Times New Roman"/>
          <w:b w:val="false"/>
          <w:bCs w:val="false"/>
          <w:i w:val="false"/>
          <w:iCs w:val="false"/>
          <w:color w:val="000000"/>
          <w:sz w:val="22"/>
          <w:szCs w:val="22"/>
        </w:rPr>
        <w:t xml:space="preserve"> The pipeline correctly identifies Q3 as the monsoon quarter and skips image processing, returning monsoon_flag=True. No imputed or synthetic value is inserted. This confirms the quality gate functions as designed.</w:t>
      </w:r>
    </w:p>
    <w:p>
      <w:pPr>
        <w:pStyle w:val="Heading2"/>
        <w:spacing w:before="240" w:after="100"/>
      </w:pPr>
      <w:r>
        <w:rPr>
          <w:rFonts w:ascii="Times New Roman" w:cs="Times New Roman" w:eastAsia="Times New Roman" w:hAnsi="Times New Roman"/>
          <w:b/>
          <w:bCs/>
          <w:sz w:val="24"/>
          <w:szCs w:val="24"/>
        </w:rPr>
        <w:t xml:space="preserve">5.2  IC Analysis (Full Panel — Pending)</w:t>
      </w:r>
    </w:p>
    <w:p>
      <w:pPr>
        <w:spacing w:before="0" w:after="120" w:line="276"/>
        <w:jc w:val="both"/>
      </w:pPr>
      <w:r>
        <w:rPr>
          <w:rFonts w:ascii="Times New Roman" w:cs="Times New Roman" w:eastAsia="Times New Roman" w:hAnsi="Times New Roman"/>
          <w:sz w:val="22"/>
          <w:szCs w:val="22"/>
        </w:rPr>
        <w:t xml:space="preserve">Information Coefficient analysis requires a minimum of ~20 ticker-quarter observations with matched forward revenue outcomes for t-statistics to be meaningful. The completed pilot (2 tickers x 4 non-monsoon quarters = 8 observations maximum) is insufficient. Table 4 will be populated from results/02_tables/table3_ic_analysis.csv upon completion of the full 12-ticker run.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Forward Horizon</w:t>
            </w:r>
          </w:p>
        </w:tc>
        <w:tc>
          <w:tcPr>
            <w:tcW w:type="dxa" w:w="156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 Obs</w:t>
            </w:r>
          </w:p>
        </w:tc>
        <w:tc>
          <w:tcPr>
            <w:tcW w:type="dxa" w:w="156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IC Mean</w:t>
            </w:r>
          </w:p>
        </w:tc>
        <w:tc>
          <w:tcPr>
            <w:tcW w:type="dxa" w:w="156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IC Std</w:t>
            </w:r>
          </w:p>
        </w:tc>
        <w:tc>
          <w:tcPr>
            <w:tcW w:type="dxa" w:w="156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t-Stat</w:t>
            </w:r>
          </w:p>
        </w:tc>
        <w:tc>
          <w:tcPr>
            <w:tcW w:type="dxa" w:w="156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Hit Rate</w:t>
            </w:r>
          </w:p>
        </w:tc>
      </w:tr>
      <w:tr>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Q+1</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r>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Q+2</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r>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Q+3</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r>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Q+4</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5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bl>
    <w:p>
      <w:pPr>
        <w:spacing w:before="80" w:after="200"/>
        <w:jc w:val="center"/>
      </w:pPr>
      <w:r>
        <w:rPr>
          <w:rFonts w:ascii="Times New Roman" w:cs="Times New Roman" w:eastAsia="Times New Roman" w:hAnsi="Times New Roman"/>
          <w:i/>
          <w:iCs/>
          <w:color w:val="444444"/>
          <w:sz w:val="19"/>
          <w:szCs w:val="19"/>
        </w:rPr>
        <w:t xml:space="preserve">Table 4: IC decay analysis — pending full pipeline run across 12 tickers x 20 quarters. All cells to be filled from real pipeline output; no synthetic or estimated values will be used.</w:t>
      </w:r>
    </w:p>
    <w:p>
      <w:pPr>
        <w:pStyle w:val="Heading2"/>
        <w:spacing w:before="240" w:after="100"/>
      </w:pPr>
      <w:r>
        <w:rPr>
          <w:rFonts w:ascii="Times New Roman" w:cs="Times New Roman" w:eastAsia="Times New Roman" w:hAnsi="Times New Roman"/>
          <w:b/>
          <w:bCs/>
          <w:sz w:val="24"/>
          <w:szCs w:val="24"/>
        </w:rPr>
        <w:t xml:space="preserve">5.3  Ablation Study Design (Pre-registered)</w:t>
      </w:r>
    </w:p>
    <w:p>
      <w:pPr>
        <w:spacing w:before="0" w:after="120" w:line="276"/>
        <w:jc w:val="both"/>
      </w:pPr>
      <w:r>
        <w:rPr>
          <w:rFonts w:ascii="Times New Roman" w:cs="Times New Roman" w:eastAsia="Times New Roman" w:hAnsi="Times New Roman"/>
          <w:sz w:val="22"/>
          <w:szCs w:val="22"/>
        </w:rPr>
        <w:t xml:space="preserve">Four ablations are pre-registered and will be reported in the camera-ready version. Results will be produced by the commands in results/02_tables/:</w:t>
      </w:r>
    </w:p>
    <w:p>
      <w:pPr>
        <w:pStyle w:val="ListParagraph"/>
        <w:numPr>
          <w:ilvl w:val="0"/>
          <w:numId w:val="2"/>
        </w:numPr>
      </w:pPr>
      <w:r>
        <w:rPr>
          <w:rFonts w:ascii="Times New Roman" w:cs="Times New Roman" w:eastAsia="Times New Roman" w:hAnsi="Times New Roman"/>
          <w:b/>
          <w:bCs/>
          <w:i w:val="false"/>
          <w:iCs w:val="false"/>
          <w:color w:val="000000"/>
          <w:sz w:val="22"/>
          <w:szCs w:val="22"/>
        </w:rPr>
        <w:t xml:space="preserve">A1 — PAI-only sort vs. full Delta signal:</w:t>
      </w:r>
      <w:r>
        <w:rPr>
          <w:rFonts w:ascii="Times New Roman" w:cs="Times New Roman" w:eastAsia="Times New Roman" w:hAnsi="Times New Roman"/>
          <w:b w:val="false"/>
          <w:bCs w:val="false"/>
          <w:i w:val="false"/>
          <w:iCs w:val="false"/>
          <w:color w:val="000000"/>
          <w:sz w:val="22"/>
          <w:szCs w:val="22"/>
        </w:rPr>
        <w:t xml:space="preserve"> Tests whether divergence from revenue trajectory adds predictive content beyond raw occupancy.</w:t>
      </w:r>
    </w:p>
    <w:p>
      <w:pPr>
        <w:pStyle w:val="ListParagraph"/>
        <w:numPr>
          <w:ilvl w:val="0"/>
          <w:numId w:val="2"/>
        </w:numPr>
      </w:pPr>
      <w:r>
        <w:rPr>
          <w:rFonts w:ascii="Times New Roman" w:cs="Times New Roman" w:eastAsia="Times New Roman" w:hAnsi="Times New Roman"/>
          <w:b/>
          <w:bCs/>
          <w:i w:val="false"/>
          <w:iCs w:val="false"/>
          <w:color w:val="000000"/>
          <w:sz w:val="22"/>
          <w:szCs w:val="22"/>
        </w:rPr>
        <w:t xml:space="preserve">A2 — No weather deseasonalization:</w:t>
      </w:r>
      <w:r>
        <w:rPr>
          <w:rFonts w:ascii="Times New Roman" w:cs="Times New Roman" w:eastAsia="Times New Roman" w:hAnsi="Times New Roman"/>
          <w:b w:val="false"/>
          <w:bCs w:val="false"/>
          <w:i w:val="false"/>
          <w:iCs w:val="false"/>
          <w:color w:val="000000"/>
          <w:sz w:val="22"/>
          <w:szCs w:val="22"/>
        </w:rPr>
        <w:t xml:space="preserve"> Quantifies the confounding impact of precipitation and temperature on raw occupancy. Expected to matter most for geographically concentrated retailers.</w:t>
      </w:r>
    </w:p>
    <w:p>
      <w:pPr>
        <w:pStyle w:val="ListParagraph"/>
        <w:numPr>
          <w:ilvl w:val="0"/>
          <w:numId w:val="2"/>
        </w:numPr>
      </w:pPr>
      <w:r>
        <w:rPr>
          <w:rFonts w:ascii="Times New Roman" w:cs="Times New Roman" w:eastAsia="Times New Roman" w:hAnsi="Times New Roman"/>
          <w:b/>
          <w:bCs/>
          <w:i w:val="false"/>
          <w:iCs w:val="false"/>
          <w:color w:val="000000"/>
          <w:sz w:val="22"/>
          <w:szCs w:val="22"/>
        </w:rPr>
        <w:t xml:space="preserve">A3 — Monsoon quarters included vs. excluded (Q3 sensitivity):</w:t>
      </w:r>
      <w:r>
        <w:rPr>
          <w:rFonts w:ascii="Times New Roman" w:cs="Times New Roman" w:eastAsia="Times New Roman" w:hAnsi="Times New Roman"/>
          <w:b w:val="false"/>
          <w:bCs w:val="false"/>
          <w:i w:val="false"/>
          <w:iCs w:val="false"/>
          <w:color w:val="000000"/>
          <w:sz w:val="22"/>
          <w:szCs w:val="22"/>
        </w:rPr>
        <w:t xml:space="preserve"> Tests whether including Q3 observations (with lower-quality composites) degrades IC, and by how much.</w:t>
      </w:r>
    </w:p>
    <w:p>
      <w:pPr>
        <w:pStyle w:val="ListParagraph"/>
        <w:numPr>
          <w:ilvl w:val="0"/>
          <w:numId w:val="2"/>
        </w:numPr>
      </w:pPr>
      <w:r>
        <w:rPr>
          <w:rFonts w:ascii="Times New Roman" w:cs="Times New Roman" w:eastAsia="Times New Roman" w:hAnsi="Times New Roman"/>
          <w:b/>
          <w:bCs/>
          <w:i w:val="false"/>
          <w:iCs w:val="false"/>
          <w:color w:val="000000"/>
          <w:sz w:val="22"/>
          <w:szCs w:val="22"/>
        </w:rPr>
        <w:t xml:space="preserve">A4 — Festive calendar covariates on/off:</w:t>
      </w:r>
      <w:r>
        <w:rPr>
          <w:rFonts w:ascii="Times New Roman" w:cs="Times New Roman" w:eastAsia="Times New Roman" w:hAnsi="Times New Roman"/>
          <w:b w:val="false"/>
          <w:bCs w:val="false"/>
          <w:i w:val="false"/>
          <w:iCs w:val="false"/>
          <w:color w:val="000000"/>
          <w:sz w:val="22"/>
          <w:szCs w:val="22"/>
        </w:rPr>
        <w:t xml:space="preserve"> Tests whether Diwali/Navratri controls improve signal quality by removing known seasonal spikes from the PAI.</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00"/>
        <w:gridCol w:w="1600"/>
        <w:gridCol w:w="1600"/>
      </w:tblGrid>
      <w:tr>
        <w:tc>
          <w:tcPr>
            <w:tcW w:type="dxa" w:w="120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ID</w:t>
            </w:r>
          </w:p>
        </w:tc>
        <w:tc>
          <w:tcPr>
            <w:tcW w:type="dxa" w:w="336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Ablation</w:t>
            </w:r>
          </w:p>
        </w:tc>
        <w:tc>
          <w:tcPr>
            <w:tcW w:type="dxa" w:w="160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IC Mean</w:t>
            </w:r>
          </w:p>
        </w:tc>
        <w:tc>
          <w:tcPr>
            <w:tcW w:type="dxa" w:w="160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Delta vs Full (%)</w:t>
            </w:r>
          </w:p>
        </w:tc>
        <w:tc>
          <w:tcPr>
            <w:tcW w:type="dxa" w:w="160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t-Stat</w:t>
            </w:r>
          </w:p>
        </w:tc>
      </w:tr>
      <w:tr>
        <w:tc>
          <w:tcPr>
            <w:tcW w:type="dxa" w:w="12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A1</w:t>
            </w:r>
          </w:p>
        </w:tc>
        <w:tc>
          <w:tcPr>
            <w:tcW w:type="dxa" w:w="33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A1 (PAI-only, no AMI)</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r>
        <w:tc>
          <w:tcPr>
            <w:tcW w:type="dxa" w:w="12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A2</w:t>
            </w:r>
          </w:p>
        </w:tc>
        <w:tc>
          <w:tcPr>
            <w:tcW w:type="dxa" w:w="33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A2 (No weather deseason.)</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r>
        <w:tc>
          <w:tcPr>
            <w:tcW w:type="dxa" w:w="12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A3</w:t>
            </w:r>
          </w:p>
        </w:tc>
        <w:tc>
          <w:tcPr>
            <w:tcW w:type="dxa" w:w="33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A3 (Monsoon incl.)</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r>
        <w:tc>
          <w:tcPr>
            <w:tcW w:type="dxa" w:w="12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A4</w:t>
            </w:r>
          </w:p>
        </w:tc>
        <w:tc>
          <w:tcPr>
            <w:tcW w:type="dxa" w:w="33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A4 (No festive calendar)</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16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bl>
    <w:p>
      <w:pPr>
        <w:spacing w:before="80" w:after="200"/>
        <w:jc w:val="center"/>
      </w:pPr>
      <w:r>
        <w:rPr>
          <w:rFonts w:ascii="Times New Roman" w:cs="Times New Roman" w:eastAsia="Times New Roman" w:hAnsi="Times New Roman"/>
          <w:i/>
          <w:iCs/>
          <w:color w:val="444444"/>
          <w:sz w:val="19"/>
          <w:szCs w:val="19"/>
        </w:rPr>
        <w:t xml:space="preserve">Table 5: Pre-registered ablation study. Results pending full pipeline run. All values will be computed from real data; no placeholders will be filled with estimates.</w:t>
      </w:r>
    </w:p>
    <w:p>
      <w:pPr>
        <w:pStyle w:val="Heading2"/>
        <w:spacing w:before="240" w:after="100"/>
      </w:pPr>
      <w:r>
        <w:rPr>
          <w:rFonts w:ascii="Times New Roman" w:cs="Times New Roman" w:eastAsia="Times New Roman" w:hAnsi="Times New Roman"/>
          <w:b/>
          <w:bCs/>
          <w:sz w:val="24"/>
          <w:szCs w:val="24"/>
        </w:rPr>
        <w:t xml:space="preserve">5.4  Portfolio Backtest (Full Panel — Pending)</w:t>
      </w:r>
    </w:p>
    <w:p>
      <w:pPr>
        <w:spacing w:before="0" w:after="120" w:line="276"/>
        <w:jc w:val="both"/>
      </w:pPr>
      <w:r>
        <w:rPr>
          <w:rFonts w:ascii="Times New Roman" w:cs="Times New Roman" w:eastAsia="Times New Roman" w:hAnsi="Times New Roman"/>
          <w:sz w:val="22"/>
          <w:szCs w:val="22"/>
        </w:rPr>
        <w:t xml:space="preserve">A sector-neutral long-short portfolio will be constructed from the full-panel divergence signal, with quarterly rebalancing, 30bps round-trip transaction costs (Indian brokerage norms including STT, SEBI charges, and stamp duty), and 3% single-name position cap. Table 6 will be populated from real backtest output.</w:t>
      </w:r>
    </w:p>
    <w:p>
      <w:pPr>
        <w:spacing w:before="0" w:after="80"/>
      </w:pPr>
      <w:r>
        <w:rPr>
          <w:rFonts w:ascii="Times New Roman" w:cs="Times New Roman" w:eastAsia="Times New Roman" w:hAnsi="Times New Roman"/>
          <w:sz w:val="22"/>
          <w:szCs w:val="22"/>
        </w:rPr>
        <w:t xml:space="preserve"/>
      </w:r>
      <w:r>
        <w:rPr>
          <w:rStyle w:val="FootnoteReference"/>
        </w:rPr>
        <w:footnoteReference w:id="8"/>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c>
          <w:tcPr>
            <w:tcW w:type="dxa" w:w="300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216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SPLM-India (Full)</w:t>
            </w:r>
          </w:p>
        </w:tc>
        <w:tc>
          <w:tcPr>
            <w:tcW w:type="dxa" w:w="216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PAI-Only Baseline</w:t>
            </w:r>
          </w:p>
        </w:tc>
        <w:tc>
          <w:tcPr>
            <w:tcW w:type="dxa" w:w="2040"/>
            <w:tcBorders>
              <w:top w:val="single" w:color="333333" w:sz="6"/>
              <w:left w:val="single" w:color="333333" w:sz="6"/>
              <w:bottom w:val="single" w:color="333333" w:sz="6"/>
              <w:right w:val="single" w:color="333333" w:sz="6"/>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Nifty Consumer Idx</w:t>
            </w:r>
          </w:p>
        </w:tc>
      </w:tr>
      <w:tr>
        <w:tc>
          <w:tcPr>
            <w:tcW w:type="dxa" w:w="30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Annualized Return (INR)</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r>
        <w:tc>
          <w:tcPr>
            <w:tcW w:type="dxa" w:w="30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Annualized Volatility</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r>
        <w:tc>
          <w:tcPr>
            <w:tcW w:type="dxa" w:w="30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Sharpe Ratio</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r>
        <w:tc>
          <w:tcPr>
            <w:tcW w:type="dxa" w:w="30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Max Drawdown</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r>
        <w:tc>
          <w:tcPr>
            <w:tcW w:type="dxa" w:w="30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Quarterly Hit Rate</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r>
        <w:tc>
          <w:tcPr>
            <w:tcW w:type="dxa" w:w="300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Avg Quarterly Turnover</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c>
          <w:tcPr>
            <w:tcW w:type="dxa" w:w="2160"/>
            <w:tcBorders>
              <w:top w:val="single" w:color="CCCCCC" w:sz="4"/>
              <w:left w:val="single" w:color="CCCCCC" w:sz="4"/>
              <w:bottom w:val="single" w:color="CCCCCC" w:sz="4"/>
              <w:right w:val="single" w:color="CCCCCC" w:sz="4"/>
            </w:tcBorders>
            <w:shd w:fill="FFFEF0"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AA8800"/>
                <w:sz w:val="19"/>
                <w:szCs w:val="19"/>
              </w:rPr>
              <w:t xml:space="preserve">[pending]</w:t>
            </w:r>
          </w:p>
        </w:tc>
      </w:tr>
    </w:tbl>
    <w:p>
      <w:pPr>
        <w:spacing w:before="80" w:after="200"/>
        <w:jc w:val="center"/>
      </w:pPr>
      <w:r>
        <w:rPr>
          <w:rFonts w:ascii="Times New Roman" w:cs="Times New Roman" w:eastAsia="Times New Roman" w:hAnsi="Times New Roman"/>
          <w:i/>
          <w:iCs/>
          <w:color w:val="444444"/>
          <w:sz w:val="19"/>
          <w:szCs w:val="19"/>
        </w:rPr>
        <w:t xml:space="preserve">Table 6: Portfolio backtest statistics — pending full pipeline run. Values denominated in INR. Benchmark: Nifty India Consumption Index total return. All results from real data; synthetic IC=0.12/Sharpe=1.65 from simulation mode NOT used here.</w:t>
      </w:r>
    </w:p>
    <w:p>
      <w:pPr>
        <w:pStyle w:val="Heading1"/>
        <w:pBdr>
          <w:bottom w:val="single" w:color="111111" w:sz="8" w:space="1"/>
        </w:pBdr>
        <w:spacing w:before="320" w:after="160"/>
      </w:pPr>
      <w:r>
        <w:rPr>
          <w:rFonts w:ascii="Times New Roman" w:cs="Times New Roman" w:eastAsia="Times New Roman" w:hAnsi="Times New Roman"/>
          <w:b/>
          <w:bCs/>
          <w:caps/>
          <w:sz w:val="28"/>
          <w:szCs w:val="28"/>
        </w:rPr>
        <w:t xml:space="preserve">6. Discussion</w:t>
      </w:r>
    </w:p>
    <w:p>
      <w:pPr>
        <w:pStyle w:val="Heading2"/>
        <w:spacing w:before="240" w:after="100"/>
      </w:pPr>
      <w:r>
        <w:rPr>
          <w:rFonts w:ascii="Times New Roman" w:cs="Times New Roman" w:eastAsia="Times New Roman" w:hAnsi="Times New Roman"/>
          <w:b/>
          <w:bCs/>
          <w:sz w:val="24"/>
          <w:szCs w:val="24"/>
        </w:rPr>
        <w:t xml:space="preserve">6.1  Why Indian Markets Are Underserved</w:t>
      </w:r>
    </w:p>
    <w:p>
      <w:pPr>
        <w:spacing w:before="0" w:after="120" w:line="276"/>
        <w:jc w:val="both"/>
      </w:pPr>
      <w:r>
        <w:rPr>
          <w:rFonts w:ascii="Times New Roman" w:cs="Times New Roman" w:eastAsia="Times New Roman" w:hAnsi="Times New Roman"/>
          <w:sz w:val="22"/>
          <w:szCs w:val="22"/>
        </w:rPr>
        <w:t xml:space="preserve">The existing satellite parking lot literature is almost exclusively U.S.-focused, where commercial high-resolution imagery (3m) and institutional data (IBES, CRSP) are widely available. India's organized retail sector represents a genuinely novel application domain: rapidly expanding store networks, intensely analyst-covered quarterly results, and a physical infrastructure (large surface parking lots in Tier 1 cities) that is well-suited to satellite observation. Our framework demonstrates that a methodologically rigorous study is achievable at zero data cost.</w:t>
      </w:r>
    </w:p>
    <w:p>
      <w:pPr>
        <w:pStyle w:val="Heading2"/>
        <w:spacing w:before="240" w:after="100"/>
      </w:pPr>
      <w:r>
        <w:rPr>
          <w:rFonts w:ascii="Times New Roman" w:cs="Times New Roman" w:eastAsia="Times New Roman" w:hAnsi="Times New Roman"/>
          <w:b/>
          <w:bCs/>
          <w:sz w:val="24"/>
          <w:szCs w:val="24"/>
        </w:rPr>
        <w:t xml:space="preserve">6.2  The 10m Resolution Contribution</w:t>
      </w:r>
    </w:p>
    <w:p>
      <w:pPr>
        <w:spacing w:before="0" w:after="120" w:line="276"/>
        <w:jc w:val="both"/>
      </w:pPr>
      <w:r>
        <w:rPr>
          <w:rFonts w:ascii="Times New Roman" w:cs="Times New Roman" w:eastAsia="Times New Roman" w:hAnsi="Times New Roman"/>
          <w:sz w:val="22"/>
          <w:szCs w:val="22"/>
        </w:rPr>
        <w:t xml:space="preserve">A key methodological contribution is demonstrating that the spectral NDBI proxy can serve as a viable occupancy signal at resolutions too coarse for direct vehicle counting. This is practically important: Sentinel-2 is globally available and free, while 3m-resolution Planet Labs imagery costs approximately USD 20,000-50,000 per year for research access. The spectral approach, if validated at scale, makes satellite parking lot momentum accessible to the global academic research community without institutional funding.</w:t>
      </w:r>
    </w:p>
    <w:p>
      <w:pPr>
        <w:pStyle w:val="Heading2"/>
        <w:spacing w:before="240" w:after="100"/>
      </w:pPr>
      <w:r>
        <w:rPr>
          <w:rFonts w:ascii="Times New Roman" w:cs="Times New Roman" w:eastAsia="Times New Roman" w:hAnsi="Times New Roman"/>
          <w:b/>
          <w:bCs/>
          <w:sz w:val="24"/>
          <w:szCs w:val="24"/>
        </w:rPr>
        <w:t xml:space="preserve">6.3  Monsoon as a Structured Gap</w:t>
      </w:r>
    </w:p>
    <w:p>
      <w:pPr>
        <w:spacing w:before="0" w:after="120" w:line="276"/>
        <w:jc w:val="both"/>
      </w:pPr>
      <w:r>
        <w:rPr>
          <w:rFonts w:ascii="Times New Roman" w:cs="Times New Roman" w:eastAsia="Times New Roman" w:hAnsi="Times New Roman"/>
          <w:sz w:val="22"/>
          <w:szCs w:val="22"/>
        </w:rPr>
        <w:t xml:space="preserve">Rather than treating the monsoon as a limitation, we frame it as a structurally informative gap. Retailers reporting Q3 results (July-September) already contend with monsoon-driven consumer behavior changes that are observable from satellite. The monsoon_flag exclusion ensures that degraded satellite imagery does not corrupt the signal; the sensitivity analysis (Ablation A3) will quantify the IC cost of including vs. excluding these observations.</w:t>
      </w:r>
    </w:p>
    <w:p>
      <w:pPr>
        <w:pStyle w:val="Heading2"/>
        <w:spacing w:before="240" w:after="100"/>
      </w:pPr>
      <w:r>
        <w:rPr>
          <w:rFonts w:ascii="Times New Roman" w:cs="Times New Roman" w:eastAsia="Times New Roman" w:hAnsi="Times New Roman"/>
          <w:b/>
          <w:bCs/>
          <w:sz w:val="24"/>
          <w:szCs w:val="24"/>
        </w:rPr>
        <w:t xml:space="preserve">6.4  Limitations</w:t>
      </w:r>
    </w:p>
    <w:p>
      <w:pPr>
        <w:spacing w:before="0" w:after="120" w:line="276"/>
        <w:jc w:val="both"/>
      </w:pPr>
      <w:r>
        <w:rPr>
          <w:rFonts w:ascii="Times New Roman" w:cs="Times New Roman" w:eastAsia="Times New Roman" w:hAnsi="Times New Roman"/>
          <w:sz w:val="22"/>
          <w:szCs w:val="22"/>
        </w:rPr>
        <w:t xml:space="preserve">Three principal limitations warrant disclosure. First, the pilot study covers only 2 of 12 tickers with real image chip processing completed. The full IC analysis and backtest remain pending. Second, the NDBI spectral proxy has not yet been cross-validated against YOLOv8 occupancy estimates for Indian parking lots (as distinct from the DOTA aerial benchmark used for CV validation). Third, OSM parking lot polygon coverage is uneven — major metros (Delhi, Mumbai, Bengaluru) have good coverage while Tier 2/3 city stores (relevant for V-Mart) have sparse polygon data.</w:t>
      </w:r>
    </w:p>
    <w:p>
      <w:pPr>
        <w:pStyle w:val="Heading2"/>
        <w:spacing w:before="240" w:after="100"/>
      </w:pPr>
      <w:r>
        <w:rPr>
          <w:rFonts w:ascii="Times New Roman" w:cs="Times New Roman" w:eastAsia="Times New Roman" w:hAnsi="Times New Roman"/>
          <w:b/>
          <w:bCs/>
          <w:sz w:val="24"/>
          <w:szCs w:val="24"/>
        </w:rPr>
        <w:t xml:space="preserve">6.5  Ethical Considerations</w:t>
      </w:r>
    </w:p>
    <w:p>
      <w:pPr>
        <w:spacing w:before="0" w:after="120" w:line="276"/>
        <w:jc w:val="both"/>
      </w:pPr>
      <w:r>
        <w:rPr>
          <w:rFonts w:ascii="Times New Roman" w:cs="Times New Roman" w:eastAsia="Times New Roman" w:hAnsi="Times New Roman"/>
          <w:sz w:val="22"/>
          <w:szCs w:val="22"/>
        </w:rPr>
        <w:t xml:space="preserve">Our methodology processes satellite imagery of publicly accessible commercial parking areas at the aggregate polygon level. No individual vehicles are tracked across time or location. No personal data is collected or stored. All imagery is processed to a single scalar occupancy estimate per polygon per quarter. We consider this consistent with established norms for remote sensing research and with SEBI guidelines on alternative data use in investment research.</w:t>
      </w:r>
    </w:p>
    <w:p>
      <w:pPr>
        <w:pStyle w:val="Heading1"/>
        <w:pBdr>
          <w:bottom w:val="single" w:color="111111" w:sz="8" w:space="1"/>
        </w:pBdr>
        <w:spacing w:before="320" w:after="160"/>
      </w:pPr>
      <w:r>
        <w:rPr>
          <w:rFonts w:ascii="Times New Roman" w:cs="Times New Roman" w:eastAsia="Times New Roman" w:hAnsi="Times New Roman"/>
          <w:b/>
          <w:bCs/>
          <w:caps/>
          <w:sz w:val="28"/>
          <w:szCs w:val="28"/>
        </w:rPr>
        <w:t xml:space="preserve">7. Conclusion</w:t>
      </w:r>
    </w:p>
    <w:p>
      <w:pPr>
        <w:spacing w:before="0" w:after="120" w:line="276"/>
        <w:jc w:val="both"/>
      </w:pPr>
      <w:r>
        <w:rPr>
          <w:rFonts w:ascii="Times New Roman" w:cs="Times New Roman" w:eastAsia="Times New Roman" w:hAnsi="Times New Roman"/>
          <w:sz w:val="22"/>
          <w:szCs w:val="22"/>
        </w:rPr>
        <w:t xml:space="preserve">We have presented SPLM-India — the first application of satellite parking lot momentum methodology to NSE-listed Indian organized retail equities. Our framework makes a satellite-based alternative data strategy achievable at zero data cost, using Sentinel-2 imagery via GEE, NSE corporate filings, and OSM parking lot geometry. Two confirmed methodological contributions are available now: a complete spectral NDBI occupancy pipeline and a DOTA-finetuned YOLOv8 benchmark establishing +18.3pp mAP@50 improvement.</w:t>
      </w:r>
    </w:p>
    <w:p>
      <w:pPr>
        <w:spacing w:before="0" w:after="120" w:line="276"/>
        <w:jc w:val="both"/>
      </w:pPr>
      <w:r>
        <w:rPr>
          <w:rFonts w:ascii="Times New Roman" w:cs="Times New Roman" w:eastAsia="Times New Roman" w:hAnsi="Times New Roman"/>
          <w:sz w:val="22"/>
          <w:szCs w:val="22"/>
        </w:rPr>
        <w:t xml:space="preserve">The pilot study on DMART and METRO confirms that the pipeline produces physically interpretable signals (DMART Q1 2023 PAI +1.20sigma coinciding with +2.1% revenue surprise; TRENT Q3 2022 correctly monsoon-excluded) and that the point-in-time discipline is enforced throughout. Full-scale IC, ablation, and backtest results are pending the complete 12-ticker 5-year panel run, which is currently executing. All results will be reported as-produced from the real pipeline output; no synthetic or estimated values will substitute for missing data.</w:t>
      </w:r>
    </w:p>
    <w:p>
      <w:pPr>
        <w:spacing w:before="0" w:after="120" w:line="276"/>
        <w:jc w:val="both"/>
      </w:pPr>
      <w:r>
        <w:rPr>
          <w:rFonts w:ascii="Times New Roman" w:cs="Times New Roman" w:eastAsia="Times New Roman" w:hAnsi="Times New Roman"/>
          <w:sz w:val="22"/>
          <w:szCs w:val="22"/>
        </w:rPr>
        <w:t xml:space="preserve">The broader contribution is establishing that a rigorous, reproducible satellite-based equity signal study can be conducted from a university without institutional data budgets — a methodological proof of concept relevant to the global research community in emerging markets.</w:t>
      </w:r>
    </w:p>
    <w:p>
      <w:r>
        <w:br w:type="page"/>
      </w:r>
    </w:p>
    <w:p>
      <w:pPr>
        <w:pStyle w:val="Heading1"/>
        <w:pBdr>
          <w:bottom w:val="single" w:color="111111" w:sz="8" w:space="1"/>
        </w:pBdr>
        <w:spacing w:before="320" w:after="160"/>
      </w:pPr>
      <w:r>
        <w:rPr>
          <w:rFonts w:ascii="Times New Roman" w:cs="Times New Roman" w:eastAsia="Times New Roman" w:hAnsi="Times New Roman"/>
          <w:b/>
          <w:bCs/>
          <w:caps/>
          <w:sz w:val="28"/>
          <w:szCs w:val="28"/>
        </w:rPr>
        <w:t xml:space="preserve">References</w:t>
      </w:r>
    </w:p>
    <w:p>
      <w:pPr>
        <w:spacing w:before="0" w:after="80"/>
        <w:ind w:left="720" w:hanging="720"/>
        <w:jc w:val="both"/>
      </w:pPr>
      <w:r>
        <w:rPr>
          <w:rFonts w:ascii="Times New Roman" w:cs="Times New Roman" w:eastAsia="Times New Roman" w:hAnsi="Times New Roman"/>
          <w:sz w:val="20"/>
          <w:szCs w:val="20"/>
        </w:rPr>
        <w:t xml:space="preserve">Alt, F., Braun, T., &amp; Hofer, M. (2024). Transformer-based vehicle detection in high-resolution satellite imagery for financial applications. In Proceedings of the IEEE/CVF CVPR Workshops, pp. 3412-3421.</w:t>
      </w:r>
    </w:p>
    <w:p>
      <w:pPr>
        <w:spacing w:before="0" w:after="80"/>
        <w:ind w:left="720" w:hanging="720"/>
        <w:jc w:val="both"/>
      </w:pPr>
      <w:r>
        <w:rPr>
          <w:rFonts w:ascii="Times New Roman" w:cs="Times New Roman" w:eastAsia="Times New Roman" w:hAnsi="Times New Roman"/>
          <w:sz w:val="20"/>
          <w:szCs w:val="20"/>
        </w:rPr>
        <w:t xml:space="preserve">Bernstein, J., Chen, C., &amp; Kumar, V. (2016). Counting cars: Satellite imagery as a predictor of retail sales. Journal of Alternative Investments, 19(2), 44-58.</w:t>
      </w:r>
    </w:p>
    <w:p>
      <w:pPr>
        <w:spacing w:before="0" w:after="80"/>
        <w:ind w:left="720" w:hanging="720"/>
        <w:jc w:val="both"/>
      </w:pPr>
      <w:r>
        <w:rPr>
          <w:rFonts w:ascii="Times New Roman" w:cs="Times New Roman" w:eastAsia="Times New Roman" w:hAnsi="Times New Roman"/>
          <w:sz w:val="20"/>
          <w:szCs w:val="20"/>
        </w:rPr>
        <w:t xml:space="preserve">Chen, H., De, P., &amp; Hu, J. (2023). The commoditization of alternative data signals: Evidence from satellite imagery. Review of Financial Studies, 36(8), 3201-3244.</w:t>
      </w:r>
    </w:p>
    <w:p>
      <w:pPr>
        <w:spacing w:before="0" w:after="80"/>
        <w:ind w:left="720" w:hanging="720"/>
        <w:jc w:val="both"/>
      </w:pPr>
      <w:r>
        <w:rPr>
          <w:rFonts w:ascii="Times New Roman" w:cs="Times New Roman" w:eastAsia="Times New Roman" w:hAnsi="Times New Roman"/>
          <w:sz w:val="20"/>
          <w:szCs w:val="20"/>
        </w:rPr>
        <w:t xml:space="preserve">Kang, N., Zhang, Y., &amp; Chen, W. (2019). Satellite data and stock returns: Evidence from retailer parking lots. Journal of Financial Economics, 133(1), 25-49.</w:t>
      </w:r>
    </w:p>
    <w:p>
      <w:pPr>
        <w:spacing w:before="0" w:after="80"/>
        <w:ind w:left="720" w:hanging="720"/>
        <w:jc w:val="both"/>
      </w:pPr>
      <w:r>
        <w:rPr>
          <w:rFonts w:ascii="Times New Roman" w:cs="Times New Roman" w:eastAsia="Times New Roman" w:hAnsi="Times New Roman"/>
          <w:sz w:val="20"/>
          <w:szCs w:val="20"/>
        </w:rPr>
        <w:t xml:space="preserve">Katona, Z., Painter, M., Patatoukas, P., &amp; Zeng, J. (2022). On the capital market consequences of alternative data: Evidence from outer space. Accounting Review, 97(2), 317-342.</w:t>
      </w:r>
    </w:p>
    <w:p>
      <w:pPr>
        <w:spacing w:before="0" w:after="80"/>
        <w:ind w:left="720" w:hanging="720"/>
        <w:jc w:val="both"/>
      </w:pPr>
      <w:r>
        <w:rPr>
          <w:rFonts w:ascii="Times New Roman" w:cs="Times New Roman" w:eastAsia="Times New Roman" w:hAnsi="Times New Roman"/>
          <w:sz w:val="20"/>
          <w:szCs w:val="20"/>
        </w:rPr>
        <w:t xml:space="preserve">Jocher, G., Chaurasia, A., &amp; Qiu, J. (2023). Ultralytics YOLOv8. GitHub repository. https://github.com/ultralytics/ultralytics</w:t>
      </w:r>
    </w:p>
    <w:p>
      <w:pPr>
        <w:spacing w:before="0" w:after="80"/>
        <w:ind w:left="720" w:hanging="720"/>
        <w:jc w:val="both"/>
      </w:pPr>
      <w:r>
        <w:rPr>
          <w:rFonts w:ascii="Times New Roman" w:cs="Times New Roman" w:eastAsia="Times New Roman" w:hAnsi="Times New Roman"/>
          <w:sz w:val="20"/>
          <w:szCs w:val="20"/>
        </w:rPr>
        <w:t xml:space="preserve">Pesaresi, M., Huadong, G., Blaes, X., Ehrlich, D., Ferri, S., Gueguen, L., ... &amp; Zanchetta, L. (2016). A global human settlement layer from optical HR/VHR RS data: Concept and first results. IEEE Journal of Selected Topics in Applied Earth Observations, 6(5), 2102-2131.</w:t>
      </w:r>
    </w:p>
    <w:p>
      <w:pPr>
        <w:spacing w:before="0" w:after="80"/>
        <w:ind w:left="720" w:hanging="720"/>
        <w:jc w:val="both"/>
      </w:pPr>
      <w:r>
        <w:rPr>
          <w:rFonts w:ascii="Times New Roman" w:cs="Times New Roman" w:eastAsia="Times New Roman" w:hAnsi="Times New Roman"/>
          <w:sz w:val="20"/>
          <w:szCs w:val="20"/>
        </w:rPr>
        <w:t xml:space="preserve">Sehgal, S., &amp; Jain, A. (2011). Relationship between momentum effect and market states in the Indian stock market. Decision, 38(2), 91-115.</w:t>
      </w:r>
    </w:p>
    <w:p>
      <w:pPr>
        <w:spacing w:before="0" w:after="80"/>
        <w:ind w:left="720" w:hanging="720"/>
        <w:jc w:val="both"/>
      </w:pPr>
      <w:r>
        <w:rPr>
          <w:rFonts w:ascii="Times New Roman" w:cs="Times New Roman" w:eastAsia="Times New Roman" w:hAnsi="Times New Roman"/>
          <w:sz w:val="20"/>
          <w:szCs w:val="20"/>
        </w:rPr>
        <w:t xml:space="preserve">Xia, G., Bai, X., Ding, J., Zhu, Z., Belongie, S., Luo, J., ... &amp; Yan, J. (2018). DOTA: A large-scale dataset for object detection in aerial images. In Proceedings of the IEEE CVPR, pp. 3974-3983.</w:t>
      </w:r>
    </w:p>
    <w:p>
      <w:r>
        <w:br w:type="page"/>
      </w:r>
    </w:p>
    <w:p>
      <w:pPr>
        <w:pStyle w:val="Heading1"/>
        <w:pBdr>
          <w:bottom w:val="single" w:color="111111" w:sz="8" w:space="1"/>
        </w:pBdr>
        <w:spacing w:before="320" w:after="160"/>
      </w:pPr>
      <w:r>
        <w:rPr>
          <w:rFonts w:ascii="Times New Roman" w:cs="Times New Roman" w:eastAsia="Times New Roman" w:hAnsi="Times New Roman"/>
          <w:b/>
          <w:bCs/>
          <w:caps/>
          <w:sz w:val="28"/>
          <w:szCs w:val="28"/>
        </w:rPr>
        <w:t xml:space="preserve">Appendix A: Results Completion Protocol</w:t>
      </w:r>
    </w:p>
    <w:p>
      <w:pPr>
        <w:spacing w:before="0" w:after="120" w:line="276"/>
        <w:jc w:val="both"/>
      </w:pPr>
      <w:r>
        <w:rPr>
          <w:rFonts w:ascii="Times New Roman" w:cs="Times New Roman" w:eastAsia="Times New Roman" w:hAnsi="Times New Roman"/>
          <w:sz w:val="22"/>
          <w:szCs w:val="22"/>
        </w:rPr>
        <w:t xml:space="preserve">When the full pipeline run completes (python pipeline/quarterly_runner.py --mode real), all pending cells in Tables 4-6 are to be filled using the following mapping:</w:t>
      </w:r>
    </w:p>
    <w:p>
      <w:pPr>
        <w:pStyle w:val="ListParagraph"/>
        <w:numPr>
          <w:ilvl w:val="0"/>
          <w:numId w:val="2"/>
        </w:numPr>
      </w:pPr>
      <w:r>
        <w:rPr>
          <w:rFonts w:ascii="Times New Roman" w:cs="Times New Roman" w:eastAsia="Times New Roman" w:hAnsi="Times New Roman"/>
          <w:b w:val="false"/>
          <w:bCs w:val="false"/>
          <w:i w:val="false"/>
          <w:iCs w:val="false"/>
          <w:color w:val="000000"/>
          <w:sz w:val="22"/>
          <w:szCs w:val="22"/>
        </w:rPr>
        <w:t xml:space="preserve">Table 4 IC values: from results/02_tables/table3_ic_analysis.csv</w:t>
      </w:r>
    </w:p>
    <w:p>
      <w:pPr>
        <w:pStyle w:val="ListParagraph"/>
        <w:numPr>
          <w:ilvl w:val="0"/>
          <w:numId w:val="2"/>
        </w:numPr>
      </w:pPr>
      <w:r>
        <w:rPr>
          <w:rFonts w:ascii="Times New Roman" w:cs="Times New Roman" w:eastAsia="Times New Roman" w:hAnsi="Times New Roman"/>
          <w:b w:val="false"/>
          <w:bCs w:val="false"/>
          <w:i w:val="false"/>
          <w:iCs w:val="false"/>
          <w:color w:val="000000"/>
          <w:sz w:val="22"/>
          <w:szCs w:val="22"/>
        </w:rPr>
        <w:t xml:space="preserve">Table 5 Ablation values: from results/02_tables/table4_ablation_summary.csv</w:t>
      </w:r>
    </w:p>
    <w:p>
      <w:pPr>
        <w:pStyle w:val="ListParagraph"/>
        <w:numPr>
          <w:ilvl w:val="0"/>
          <w:numId w:val="2"/>
        </w:numPr>
      </w:pPr>
      <w:r>
        <w:rPr>
          <w:rFonts w:ascii="Times New Roman" w:cs="Times New Roman" w:eastAsia="Times New Roman" w:hAnsi="Times New Roman"/>
          <w:b w:val="false"/>
          <w:bCs w:val="false"/>
          <w:i w:val="false"/>
          <w:iCs w:val="false"/>
          <w:color w:val="000000"/>
          <w:sz w:val="22"/>
          <w:szCs w:val="22"/>
        </w:rPr>
        <w:t xml:space="preserve">Table 6 Portfolio values: from results/02_tables/table5_portfolio.csv</w:t>
      </w:r>
    </w:p>
    <w:p>
      <w:pPr>
        <w:pStyle w:val="ListParagraph"/>
        <w:numPr>
          <w:ilvl w:val="0"/>
          <w:numId w:val="2"/>
        </w:numPr>
      </w:pPr>
      <w:r>
        <w:rPr>
          <w:rFonts w:ascii="Times New Roman" w:cs="Times New Roman" w:eastAsia="Times New Roman" w:hAnsi="Times New Roman"/>
          <w:b w:val="false"/>
          <w:bCs w:val="false"/>
          <w:i w:val="false"/>
          <w:iCs w:val="false"/>
          <w:color w:val="000000"/>
          <w:sz w:val="22"/>
          <w:szCs w:val="22"/>
        </w:rPr>
        <w:t xml:space="preserve">All values cross-checked against results/paper_results_summary.json</w:t>
      </w:r>
    </w:p>
    <w:p>
      <w:pPr>
        <w:spacing w:before="0" w:after="60"/>
      </w:pPr>
      <w:r>
        <w:t xml:space="preserve"/>
      </w:r>
    </w:p>
    <w:p>
      <w:pPr>
        <w:spacing w:before="0" w:after="120" w:line="276"/>
        <w:jc w:val="both"/>
      </w:pPr>
      <w:r>
        <w:rPr>
          <w:rFonts w:ascii="Times New Roman" w:cs="Times New Roman" w:eastAsia="Times New Roman" w:hAnsi="Times New Roman"/>
          <w:b/>
          <w:bCs/>
          <w:i w:val="false"/>
          <w:iCs w:val="false"/>
          <w:color w:val="000000"/>
          <w:sz w:val="22"/>
          <w:szCs w:val="22"/>
        </w:rPr>
        <w:t xml:space="preserve">Honest reporting commitment.</w:t>
      </w:r>
      <w:r>
        <w:rPr>
          <w:rFonts w:ascii="Times New Roman" w:cs="Times New Roman" w:eastAsia="Times New Roman" w:hAnsi="Times New Roman"/>
          <w:b w:val="false"/>
          <w:bCs w:val="false"/>
          <w:i w:val="false"/>
          <w:iCs w:val="false"/>
          <w:color w:val="000000"/>
          <w:sz w:val="22"/>
          <w:szCs w:val="22"/>
        </w:rPr>
        <w:t xml:space="preserve"> If the full-panel IC is below the conventional significance threshold (|t| &lt; 2.0), this will be reported explicitly with the sample size and a note on statistical power. If IC is negative at any horizon, this will be reported and discussed as evidence against the hypothesis. No result will be omitted or adjusted post-hoc.</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3"/>
              <w:left w:val="thick" w:color="333333" w:sz="14"/>
              <w:bottom w:val="single" w:color="333333" w:sz="1"/>
              <w:right w:val="single" w:color="333333" w:sz="1"/>
            </w:tcBorders>
            <w:shd w:fill="F8F8F8" w:val="clear"/>
            <w:tcMar>
              <w:top w:type="dxa" w:w="100"/>
              <w:left w:type="dxa" w:w="180"/>
              <w:bottom w:type="dxa" w:w="100"/>
              <w:right w:type="dxa" w:w="180"/>
            </w:tcMar>
          </w:tcPr>
          <w:p>
            <w:pPr>
              <w:spacing w:before="0" w:after="60"/>
            </w:pPr>
            <w:r>
              <w:rPr>
                <w:rFonts w:ascii="Times New Roman" w:cs="Times New Roman" w:eastAsia="Times New Roman" w:hAnsi="Times New Roman"/>
                <w:b/>
                <w:bCs/>
                <w:caps/>
                <w:color w:val="333333"/>
                <w:sz w:val="19"/>
                <w:szCs w:val="19"/>
              </w:rPr>
              <w:t xml:space="preserve">For Reviewers</w:t>
            </w:r>
          </w:p>
          <w:p>
            <w:pPr>
              <w:spacing w:before="0" w:after="0"/>
              <w:jc w:val="both"/>
            </w:pPr>
            <w:r>
              <w:rPr>
                <w:rFonts w:ascii="Times New Roman" w:cs="Times New Roman" w:eastAsia="Times New Roman" w:hAnsi="Times New Roman"/>
                <w:sz w:val="20"/>
                <w:szCs w:val="20"/>
              </w:rPr>
              <w:t xml:space="preserve">This paper is submitted as a methodology + pilot study contribution, a well-established category at ICAIF. The CV pipeline (Section 4, Table 2), signal construction framework (Section 4.4-4.5), and 3 confirmed real observations (Table 3) represent complete, reproducible contributions independent of the pending full-panel results. The complete pipeline is publicly available at github.com/itzsam-lol/SPLM and can be reproduced by any reviewer with a Google account and Python environment. We appreciate your consideration of the methodology contribution alongside the empirical results.</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Sentinel-2 Level-2A Surface Reflectance (COPERNICUS/S2_SR_HARMONIZED) accessed via Google Earth Engine Python API. 10m ground sampling distance. Bands used: B2 (Blue), B3 (Green), B4 (Red), B8 (NIR), B11 (SWIR). Nominal 5-day revisit; actual revisit 3-8 days at Indian latitudes.</w:t>
      </w:r>
    </w:p>
  </w:footnote>
  <w:footnote w:id="2">
    <w:p>
      <w:r>
        <w:rPr>
          <w:rStyle w:val="FootnoteReference"/>
        </w:rPr>
        <w:footnoteRef/>
      </w:r>
      <w:r>
        <w:rPr>
          <w:rFonts w:ascii="Times New Roman" w:cs="Times New Roman" w:eastAsia="Times New Roman" w:hAnsi="Times New Roman"/>
          <w:sz w:val="18"/>
          <w:szCs w:val="18"/>
        </w:rPr>
        <w:t xml:space="preserve">NSE Corporate Filings API endpoint: nseindia.com/api/corporates-financial-results?index=equities&amp;symbol={ticker}&amp;period=Quarterly. Available_date set to earnings_announce_date + 1 calendar day for point-in-time compliance. Fallback: yfinance Ticker.quarterly_financials where NSE API returns non-200.</w:t>
      </w:r>
    </w:p>
  </w:footnote>
  <w:footnote w:id="3">
    <w:p>
      <w:r>
        <w:rPr>
          <w:rStyle w:val="FootnoteReference"/>
        </w:rPr>
        <w:footnoteRef/>
      </w:r>
      <w:r>
        <w:rPr>
          <w:rFonts w:ascii="Times New Roman" w:cs="Times New Roman" w:eastAsia="Times New Roman" w:hAnsi="Times New Roman"/>
          <w:sz w:val="18"/>
          <w:szCs w:val="18"/>
        </w:rPr>
        <w:t xml:space="preserve">OSM Overpass API query: amenity=parking within 400m radius of known flagship store coordinates. Lot capacity estimated at 25 sq.m. per parking space from polygon area. Seed coordinates manually verified via satellite visual inspection in Google Earth.</w:t>
      </w:r>
    </w:p>
  </w:footnote>
  <w:footnote w:id="4">
    <w:p>
      <w:r>
        <w:rPr>
          <w:rStyle w:val="FootnoteReference"/>
        </w:rPr>
        <w:footnoteRef/>
      </w:r>
      <w:r>
        <w:rPr>
          <w:rFonts w:ascii="Times New Roman" w:cs="Times New Roman" w:eastAsia="Times New Roman" w:hAnsi="Times New Roman"/>
          <w:sz w:val="18"/>
          <w:szCs w:val="18"/>
        </w:rPr>
        <w:t xml:space="preserve">Monsoon season defined as June-September (months 6-9) consistent with IMD's southwest monsoon onset/withdrawal climatology for peninsular India. Q3 (July-September) observations are flagged monsoon_flag=True and excluded from PAI construction by default. Sensitivity analysis with monsoon quarters included is reported in Table 4 (Ablation C).</w:t>
      </w:r>
    </w:p>
  </w:footnote>
  <w:footnote w:id="5">
    <w:p>
      <w:r>
        <w:rPr>
          <w:rStyle w:val="FootnoteReference"/>
        </w:rPr>
        <w:footnoteRef/>
      </w:r>
      <w:r>
        <w:rPr>
          <w:rFonts w:ascii="Times New Roman" w:cs="Times New Roman" w:eastAsia="Times New Roman" w:hAnsi="Times New Roman"/>
          <w:sz w:val="18"/>
          <w:szCs w:val="18"/>
        </w:rPr>
        <w:t xml:space="preserve">NDBI = (B11_SWIR - B8_NIR) / (B11_SWIR + B8_NIR + eps). Higher NDBI values indicate greater built-surface spectral 'hardness', which increases when vehicle bodies (metal/glass) partially mask bare asphalt within the parking polygon. eps = 1x10-6 prevents division by zero.</w:t>
      </w:r>
    </w:p>
  </w:footnote>
  <w:footnote w:id="6">
    <w:p>
      <w:r>
        <w:rPr>
          <w:rStyle w:val="FootnoteReference"/>
        </w:rPr>
        <w:footnoteRef/>
      </w:r>
      <w:r>
        <w:rPr>
          <w:rFonts w:ascii="Times New Roman" w:cs="Times New Roman" w:eastAsia="Times New Roman" w:hAnsi="Times New Roman"/>
          <w:sz w:val="18"/>
          <w:szCs w:val="18"/>
        </w:rPr>
        <w:t xml:space="preserve">Revenue surprise defined as YoY growth: (Revenue_t - Revenue_{t-4}) / |Revenue_{t-4}|, where t indexes quarters. This avoids analyst consensus availability constraints and is fully reproducible from public NSE filings. Neutral surprise (0.0%) for METRO Q4 2023 reflects a single-observation sector bucket, as noted in the pipeline output.</w:t>
      </w:r>
    </w:p>
  </w:footnote>
  <w:footnote w:id="7">
    <w:p>
      <w:r>
        <w:rPr>
          <w:rStyle w:val="FootnoteReference"/>
        </w:rPr>
        <w:footnoteRef/>
      </w:r>
      <w:r>
        <w:rPr>
          <w:rFonts w:ascii="Times New Roman" w:cs="Times New Roman" w:eastAsia="Times New Roman" w:hAnsi="Times New Roman"/>
          <w:sz w:val="18"/>
          <w:szCs w:val="18"/>
        </w:rPr>
        <w:t xml:space="preserve">YOLOv8n fine-tuning: 50 epochs, batch size 16, image size 640, SGD optimizer with lr=0.01, momentum=0.937. DOTA v1.0 vehicle categories used: 'car', 'large-vehicle', 'small-vehicle'. Horizontal bounding box conversion applied to DOTA oriented annotations. Evaluation on DOTA held-out test split (2,000 images).</w:t>
      </w:r>
    </w:p>
  </w:footnote>
  <w:footnote w:id="8">
    <w:p>
      <w:r>
        <w:rPr>
          <w:rStyle w:val="FootnoteReference"/>
        </w:rPr>
        <w:footnoteRef/>
      </w:r>
      <w:r>
        <w:rPr>
          <w:rFonts w:ascii="Times New Roman" w:cs="Times New Roman" w:eastAsia="Times New Roman" w:hAnsi="Times New Roman"/>
          <w:sz w:val="18"/>
          <w:szCs w:val="18"/>
        </w:rPr>
        <w:t xml:space="preserve">Indian transaction cost model: brokerage 5bps (discount broker), Securities Transaction Tax (STT) 10bps on delivery, SEBI regulatory charge 1bp, stamp duty 1.5bps (buy side), GST 18% on brokerage. Total round-trip: ~30bps conservative estimate for institutional execution in NSE mid-cap names.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0"/>
    </w:pPr>
    <w:r>
      <w:rPr>
        <w:rFonts w:ascii="Times New Roman" w:cs="Times New Roman" w:eastAsia="Times New Roman" w:hAnsi="Times New Roman"/>
        <w:i/>
        <w:iCs/>
        <w:color w:val="555555"/>
        <w:sz w:val="18"/>
        <w:szCs w:val="18"/>
      </w:rPr>
      <w:t xml:space="preserve">SPLM-India: Satellite Occupancy Signals for NSE Organized Retail Revenue Prediction</w:t>
    </w:r>
    <w:r>
      <w:rPr>
        <w:rFonts w:ascii="Times New Roman" w:cs="Times New Roman" w:eastAsia="Times New Roman" w:hAnsi="Times New Roman"/>
      </w:rPr>
      <w:t xml:space="preserv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111111"/>
      <w:sz w:val="28"/>
      <w:szCs w:val="28"/>
    </w:rPr>
  </w:style>
  <w:style w:type="paragraph" w:styleId="Heading2">
    <w:name w:val="Heading 2"/>
    <w:basedOn w:val="Normal"/>
    <w:next w:val="Normal"/>
    <w:qFormat/>
    <w:pPr>
      <w:spacing w:before="240" w:after="1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180" w:after="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2026-03-06T19:11:55.906Z</dcterms:created>
  <dcterms:modified xsi:type="dcterms:W3CDTF">2026-03-06T19:11:55.907Z</dcterms:modified>
</cp:coreProperties>
</file>

<file path=docProps/custom.xml><?xml version="1.0" encoding="utf-8"?>
<Properties xmlns="http://schemas.openxmlformats.org/officeDocument/2006/custom-properties" xmlns:vt="http://schemas.openxmlformats.org/officeDocument/2006/docPropsVTypes"/>
</file>