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RAVEN-OTA</w:t>
      </w:r>
    </w:p>
    <w:p>
      <w:pPr>
        <w:jc w:val="center"/>
      </w:pPr>
      <w:r>
        <w:rPr>
          <w:b/>
          <w:sz w:val="36"/>
        </w:rPr>
        <w:t>Runtime Assurance for Verified OTA Software in Software-Defined Electric Vehicles</w:t>
      </w:r>
    </w:p>
    <w:p>
      <w:pPr>
        <w:jc w:val="center"/>
      </w:pPr>
      <w:r>
        <w:rPr>
          <w:b/>
        </w:rPr>
        <w:br/>
        <w:t>Full Research Project Document</w:t>
        <w:br/>
      </w:r>
      <w:r>
        <w:t>Literature Review • Gap Analysis • Problem Identification • Proposed Solution • Architecture • Implementation • Evaluation • Paper &amp; Patent Strategy</w:t>
        <w:br/>
      </w:r>
      <w:r>
        <w:rPr>
          <w:i/>
        </w:rPr>
        <w:br/>
        <w:t>Research basis: literature and public safety evidence checked through 6 September 2026</w:t>
      </w:r>
    </w:p>
    <w:p/>
    <w:tbl>
      <w:tblPr>
        <w:tblStyle w:val="TableGrid"/>
        <w:tblW w:type="auto" w:w="0"/>
        <w:tblLook w:firstColumn="1" w:firstRow="1" w:lastColumn="0" w:lastRow="0" w:noHBand="0" w:noVBand="1" w:val="04A0"/>
      </w:tblPr>
      <w:tblGrid>
        <w:gridCol w:w="10224"/>
      </w:tblGrid>
      <w:tr>
        <w:tc>
          <w:tcPr>
            <w:tcW w:type="dxa" w:w="10224"/>
            <w:shd w:fill="EEF5FB"/>
          </w:tcPr>
          <w:p>
            <w:r>
              <w:rPr>
                <w:b/>
                <w:sz w:val="20"/>
              </w:rPr>
              <w:t>Important research-status note</w:t>
              <w:br/>
            </w:r>
            <w:r>
              <w:rPr>
                <w:sz w:val="18"/>
              </w:rPr>
              <w:t>This document defines a research candidate, not a guaranteed patentable invention or guaranteed publication. The literature review identifies a defensible gap candidate, but claim-level patent searching and a final systematic literature review are still required before making a novelty claim.</w:t>
            </w:r>
          </w:p>
        </w:tc>
      </w:tr>
    </w:tbl>
    <w:p/>
    <w:p>
      <w:r>
        <w:br w:type="page"/>
      </w:r>
    </w:p>
    <w:p>
      <w:pPr>
        <w:pStyle w:val="Heading1"/>
      </w:pPr>
      <w:r>
        <w:t>1. Executive Summary</w:t>
      </w:r>
    </w:p>
    <w:p>
      <w:r>
        <w:t>Modern software-defined electric vehicles increasingly depend on OTA software updates for bug fixes, cybersecurity patches, calibration changes and new functions. Recent 2026 research has become strong in secure update protocols, formal security verification, contract-based safety analysis, dependency-aware OTA orchestration, dependency-aware execution planning, and HIL-based pre-deployment validation.</w:t>
      </w:r>
    </w:p>
    <w:p>
      <w:r>
        <w:t>The central research opportunity identified in this review is the lifecycle boundary between what is verified before/during deployment and what is continuously guaranteed after deployment. A vehicle that passed an OTA safety analysis can subsequently operate under different temperature, workload, network, battery and functional conditions. The research problem is therefore not simply 'detect an anomaly'; it is to determine whether the safety/timing assumptions and margins established for an OTA update remain valid under changing runtime conditions.</w:t>
      </w:r>
    </w:p>
    <w:p>
      <w:r>
        <w:t>The proposed solution, RAVEN-OTA, is an onboard runtime-assurance layer. It converts pre-deployment verification results into a machine-checkable Runtime Safety Envelope, monitors live vehicle conditions, estimates the current assurance state, predicts imminent envelope violations, and selects a graduated safe response such as continue, monitor, reduce non-critical workload, enter degraded mode, delay further updates, or rollback when justified.</w:t>
      </w:r>
    </w:p>
    <w:tbl>
      <w:tblPr>
        <w:tblStyle w:val="TableGrid"/>
        <w:tblW w:type="auto" w:w="0"/>
        <w:tblLook w:firstColumn="1" w:firstRow="1" w:lastColumn="0" w:lastRow="0" w:noHBand="0" w:noVBand="1" w:val="04A0"/>
      </w:tblPr>
      <w:tblGrid>
        <w:gridCol w:w="10224"/>
      </w:tblGrid>
      <w:tr>
        <w:tc>
          <w:tcPr>
            <w:tcW w:type="dxa" w:w="10224"/>
            <w:shd w:fill="EEF5FB"/>
          </w:tcPr>
          <w:p>
            <w:r>
              <w:rPr>
                <w:b/>
                <w:sz w:val="20"/>
              </w:rPr>
              <w:t>One-line problem</w:t>
              <w:br/>
            </w:r>
            <w:r>
              <w:rPr>
                <w:sz w:val="18"/>
              </w:rPr>
              <w:t>An OTA update can be safe under the conditions used for verification but lose its safety margin when the real vehicle enters a different runtime condition.</w:t>
            </w:r>
          </w:p>
        </w:tc>
      </w:tr>
    </w:tbl>
    <w:p/>
    <w:tbl>
      <w:tblPr>
        <w:tblStyle w:val="TableGrid"/>
        <w:tblW w:type="auto" w:w="0"/>
        <w:tblLook w:firstColumn="1" w:firstRow="1" w:lastColumn="0" w:lastRow="0" w:noHBand="0" w:noVBand="1" w:val="04A0"/>
      </w:tblPr>
      <w:tblGrid>
        <w:gridCol w:w="10224"/>
      </w:tblGrid>
      <w:tr>
        <w:tc>
          <w:tcPr>
            <w:tcW w:type="dxa" w:w="10224"/>
            <w:shd w:fill="EEF5FB"/>
          </w:tcPr>
          <w:p>
            <w:r>
              <w:rPr>
                <w:b/>
                <w:sz w:val="20"/>
              </w:rPr>
              <w:t>One-line solution</w:t>
              <w:br/>
            </w:r>
            <w:r>
              <w:rPr>
                <w:sz w:val="18"/>
              </w:rPr>
              <w:t>Carry the verified safety/timing envelope into the vehicle and continuously check whether real-time conditions still satisfy it, with predictive and graduated responses.</w:t>
            </w:r>
          </w:p>
        </w:tc>
      </w:tr>
    </w:tbl>
    <w:p/>
    <w:p>
      <w:r>
        <w:br w:type="page"/>
      </w:r>
    </w:p>
    <w:p>
      <w:pPr>
        <w:pStyle w:val="Heading1"/>
      </w:pPr>
      <w:r>
        <w:t>2. 5W1H: What, Why, Who, Where, When, How</w:t>
      </w:r>
    </w:p>
    <w:tbl>
      <w:tblPr>
        <w:tblStyle w:val="TableGrid"/>
        <w:tblW w:type="auto" w:w="0"/>
        <w:jc w:val="center"/>
        <w:tblLook w:firstColumn="1" w:firstRow="1" w:lastColumn="0" w:lastRow="0" w:noHBand="0" w:noVBand="1" w:val="04A0"/>
      </w:tblPr>
      <w:tblGrid>
        <w:gridCol w:w="5112"/>
        <w:gridCol w:w="5112"/>
      </w:tblGrid>
      <w:tr>
        <w:tc>
          <w:tcPr>
            <w:tcW w:type="dxa" w:w="1728"/>
            <w:vAlign w:val="center"/>
            <w:shd w:fill="D9EAF7"/>
          </w:tcPr>
          <w:p>
            <w:pPr>
              <w:pStyle w:val="TableText"/>
            </w:pPr>
            <w:r/>
            <w:r>
              <w:rPr>
                <w:b/>
              </w:rPr>
              <w:t>Question</w:t>
            </w:r>
          </w:p>
        </w:tc>
        <w:tc>
          <w:tcPr>
            <w:tcW w:type="dxa" w:w="8352"/>
            <w:vAlign w:val="center"/>
            <w:shd w:fill="D9EAF7"/>
          </w:tcPr>
          <w:p>
            <w:pPr>
              <w:pStyle w:val="TableText"/>
            </w:pPr>
            <w:r/>
            <w:r>
              <w:rPr>
                <w:b/>
              </w:rPr>
              <w:t>Answer</w:t>
            </w:r>
          </w:p>
        </w:tc>
      </w:tr>
      <w:tr>
        <w:tc>
          <w:tcPr>
            <w:tcW w:type="dxa" w:w="1728"/>
            <w:vAlign w:val="center"/>
          </w:tcPr>
          <w:p>
            <w:pPr>
              <w:pStyle w:val="TableText"/>
            </w:pPr>
            <w:r/>
            <w:r>
              <w:rPr>
                <w:b w:val="0"/>
              </w:rPr>
              <w:t>What?</w:t>
            </w:r>
          </w:p>
        </w:tc>
        <w:tc>
          <w:tcPr>
            <w:tcW w:type="dxa" w:w="8352"/>
            <w:vAlign w:val="center"/>
          </w:tcPr>
          <w:p>
            <w:pPr>
              <w:pStyle w:val="TableText"/>
            </w:pPr>
            <w:r/>
            <w:r>
              <w:rPr>
                <w:b w:val="0"/>
              </w:rPr>
              <w:t>A runtime-assurance software layer for SDV/EV OTA updates that checks whether verified safety and timing assumptions remain valid after deployment.</w:t>
            </w:r>
          </w:p>
        </w:tc>
      </w:tr>
      <w:tr>
        <w:tc>
          <w:tcPr>
            <w:tcW w:type="dxa" w:w="1728"/>
            <w:vAlign w:val="center"/>
          </w:tcPr>
          <w:p>
            <w:pPr>
              <w:pStyle w:val="TableText"/>
            </w:pPr>
            <w:r/>
            <w:r>
              <w:rPr>
                <w:b w:val="0"/>
              </w:rPr>
              <w:t>Why?</w:t>
            </w:r>
          </w:p>
        </w:tc>
        <w:tc>
          <w:tcPr>
            <w:tcW w:type="dxa" w:w="8352"/>
            <w:vAlign w:val="center"/>
          </w:tcPr>
          <w:p>
            <w:pPr>
              <w:pStyle w:val="TableText"/>
            </w:pPr>
            <w:r/>
            <w:r>
              <w:rPr>
                <w:b w:val="0"/>
              </w:rPr>
              <w:t>Because OTA verification, dependency planning and HIL testing cannot exhaustively cover every future combination of vehicle state and operating context.</w:t>
            </w:r>
          </w:p>
        </w:tc>
      </w:tr>
      <w:tr>
        <w:tc>
          <w:tcPr>
            <w:tcW w:type="dxa" w:w="1728"/>
            <w:vAlign w:val="center"/>
          </w:tcPr>
          <w:p>
            <w:pPr>
              <w:pStyle w:val="TableText"/>
            </w:pPr>
            <w:r/>
            <w:r>
              <w:rPr>
                <w:b w:val="0"/>
              </w:rPr>
              <w:t>Who?</w:t>
            </w:r>
          </w:p>
        </w:tc>
        <w:tc>
          <w:tcPr>
            <w:tcW w:type="dxa" w:w="8352"/>
            <w:vAlign w:val="center"/>
          </w:tcPr>
          <w:p>
            <w:pPr>
              <w:pStyle w:val="TableText"/>
            </w:pPr>
            <w:r/>
            <w:r>
              <w:rPr>
                <w:b w:val="0"/>
              </w:rPr>
              <w:t>Primary users/stakeholders: OEM software teams, functional-safety teams, OTA platform teams, vehicle cybersecurity teams, fleet safety teams, regulators and ultimately vehicle occupants.</w:t>
            </w:r>
          </w:p>
        </w:tc>
      </w:tr>
      <w:tr>
        <w:tc>
          <w:tcPr>
            <w:tcW w:type="dxa" w:w="1728"/>
            <w:vAlign w:val="center"/>
          </w:tcPr>
          <w:p>
            <w:pPr>
              <w:pStyle w:val="TableText"/>
            </w:pPr>
            <w:r/>
            <w:r>
              <w:rPr>
                <w:b w:val="0"/>
              </w:rPr>
              <w:t>Where?</w:t>
            </w:r>
          </w:p>
        </w:tc>
        <w:tc>
          <w:tcPr>
            <w:tcW w:type="dxa" w:w="8352"/>
            <w:vAlign w:val="center"/>
          </w:tcPr>
          <w:p>
            <w:pPr>
              <w:pStyle w:val="TableText"/>
            </w:pPr>
            <w:r/>
            <w:r>
              <w:rPr>
                <w:b w:val="0"/>
              </w:rPr>
              <w:t>Onboard vehicle compute domain (HPC/zonal/central computer or safety-capable ECU) with an optional cloud/OEM fleet analytics layer.</w:t>
            </w:r>
          </w:p>
        </w:tc>
      </w:tr>
      <w:tr>
        <w:tc>
          <w:tcPr>
            <w:tcW w:type="dxa" w:w="1728"/>
            <w:vAlign w:val="center"/>
          </w:tcPr>
          <w:p>
            <w:pPr>
              <w:pStyle w:val="TableText"/>
            </w:pPr>
            <w:r/>
            <w:r>
              <w:rPr>
                <w:b w:val="0"/>
              </w:rPr>
              <w:t>When?</w:t>
            </w:r>
          </w:p>
        </w:tc>
        <w:tc>
          <w:tcPr>
            <w:tcW w:type="dxa" w:w="8352"/>
            <w:vAlign w:val="center"/>
          </w:tcPr>
          <w:p>
            <w:pPr>
              <w:pStyle w:val="TableText"/>
            </w:pPr>
            <w:r/>
            <w:r>
              <w:rPr>
                <w:b w:val="0"/>
              </w:rPr>
              <w:t>Before deployment to create the envelope; immediately after deployment to establish a baseline; continuously during operation; and during/after abnormal conditions.</w:t>
            </w:r>
          </w:p>
        </w:tc>
      </w:tr>
      <w:tr>
        <w:tc>
          <w:tcPr>
            <w:tcW w:type="dxa" w:w="1728"/>
            <w:vAlign w:val="center"/>
          </w:tcPr>
          <w:p>
            <w:pPr>
              <w:pStyle w:val="TableText"/>
            </w:pPr>
            <w:r/>
            <w:r>
              <w:rPr>
                <w:b w:val="0"/>
              </w:rPr>
              <w:t>How?</w:t>
            </w:r>
          </w:p>
        </w:tc>
        <w:tc>
          <w:tcPr>
            <w:tcW w:type="dxa" w:w="8352"/>
            <w:vAlign w:val="center"/>
          </w:tcPr>
          <w:p>
            <w:pPr>
              <w:pStyle w:val="TableText"/>
            </w:pPr>
            <w:r/>
            <w:r>
              <w:rPr>
                <w:b w:val="0"/>
              </w:rPr>
              <w:t>Translate verified contracts/timing limits into runtime bounds, collect telemetry/context, calculate assurance state, predict violations, and choose a safe response.</w:t>
            </w:r>
          </w:p>
        </w:tc>
      </w:tr>
      <w:tr>
        <w:tc>
          <w:tcPr>
            <w:tcW w:type="dxa" w:w="1728"/>
            <w:vAlign w:val="center"/>
          </w:tcPr>
          <w:p>
            <w:pPr>
              <w:pStyle w:val="TableText"/>
            </w:pPr>
            <w:r/>
            <w:r>
              <w:rPr>
                <w:b w:val="0"/>
              </w:rPr>
              <w:t>What is NOT the goal?</w:t>
            </w:r>
          </w:p>
        </w:tc>
        <w:tc>
          <w:tcPr>
            <w:tcW w:type="dxa" w:w="8352"/>
            <w:vAlign w:val="center"/>
          </w:tcPr>
          <w:p>
            <w:pPr>
              <w:pStyle w:val="TableText"/>
            </w:pPr>
            <w:r/>
            <w:r>
              <w:rPr>
                <w:b w:val="0"/>
              </w:rPr>
              <w:t>Not another OTA delivery protocol, not another authentication scheme, not another dependency scheduler, and not a generic anomaly detector.</w:t>
            </w:r>
          </w:p>
        </w:tc>
      </w:tr>
      <w:tr>
        <w:tc>
          <w:tcPr>
            <w:tcW w:type="dxa" w:w="1728"/>
            <w:vAlign w:val="center"/>
          </w:tcPr>
          <w:p>
            <w:pPr>
              <w:pStyle w:val="TableText"/>
            </w:pPr>
            <w:r/>
            <w:r>
              <w:rPr>
                <w:b w:val="0"/>
              </w:rPr>
              <w:t>What is the research contribution?</w:t>
            </w:r>
          </w:p>
        </w:tc>
        <w:tc>
          <w:tcPr>
            <w:tcW w:type="dxa" w:w="8352"/>
            <w:vAlign w:val="center"/>
          </w:tcPr>
          <w:p>
            <w:pPr>
              <w:pStyle w:val="TableText"/>
            </w:pPr>
            <w:r/>
            <w:r>
              <w:rPr>
                <w:b w:val="0"/>
              </w:rPr>
              <w:t>A lifecycle bridge from pre-deployment OTA verification to continuous post-deployment runtime assurance under changing cyber-physical conditions.</w:t>
            </w:r>
          </w:p>
        </w:tc>
      </w:tr>
    </w:tbl>
    <w:p/>
    <w:p>
      <w:pPr>
        <w:pStyle w:val="Heading1"/>
      </w:pPr>
      <w:r>
        <w:t>3. Real-World Problem Evidence</w:t>
      </w:r>
    </w:p>
    <w:p>
      <w:r>
        <w:t>The problem is not hypothetical. Recent safety actions show that software behavior can create safety-critical vehicle consequences and that OTA software can be part of the remedy.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vAlign w:val="center"/>
            <w:shd w:fill="D9EAF7"/>
          </w:tcPr>
          <w:p>
            <w:pPr>
              <w:pStyle w:val="TableText"/>
            </w:pPr>
            <w:r/>
            <w:r>
              <w:rPr>
                <w:b/>
              </w:rPr>
              <w:t>Event</w:t>
            </w:r>
          </w:p>
        </w:tc>
        <w:tc>
          <w:tcPr>
            <w:tcW w:type="dxa" w:w="864"/>
            <w:vAlign w:val="center"/>
            <w:shd w:fill="D9EAF7"/>
          </w:tcPr>
          <w:p>
            <w:pPr>
              <w:pStyle w:val="TableText"/>
            </w:pPr>
            <w:r/>
            <w:r>
              <w:rPr>
                <w:b/>
              </w:rPr>
              <w:t>Year</w:t>
            </w:r>
          </w:p>
        </w:tc>
        <w:tc>
          <w:tcPr>
            <w:tcW w:type="dxa" w:w="4320"/>
            <w:vAlign w:val="center"/>
            <w:shd w:fill="D9EAF7"/>
          </w:tcPr>
          <w:p>
            <w:pPr>
              <w:pStyle w:val="TableText"/>
            </w:pPr>
            <w:r/>
            <w:r>
              <w:rPr>
                <w:b/>
              </w:rPr>
              <w:t>What happened</w:t>
            </w:r>
          </w:p>
        </w:tc>
        <w:tc>
          <w:tcPr>
            <w:tcW w:type="dxa" w:w="2880"/>
            <w:vAlign w:val="center"/>
            <w:shd w:fill="D9EAF7"/>
          </w:tcPr>
          <w:p>
            <w:pPr>
              <w:pStyle w:val="TableText"/>
            </w:pPr>
            <w:r/>
            <w:r>
              <w:rPr>
                <w:b/>
              </w:rPr>
              <w:t>Why it matters to this research</w:t>
            </w:r>
          </w:p>
        </w:tc>
      </w:tr>
      <w:tr>
        <w:tc>
          <w:tcPr>
            <w:tcW w:type="dxa" w:w="2016"/>
            <w:vAlign w:val="center"/>
          </w:tcPr>
          <w:p>
            <w:pPr>
              <w:pStyle w:val="TableText"/>
            </w:pPr>
            <w:r/>
            <w:r>
              <w:rPr>
                <w:b w:val="0"/>
              </w:rPr>
              <w:t>Volvo hybrid/EV brake issue</w:t>
            </w:r>
          </w:p>
        </w:tc>
        <w:tc>
          <w:tcPr>
            <w:tcW w:type="dxa" w:w="864"/>
            <w:vAlign w:val="center"/>
          </w:tcPr>
          <w:p>
            <w:pPr>
              <w:pStyle w:val="TableText"/>
            </w:pPr>
            <w:r/>
            <w:r>
              <w:rPr>
                <w:b w:val="0"/>
              </w:rPr>
              <w:t>2025</w:t>
            </w:r>
          </w:p>
        </w:tc>
        <w:tc>
          <w:tcPr>
            <w:tcW w:type="dxa" w:w="4320"/>
            <w:vAlign w:val="center"/>
          </w:tcPr>
          <w:p>
            <w:pPr>
              <w:pStyle w:val="TableText"/>
            </w:pPr>
            <w:r/>
            <w:r>
              <w:rPr>
                <w:b w:val="0"/>
              </w:rPr>
              <w:t>NHTSA issued an urgent warning for selected Volvo hybrid/EV models. Without the remedy, a vehicle could completely lose braking capability going downhill; NHTSA reported one serious incident. The remedy was an OTA software recall.</w:t>
            </w:r>
          </w:p>
        </w:tc>
        <w:tc>
          <w:tcPr>
            <w:tcW w:type="dxa" w:w="2880"/>
            <w:vAlign w:val="center"/>
          </w:tcPr>
          <w:p>
            <w:pPr>
              <w:pStyle w:val="TableText"/>
            </w:pPr>
            <w:r/>
            <w:r>
              <w:rPr>
                <w:b w:val="0"/>
              </w:rPr>
              <w:t>Shows that software defects can directly affect a safety-critical function and that timely software remediation matters.</w:t>
            </w:r>
          </w:p>
        </w:tc>
      </w:tr>
      <w:tr>
        <w:tc>
          <w:tcPr>
            <w:tcW w:type="dxa" w:w="2016"/>
            <w:vAlign w:val="center"/>
          </w:tcPr>
          <w:p>
            <w:pPr>
              <w:pStyle w:val="TableText"/>
            </w:pPr>
            <w:r/>
            <w:r>
              <w:rPr>
                <w:b w:val="0"/>
              </w:rPr>
              <w:t>Rivian HWA software recall</w:t>
            </w:r>
          </w:p>
        </w:tc>
        <w:tc>
          <w:tcPr>
            <w:tcW w:type="dxa" w:w="864"/>
            <w:vAlign w:val="center"/>
          </w:tcPr>
          <w:p>
            <w:pPr>
              <w:pStyle w:val="TableText"/>
            </w:pPr>
            <w:r/>
            <w:r>
              <w:rPr>
                <w:b w:val="0"/>
              </w:rPr>
              <w:t>2025</w:t>
            </w:r>
          </w:p>
        </w:tc>
        <w:tc>
          <w:tcPr>
            <w:tcW w:type="dxa" w:w="4320"/>
            <w:vAlign w:val="center"/>
          </w:tcPr>
          <w:p>
            <w:pPr>
              <w:pStyle w:val="TableText"/>
            </w:pPr>
            <w:r/>
            <w:r>
              <w:rPr>
                <w:b w:val="0"/>
              </w:rPr>
              <w:t>Rivian recalled 2025 R1S/R1T vehicles because Hands-Free Highway Assist could incorrectly identify a lead vehicle. NHTSA reported a low-speed incident and the remedy was an OTA update.</w:t>
            </w:r>
          </w:p>
        </w:tc>
        <w:tc>
          <w:tcPr>
            <w:tcW w:type="dxa" w:w="2880"/>
            <w:vAlign w:val="center"/>
          </w:tcPr>
          <w:p>
            <w:pPr>
              <w:pStyle w:val="TableText"/>
            </w:pPr>
            <w:r/>
            <w:r>
              <w:rPr>
                <w:b w:val="0"/>
              </w:rPr>
              <w:t>Shows that a real-world software behavior can appear in a specific operating context and later require a fleet-wide OTA remedy.</w:t>
            </w:r>
          </w:p>
        </w:tc>
      </w:tr>
      <w:tr>
        <w:tc>
          <w:tcPr>
            <w:tcW w:type="dxa" w:w="2016"/>
            <w:vAlign w:val="center"/>
          </w:tcPr>
          <w:p>
            <w:pPr>
              <w:pStyle w:val="TableText"/>
            </w:pPr>
            <w:r/>
            <w:r>
              <w:rPr>
                <w:b w:val="0"/>
              </w:rPr>
              <w:t>Tesla rear-view camera recall</w:t>
            </w:r>
          </w:p>
        </w:tc>
        <w:tc>
          <w:tcPr>
            <w:tcW w:type="dxa" w:w="864"/>
            <w:vAlign w:val="center"/>
          </w:tcPr>
          <w:p>
            <w:pPr>
              <w:pStyle w:val="TableText"/>
            </w:pPr>
            <w:r/>
            <w:r>
              <w:rPr>
                <w:b w:val="0"/>
              </w:rPr>
              <w:t>2025</w:t>
            </w:r>
          </w:p>
        </w:tc>
        <w:tc>
          <w:tcPr>
            <w:tcW w:type="dxa" w:w="4320"/>
            <w:vAlign w:val="center"/>
          </w:tcPr>
          <w:p>
            <w:pPr>
              <w:pStyle w:val="TableText"/>
            </w:pPr>
            <w:r/>
            <w:r>
              <w:rPr>
                <w:b w:val="0"/>
              </w:rPr>
              <w:t>Tesla used an OTA software remedy for a rear-view camera functionality issue caused by a power-up/vehicle-computer condition; some vehicles could require hardware replacement if stress had already occurred.</w:t>
            </w:r>
          </w:p>
        </w:tc>
        <w:tc>
          <w:tcPr>
            <w:tcW w:type="dxa" w:w="2880"/>
            <w:vAlign w:val="center"/>
          </w:tcPr>
          <w:p>
            <w:pPr>
              <w:pStyle w:val="TableText"/>
            </w:pPr>
            <w:r/>
            <w:r>
              <w:rPr>
                <w:b w:val="0"/>
              </w:rPr>
              <w:t>Shows that software state and hardware/runtime state can interact and that software remediation does not always eliminate already-created physical consequences.</w:t>
            </w:r>
          </w:p>
        </w:tc>
      </w:tr>
      <w:tr>
        <w:tc>
          <w:tcPr>
            <w:tcW w:type="dxa" w:w="2016"/>
            <w:vAlign w:val="center"/>
          </w:tcPr>
          <w:p>
            <w:pPr>
              <w:pStyle w:val="TableText"/>
            </w:pPr>
            <w:r/>
            <w:r>
              <w:rPr>
                <w:b w:val="0"/>
              </w:rPr>
              <w:t>NHTSA 2025 OTA recall statistics</w:t>
            </w:r>
          </w:p>
        </w:tc>
        <w:tc>
          <w:tcPr>
            <w:tcW w:type="dxa" w:w="864"/>
            <w:vAlign w:val="center"/>
          </w:tcPr>
          <w:p>
            <w:pPr>
              <w:pStyle w:val="TableText"/>
            </w:pPr>
            <w:r/>
            <w:r>
              <w:rPr>
                <w:b w:val="0"/>
              </w:rPr>
              <w:t>2025</w:t>
            </w:r>
          </w:p>
        </w:tc>
        <w:tc>
          <w:tcPr>
            <w:tcW w:type="dxa" w:w="4320"/>
            <w:vAlign w:val="center"/>
          </w:tcPr>
          <w:p>
            <w:pPr>
              <w:pStyle w:val="TableText"/>
            </w:pPr>
            <w:r/>
            <w:r>
              <w:rPr>
                <w:b w:val="0"/>
              </w:rPr>
              <w:t>NHTSA's annual report tracks recalls partially or fully remedied using OTA updates across multiple manufacturers.</w:t>
            </w:r>
          </w:p>
        </w:tc>
        <w:tc>
          <w:tcPr>
            <w:tcW w:type="dxa" w:w="2880"/>
            <w:vAlign w:val="center"/>
          </w:tcPr>
          <w:p>
            <w:pPr>
              <w:pStyle w:val="TableText"/>
            </w:pPr>
            <w:r/>
            <w:r>
              <w:rPr>
                <w:b w:val="0"/>
              </w:rPr>
              <w:t>Shows that OTA is becoming an operational safety-remediation mechanism rather than a laboratory-only technology.</w:t>
            </w:r>
          </w:p>
        </w:tc>
      </w:tr>
    </w:tbl>
    <w:p/>
    <w:p>
      <w:r>
        <w:t>These incidents do not prove the proposed research gap by themselves. They establish why post-deployment assurance is valuable: software-related safety issues can appear in real operating conditions, and OTA is already being used to remedy them.</w:t>
      </w:r>
    </w:p>
    <w:p>
      <w:pPr>
        <w:pStyle w:val="Heading1"/>
      </w:pPr>
      <w:r>
        <w:t>4. Recent Literature Review: 2024–2026</w:t>
      </w:r>
    </w:p>
    <w:p>
      <w:r>
        <w:t>The literature review prioritizes 2026 papers first, then 2025/2024 work, and emphasizes IEEE, ACM, Elsevier and automotive research venues. The purpose is to identify what has already been solved before defining the new problem.</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2088"/>
            <w:vAlign w:val="center"/>
            <w:shd w:fill="D9EAF7"/>
          </w:tcPr>
          <w:p>
            <w:pPr>
              <w:pStyle w:val="TableText"/>
            </w:pPr>
            <w:r/>
            <w:r>
              <w:rPr>
                <w:b/>
              </w:rPr>
              <w:t>Paper</w:t>
            </w:r>
          </w:p>
        </w:tc>
        <w:tc>
          <w:tcPr>
            <w:tcW w:type="dxa" w:w="648"/>
            <w:vAlign w:val="center"/>
            <w:shd w:fill="D9EAF7"/>
          </w:tcPr>
          <w:p>
            <w:pPr>
              <w:pStyle w:val="TableText"/>
            </w:pPr>
            <w:r/>
            <w:r>
              <w:rPr>
                <w:b/>
              </w:rPr>
              <w:t>Year</w:t>
            </w:r>
          </w:p>
        </w:tc>
        <w:tc>
          <w:tcPr>
            <w:tcW w:type="dxa" w:w="1656"/>
            <w:vAlign w:val="center"/>
            <w:shd w:fill="D9EAF7"/>
          </w:tcPr>
          <w:p>
            <w:pPr>
              <w:pStyle w:val="TableText"/>
            </w:pPr>
            <w:r/>
            <w:r>
              <w:rPr>
                <w:b/>
              </w:rPr>
              <w:t>Venue</w:t>
            </w:r>
          </w:p>
        </w:tc>
        <w:tc>
          <w:tcPr>
            <w:tcW w:type="dxa" w:w="3024"/>
            <w:vAlign w:val="center"/>
            <w:shd w:fill="D9EAF7"/>
          </w:tcPr>
          <w:p>
            <w:pPr>
              <w:pStyle w:val="TableText"/>
            </w:pPr>
            <w:r/>
            <w:r>
              <w:rPr>
                <w:b/>
              </w:rPr>
              <w:t>What it does</w:t>
            </w:r>
          </w:p>
        </w:tc>
        <w:tc>
          <w:tcPr>
            <w:tcW w:type="dxa" w:w="2088"/>
            <w:vAlign w:val="center"/>
            <w:shd w:fill="D9EAF7"/>
          </w:tcPr>
          <w:p>
            <w:pPr>
              <w:pStyle w:val="TableText"/>
            </w:pPr>
            <w:r/>
            <w:r>
              <w:rPr>
                <w:b/>
              </w:rPr>
              <w:t>Solved</w:t>
            </w:r>
          </w:p>
        </w:tc>
        <w:tc>
          <w:tcPr>
            <w:tcW w:type="dxa" w:w="2880"/>
            <w:vAlign w:val="center"/>
            <w:shd w:fill="D9EAF7"/>
          </w:tcPr>
          <w:p>
            <w:pPr>
              <w:pStyle w:val="TableText"/>
            </w:pPr>
            <w:r/>
            <w:r>
              <w:rPr>
                <w:b/>
              </w:rPr>
              <w:t>Relevant limitation/gap</w:t>
            </w:r>
          </w:p>
        </w:tc>
        <w:tc>
          <w:tcPr>
            <w:tcW w:type="dxa" w:w="576"/>
            <w:vAlign w:val="center"/>
            <w:shd w:fill="D9EAF7"/>
          </w:tcPr>
          <w:p>
            <w:pPr>
              <w:pStyle w:val="TableText"/>
            </w:pPr>
            <w:r/>
            <w:r>
              <w:rPr>
                <w:b/>
              </w:rPr>
              <w:t>Ref.</w:t>
            </w:r>
          </w:p>
        </w:tc>
      </w:tr>
      <w:tr>
        <w:tc>
          <w:tcPr>
            <w:tcW w:type="dxa" w:w="2088"/>
            <w:vAlign w:val="center"/>
          </w:tcPr>
          <w:p>
            <w:pPr>
              <w:pStyle w:val="TableText"/>
            </w:pPr>
            <w:r/>
            <w:r>
              <w:rPr>
                <w:b w:val="0"/>
              </w:rPr>
              <w:t>Safety Analysis of Over-the-Air Updates for CPS: A Contract-Driven Approach</w:t>
            </w:r>
          </w:p>
        </w:tc>
        <w:tc>
          <w:tcPr>
            <w:tcW w:type="dxa" w:w="648"/>
            <w:vAlign w:val="center"/>
          </w:tcPr>
          <w:p>
            <w:pPr>
              <w:pStyle w:val="TableText"/>
            </w:pPr>
            <w:r/>
            <w:r>
              <w:rPr>
                <w:b w:val="0"/>
              </w:rPr>
              <w:t>2026</w:t>
            </w:r>
          </w:p>
        </w:tc>
        <w:tc>
          <w:tcPr>
            <w:tcW w:type="dxa" w:w="1656"/>
            <w:vAlign w:val="center"/>
          </w:tcPr>
          <w:p>
            <w:pPr>
              <w:pStyle w:val="TableText"/>
            </w:pPr>
            <w:r/>
            <w:r>
              <w:rPr>
                <w:b w:val="0"/>
              </w:rPr>
              <w:t>IEEE Transactions on Software Engineering</w:t>
            </w:r>
          </w:p>
        </w:tc>
        <w:tc>
          <w:tcPr>
            <w:tcW w:type="dxa" w:w="3024"/>
            <w:vAlign w:val="center"/>
          </w:tcPr>
          <w:p>
            <w:pPr>
              <w:pStyle w:val="TableText"/>
            </w:pPr>
            <w:r/>
            <w:r>
              <w:rPr>
                <w:b w:val="0"/>
              </w:rPr>
              <w:t>Contract composition and component substitutability for OTA safety; formal safety reasoning; T HEANO prototype; 20 OTA scenarios and large scalability experiments.</w:t>
            </w:r>
          </w:p>
        </w:tc>
        <w:tc>
          <w:tcPr>
            <w:tcW w:type="dxa" w:w="2088"/>
            <w:vAlign w:val="center"/>
          </w:tcPr>
          <w:p>
            <w:pPr>
              <w:pStyle w:val="TableText"/>
            </w:pPr>
            <w:r/>
            <w:r>
              <w:rPr>
                <w:b w:val="0"/>
              </w:rPr>
              <w:t>Pre-deployment/design-time safety reasoning; verifies whether a replacement can preserve system properties.</w:t>
            </w:r>
          </w:p>
        </w:tc>
        <w:tc>
          <w:tcPr>
            <w:tcW w:type="dxa" w:w="2880"/>
            <w:vAlign w:val="center"/>
          </w:tcPr>
          <w:p>
            <w:pPr>
              <w:pStyle w:val="TableText"/>
            </w:pPr>
            <w:r/>
            <w:r>
              <w:rPr>
                <w:b w:val="0"/>
              </w:rPr>
              <w:t>Does not make continuous real-world runtime assurance under changing post-deployment context the primary problem. The paper itself focuses on contract satisfaction and substitutability.</w:t>
            </w:r>
          </w:p>
        </w:tc>
        <w:tc>
          <w:tcPr>
            <w:tcW w:type="dxa" w:w="576"/>
            <w:vAlign w:val="center"/>
          </w:tcPr>
          <w:p>
            <w:pPr>
              <w:pStyle w:val="TableText"/>
            </w:pPr>
            <w:r/>
            <w:r>
              <w:rPr>
                <w:b w:val="0"/>
              </w:rPr>
              <w:t>[R1]</w:t>
            </w:r>
          </w:p>
        </w:tc>
      </w:tr>
      <w:tr>
        <w:tc>
          <w:tcPr>
            <w:tcW w:type="dxa" w:w="2088"/>
            <w:vAlign w:val="center"/>
          </w:tcPr>
          <w:p>
            <w:pPr>
              <w:pStyle w:val="TableText"/>
            </w:pPr>
            <w:r/>
            <w:r>
              <w:rPr>
                <w:b w:val="0"/>
              </w:rPr>
              <w:t>Dependency-Aware Over-the-Air Framework for Reliable Software-Defined Vehicle Updates</w:t>
            </w:r>
          </w:p>
        </w:tc>
        <w:tc>
          <w:tcPr>
            <w:tcW w:type="dxa" w:w="648"/>
            <w:vAlign w:val="center"/>
          </w:tcPr>
          <w:p>
            <w:pPr>
              <w:pStyle w:val="TableText"/>
            </w:pPr>
            <w:r/>
            <w:r>
              <w:rPr>
                <w:b w:val="0"/>
              </w:rPr>
              <w:t>2026</w:t>
            </w:r>
          </w:p>
        </w:tc>
        <w:tc>
          <w:tcPr>
            <w:tcW w:type="dxa" w:w="1656"/>
            <w:vAlign w:val="center"/>
          </w:tcPr>
          <w:p>
            <w:pPr>
              <w:pStyle w:val="TableText"/>
            </w:pPr>
            <w:r/>
            <w:r>
              <w:rPr>
                <w:b w:val="0"/>
              </w:rPr>
              <w:t>ACM FSE Companion 2026</w:t>
            </w:r>
          </w:p>
        </w:tc>
        <w:tc>
          <w:tcPr>
            <w:tcW w:type="dxa" w:w="3024"/>
            <w:vAlign w:val="center"/>
          </w:tcPr>
          <w:p>
            <w:pPr>
              <w:pStyle w:val="TableText"/>
            </w:pPr>
            <w:r/>
            <w:r>
              <w:rPr>
                <w:b w:val="0"/>
              </w:rPr>
              <w:t>Graph-based OTA orchestration integrating Dependency, Safety, Update Sensitivity and Governance; aligned with AUTOSAR, UNECE R155/R156 and ISO 26262.</w:t>
            </w:r>
          </w:p>
        </w:tc>
        <w:tc>
          <w:tcPr>
            <w:tcW w:type="dxa" w:w="2088"/>
            <w:vAlign w:val="center"/>
          </w:tcPr>
          <w:p>
            <w:pPr>
              <w:pStyle w:val="TableText"/>
            </w:pPr>
            <w:r/>
            <w:r>
              <w:rPr>
                <w:b w:val="0"/>
              </w:rPr>
              <w:t>Multi-ECU update scheduling/orchestration and system-wide integrity during execution.</w:t>
            </w:r>
          </w:p>
        </w:tc>
        <w:tc>
          <w:tcPr>
            <w:tcW w:type="dxa" w:w="2880"/>
            <w:vAlign w:val="center"/>
          </w:tcPr>
          <w:p>
            <w:pPr>
              <w:pStyle w:val="TableText"/>
            </w:pPr>
            <w:r/>
            <w:r>
              <w:rPr>
                <w:b w:val="0"/>
              </w:rPr>
              <w:t>Primary focus is orchestration/execution, not continuous post-deployment validity of previously verified assumptions.</w:t>
            </w:r>
          </w:p>
        </w:tc>
        <w:tc>
          <w:tcPr>
            <w:tcW w:type="dxa" w:w="576"/>
            <w:vAlign w:val="center"/>
          </w:tcPr>
          <w:p>
            <w:pPr>
              <w:pStyle w:val="TableText"/>
            </w:pPr>
            <w:r/>
            <w:r>
              <w:rPr>
                <w:b w:val="0"/>
              </w:rPr>
              <w:t>[R2]</w:t>
            </w:r>
          </w:p>
        </w:tc>
      </w:tr>
      <w:tr>
        <w:tc>
          <w:tcPr>
            <w:tcW w:type="dxa" w:w="2088"/>
            <w:vAlign w:val="center"/>
          </w:tcPr>
          <w:p>
            <w:pPr>
              <w:pStyle w:val="TableText"/>
            </w:pPr>
            <w:r/>
            <w:r>
              <w:rPr>
                <w:b w:val="0"/>
              </w:rPr>
              <w:t>Dependency-aware OTA execution planning with path reuse for software-defined vehicles</w:t>
            </w:r>
          </w:p>
        </w:tc>
        <w:tc>
          <w:tcPr>
            <w:tcW w:type="dxa" w:w="648"/>
            <w:vAlign w:val="center"/>
          </w:tcPr>
          <w:p>
            <w:pPr>
              <w:pStyle w:val="TableText"/>
            </w:pPr>
            <w:r/>
            <w:r>
              <w:rPr>
                <w:b w:val="0"/>
              </w:rPr>
              <w:t>2026</w:t>
            </w:r>
          </w:p>
        </w:tc>
        <w:tc>
          <w:tcPr>
            <w:tcW w:type="dxa" w:w="1656"/>
            <w:vAlign w:val="center"/>
          </w:tcPr>
          <w:p>
            <w:pPr>
              <w:pStyle w:val="TableText"/>
            </w:pPr>
            <w:r/>
            <w:r>
              <w:rPr>
                <w:b w:val="0"/>
              </w:rPr>
              <w:t>Journal of Systems Architecture, Vol. 180</w:t>
            </w:r>
          </w:p>
        </w:tc>
        <w:tc>
          <w:tcPr>
            <w:tcW w:type="dxa" w:w="3024"/>
            <w:vAlign w:val="center"/>
          </w:tcPr>
          <w:p>
            <w:pPr>
              <w:pStyle w:val="TableText"/>
            </w:pPr>
            <w:r/>
            <w:r>
              <w:rPr>
                <w:b w:val="0"/>
              </w:rPr>
              <w:t>Vehicle-level state graph, intra/inter-ECU dependencies, intermediate states, full/differential artifacts, A* planning and path reuse.</w:t>
            </w:r>
          </w:p>
        </w:tc>
        <w:tc>
          <w:tcPr>
            <w:tcW w:type="dxa" w:w="2088"/>
            <w:vAlign w:val="center"/>
          </w:tcPr>
          <w:p>
            <w:pPr>
              <w:pStyle w:val="TableText"/>
            </w:pPr>
            <w:r/>
            <w:r>
              <w:rPr>
                <w:b w:val="0"/>
              </w:rPr>
              <w:t>Finds feasible and efficient OTA execution paths across multi-ECU software states.</w:t>
            </w:r>
          </w:p>
        </w:tc>
        <w:tc>
          <w:tcPr>
            <w:tcW w:type="dxa" w:w="2880"/>
            <w:vAlign w:val="center"/>
          </w:tcPr>
          <w:p>
            <w:pPr>
              <w:pStyle w:val="TableText"/>
            </w:pPr>
            <w:r/>
            <w:r>
              <w:rPr>
                <w:b w:val="0"/>
              </w:rPr>
              <w:t>Solves how to reach a feasible updated state; the research opportunity is what happens to safety assurance as runtime conditions subsequently change.</w:t>
            </w:r>
          </w:p>
        </w:tc>
        <w:tc>
          <w:tcPr>
            <w:tcW w:type="dxa" w:w="576"/>
            <w:vAlign w:val="center"/>
          </w:tcPr>
          <w:p>
            <w:pPr>
              <w:pStyle w:val="TableText"/>
            </w:pPr>
            <w:r/>
            <w:r>
              <w:rPr>
                <w:b w:val="0"/>
              </w:rPr>
              <w:t>[R3]</w:t>
            </w:r>
          </w:p>
        </w:tc>
      </w:tr>
      <w:tr>
        <w:tc>
          <w:tcPr>
            <w:tcW w:type="dxa" w:w="2088"/>
            <w:vAlign w:val="center"/>
          </w:tcPr>
          <w:p>
            <w:pPr>
              <w:pStyle w:val="TableText"/>
            </w:pPr>
            <w:r/>
            <w:r>
              <w:rPr>
                <w:b w:val="0"/>
              </w:rPr>
              <w:t>Towards a formal verification of secure vehicle software updates</w:t>
            </w:r>
          </w:p>
        </w:tc>
        <w:tc>
          <w:tcPr>
            <w:tcW w:type="dxa" w:w="648"/>
            <w:vAlign w:val="center"/>
          </w:tcPr>
          <w:p>
            <w:pPr>
              <w:pStyle w:val="TableText"/>
            </w:pPr>
            <w:r/>
            <w:r>
              <w:rPr>
                <w:b w:val="0"/>
              </w:rPr>
              <w:t>2026</w:t>
            </w:r>
          </w:p>
        </w:tc>
        <w:tc>
          <w:tcPr>
            <w:tcW w:type="dxa" w:w="1656"/>
            <w:vAlign w:val="center"/>
          </w:tcPr>
          <w:p>
            <w:pPr>
              <w:pStyle w:val="TableText"/>
            </w:pPr>
            <w:r/>
            <w:r>
              <w:rPr>
                <w:b w:val="0"/>
              </w:rPr>
              <w:t>Computers &amp; Security, Vol. 161</w:t>
            </w:r>
          </w:p>
        </w:tc>
        <w:tc>
          <w:tcPr>
            <w:tcW w:type="dxa" w:w="3024"/>
            <w:vAlign w:val="center"/>
          </w:tcPr>
          <w:p>
            <w:pPr>
              <w:pStyle w:val="TableText"/>
            </w:pPr>
            <w:r/>
            <w:r>
              <w:rPr>
                <w:b w:val="0"/>
              </w:rPr>
              <w:t>ProVerif formal analysis of UniSUF for confidentiality, integrity, authenticity, freshness, order and liveness.</w:t>
            </w:r>
          </w:p>
        </w:tc>
        <w:tc>
          <w:tcPr>
            <w:tcW w:type="dxa" w:w="2088"/>
            <w:vAlign w:val="center"/>
          </w:tcPr>
          <w:p>
            <w:pPr>
              <w:pStyle w:val="TableText"/>
            </w:pPr>
            <w:r/>
            <w:r>
              <w:rPr>
                <w:b w:val="0"/>
              </w:rPr>
              <w:t>Formal security assurance of the update framework.</w:t>
            </w:r>
          </w:p>
        </w:tc>
        <w:tc>
          <w:tcPr>
            <w:tcW w:type="dxa" w:w="2880"/>
            <w:vAlign w:val="center"/>
          </w:tcPr>
          <w:p>
            <w:pPr>
              <w:pStyle w:val="TableText"/>
            </w:pPr>
            <w:r/>
            <w:r>
              <w:rPr>
                <w:b w:val="0"/>
              </w:rPr>
              <w:t>Security properties are not the same as continuous cyber-physical safety/timing assurance after deployment.</w:t>
            </w:r>
          </w:p>
        </w:tc>
        <w:tc>
          <w:tcPr>
            <w:tcW w:type="dxa" w:w="576"/>
            <w:vAlign w:val="center"/>
          </w:tcPr>
          <w:p>
            <w:pPr>
              <w:pStyle w:val="TableText"/>
            </w:pPr>
            <w:r/>
            <w:r>
              <w:rPr>
                <w:b w:val="0"/>
              </w:rPr>
              <w:t>[R4]</w:t>
            </w:r>
          </w:p>
        </w:tc>
      </w:tr>
      <w:tr>
        <w:tc>
          <w:tcPr>
            <w:tcW w:type="dxa" w:w="2088"/>
            <w:vAlign w:val="center"/>
          </w:tcPr>
          <w:p>
            <w:pPr>
              <w:pStyle w:val="TableText"/>
            </w:pPr>
            <w:r/>
            <w:r>
              <w:rPr>
                <w:b w:val="0"/>
              </w:rPr>
              <w:t>Development of HIL Based Methodology for Over-The-Air Updates Validation</w:t>
            </w:r>
          </w:p>
        </w:tc>
        <w:tc>
          <w:tcPr>
            <w:tcW w:type="dxa" w:w="648"/>
            <w:vAlign w:val="center"/>
          </w:tcPr>
          <w:p>
            <w:pPr>
              <w:pStyle w:val="TableText"/>
            </w:pPr>
            <w:r/>
            <w:r>
              <w:rPr>
                <w:b w:val="0"/>
              </w:rPr>
              <w:t>2026</w:t>
            </w:r>
          </w:p>
        </w:tc>
        <w:tc>
          <w:tcPr>
            <w:tcW w:type="dxa" w:w="1656"/>
            <w:vAlign w:val="center"/>
          </w:tcPr>
          <w:p>
            <w:pPr>
              <w:pStyle w:val="TableText"/>
            </w:pPr>
            <w:r/>
            <w:r>
              <w:rPr>
                <w:b w:val="0"/>
              </w:rPr>
              <w:t>SAE Symposium on International Automotive Technology</w:t>
            </w:r>
          </w:p>
        </w:tc>
        <w:tc>
          <w:tcPr>
            <w:tcW w:type="dxa" w:w="3024"/>
            <w:vAlign w:val="center"/>
          </w:tcPr>
          <w:p>
            <w:pPr>
              <w:pStyle w:val="TableText"/>
            </w:pPr>
            <w:r/>
            <w:r>
              <w:rPr>
                <w:b w:val="0"/>
              </w:rPr>
              <w:t>HIL-based OTA validation for EV powertrain-related ECUs, firmware/configuration, security checks, rollback, fault injection and regression testing.</w:t>
            </w:r>
          </w:p>
        </w:tc>
        <w:tc>
          <w:tcPr>
            <w:tcW w:type="dxa" w:w="2088"/>
            <w:vAlign w:val="center"/>
          </w:tcPr>
          <w:p>
            <w:pPr>
              <w:pStyle w:val="TableText"/>
            </w:pPr>
            <w:r/>
            <w:r>
              <w:rPr>
                <w:b w:val="0"/>
              </w:rPr>
              <w:t>Controlled pre-deployment validation and regression testing.</w:t>
            </w:r>
          </w:p>
        </w:tc>
        <w:tc>
          <w:tcPr>
            <w:tcW w:type="dxa" w:w="2880"/>
            <w:vAlign w:val="center"/>
          </w:tcPr>
          <w:p>
            <w:pPr>
              <w:pStyle w:val="TableText"/>
            </w:pPr>
            <w:r/>
            <w:r>
              <w:rPr>
                <w:b w:val="0"/>
              </w:rPr>
              <w:t>HIL cannot exhaustively reproduce every future real-world state; the authors identify future work around digital twins and ML anomaly detection.</w:t>
            </w:r>
          </w:p>
        </w:tc>
        <w:tc>
          <w:tcPr>
            <w:tcW w:type="dxa" w:w="576"/>
            <w:vAlign w:val="center"/>
          </w:tcPr>
          <w:p>
            <w:pPr>
              <w:pStyle w:val="TableText"/>
            </w:pPr>
            <w:r/>
            <w:r>
              <w:rPr>
                <w:b w:val="0"/>
              </w:rPr>
              <w:t>[R5]</w:t>
            </w:r>
          </w:p>
        </w:tc>
      </w:tr>
      <w:tr>
        <w:tc>
          <w:tcPr>
            <w:tcW w:type="dxa" w:w="2088"/>
            <w:vAlign w:val="center"/>
          </w:tcPr>
          <w:p>
            <w:pPr>
              <w:pStyle w:val="TableText"/>
            </w:pPr>
            <w:r/>
            <w:r>
              <w:rPr>
                <w:b w:val="0"/>
              </w:rPr>
              <w:t>OTA Updates for Intelligent Vehicles: Challenges for a Safe and Secure Strategy</w:t>
            </w:r>
          </w:p>
        </w:tc>
        <w:tc>
          <w:tcPr>
            <w:tcW w:type="dxa" w:w="648"/>
            <w:vAlign w:val="center"/>
          </w:tcPr>
          <w:p>
            <w:pPr>
              <w:pStyle w:val="TableText"/>
            </w:pPr>
            <w:r/>
            <w:r>
              <w:rPr>
                <w:b w:val="0"/>
              </w:rPr>
              <w:t>2026</w:t>
            </w:r>
          </w:p>
        </w:tc>
        <w:tc>
          <w:tcPr>
            <w:tcW w:type="dxa" w:w="1656"/>
            <w:vAlign w:val="center"/>
          </w:tcPr>
          <w:p>
            <w:pPr>
              <w:pStyle w:val="TableText"/>
            </w:pPr>
            <w:r/>
            <w:r>
              <w:rPr>
                <w:b w:val="0"/>
              </w:rPr>
              <w:t>IEEE CROS 2026</w:t>
            </w:r>
          </w:p>
        </w:tc>
        <w:tc>
          <w:tcPr>
            <w:tcW w:type="dxa" w:w="3024"/>
            <w:vAlign w:val="center"/>
          </w:tcPr>
          <w:p>
            <w:pPr>
              <w:pStyle w:val="TableText"/>
            </w:pPr>
            <w:r/>
            <w:r>
              <w:rPr>
                <w:b w:val="0"/>
              </w:rPr>
              <w:t>Rapid review of 16 studies from 2020–2025 across privacy, confidentiality, integrity, availability, authentication and safety.</w:t>
            </w:r>
          </w:p>
        </w:tc>
        <w:tc>
          <w:tcPr>
            <w:tcW w:type="dxa" w:w="2088"/>
            <w:vAlign w:val="center"/>
          </w:tcPr>
          <w:p>
            <w:pPr>
              <w:pStyle w:val="TableText"/>
            </w:pPr>
            <w:r/>
            <w:r>
              <w:rPr>
                <w:b w:val="0"/>
              </w:rPr>
              <w:t>Maps the current safety/security landscape.</w:t>
            </w:r>
          </w:p>
        </w:tc>
        <w:tc>
          <w:tcPr>
            <w:tcW w:type="dxa" w:w="2880"/>
            <w:vAlign w:val="center"/>
          </w:tcPr>
          <w:p>
            <w:pPr>
              <w:pStyle w:val="TableText"/>
            </w:pPr>
            <w:r/>
            <w:r>
              <w:rPr>
                <w:b w:val="0"/>
              </w:rPr>
              <w:t>Identifies continuing gaps in vehicle availability during updates and update-level safety; supports the need for more resilient OTA architectures.</w:t>
            </w:r>
          </w:p>
        </w:tc>
        <w:tc>
          <w:tcPr>
            <w:tcW w:type="dxa" w:w="576"/>
            <w:vAlign w:val="center"/>
          </w:tcPr>
          <w:p>
            <w:pPr>
              <w:pStyle w:val="TableText"/>
            </w:pPr>
            <w:r/>
            <w:r>
              <w:rPr>
                <w:b w:val="0"/>
              </w:rPr>
              <w:t>[R6]</w:t>
            </w:r>
          </w:p>
        </w:tc>
      </w:tr>
    </w:tbl>
    <w:p/>
    <w:p>
      <w:pPr>
        <w:pStyle w:val="Heading2"/>
      </w:pPr>
      <w:r>
        <w:t>4.1 Additional 2024–2025 context</w:t>
      </w:r>
    </w:p>
    <w:p>
      <w:pPr>
        <w:pStyle w:val="ListBullet"/>
        <w:spacing w:after="40"/>
      </w:pPr>
      <w:r>
        <w:t>2025 Computers &amp; Security work on secure-by-design OTA architectures addresses the security architecture of OTA for modern vehicles. This reinforces that security-by-design is already a mature direction and should not be the main novelty claim.</w:t>
      </w:r>
    </w:p>
    <w:p>
      <w:pPr>
        <w:pStyle w:val="ListBullet"/>
        <w:spacing w:after="40"/>
      </w:pPr>
      <w:r>
        <w:t>2024/2025 formal analyses of Uptane and related secure OTA mechanisms focus strongly on authentication, integrity, protocol correctness and threat resistance. These are important foundations, but they are not the proposed runtime-assurance problem.</w:t>
      </w:r>
    </w:p>
    <w:p>
      <w:pPr>
        <w:pStyle w:val="ListBullet"/>
        <w:spacing w:after="40"/>
      </w:pPr>
      <w:r>
        <w:t>The current research trajectory therefore shows a progression: secure delivery → formal security → safety contracts → dependency-aware orchestration → dependency-aware execution planning → HIL validation. The remaining lifecycle question is continuous assurance in the deployed vehicle.</w:t>
      </w:r>
    </w:p>
    <w:p>
      <w:pPr>
        <w:pStyle w:val="Heading1"/>
      </w:pPr>
      <w:r>
        <w:t>5. Cross-Paper Literature Analysis</w:t>
      </w:r>
    </w:p>
    <w:p>
      <w:r>
        <w:t>The following matrix compares the research dimensions rather than comparing papers only by title.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448"/>
            <w:vAlign w:val="center"/>
            <w:shd w:fill="D9EAF7"/>
          </w:tcPr>
          <w:p>
            <w:pPr>
              <w:pStyle w:val="TableText"/>
            </w:pPr>
            <w:r/>
            <w:r>
              <w:rPr>
                <w:b/>
              </w:rPr>
              <w:t>Dimension</w:t>
            </w:r>
          </w:p>
        </w:tc>
        <w:tc>
          <w:tcPr>
            <w:tcW w:type="dxa" w:w="3456"/>
            <w:vAlign w:val="center"/>
            <w:shd w:fill="D9EAF7"/>
          </w:tcPr>
          <w:p>
            <w:pPr>
              <w:pStyle w:val="TableText"/>
            </w:pPr>
            <w:r/>
            <w:r>
              <w:rPr>
                <w:b/>
              </w:rPr>
              <w:t>Evidence in recent work</w:t>
            </w:r>
          </w:p>
        </w:tc>
        <w:tc>
          <w:tcPr>
            <w:tcW w:type="dxa" w:w="2016"/>
            <w:vAlign w:val="center"/>
            <w:shd w:fill="D9EAF7"/>
          </w:tcPr>
          <w:p>
            <w:pPr>
              <w:pStyle w:val="TableText"/>
            </w:pPr>
            <w:r/>
            <w:r>
              <w:rPr>
                <w:b/>
              </w:rPr>
              <w:t>Status</w:t>
            </w:r>
          </w:p>
        </w:tc>
        <w:tc>
          <w:tcPr>
            <w:tcW w:type="dxa" w:w="3168"/>
            <w:vAlign w:val="center"/>
            <w:shd w:fill="D9EAF7"/>
          </w:tcPr>
          <w:p>
            <w:pPr>
              <w:pStyle w:val="TableText"/>
            </w:pPr>
            <w:r/>
            <w:r>
              <w:rPr>
                <w:b/>
              </w:rPr>
              <w:t>What we should NOT claim</w:t>
            </w:r>
          </w:p>
        </w:tc>
      </w:tr>
      <w:tr>
        <w:tc>
          <w:tcPr>
            <w:tcW w:type="dxa" w:w="2448"/>
            <w:vAlign w:val="center"/>
          </w:tcPr>
          <w:p>
            <w:pPr>
              <w:pStyle w:val="TableText"/>
            </w:pPr>
            <w:r/>
            <w:r>
              <w:rPr>
                <w:b w:val="0"/>
              </w:rPr>
              <w:t>Authentication / integrity</w:t>
            </w:r>
          </w:p>
        </w:tc>
        <w:tc>
          <w:tcPr>
            <w:tcW w:type="dxa" w:w="3456"/>
            <w:vAlign w:val="center"/>
          </w:tcPr>
          <w:p>
            <w:pPr>
              <w:pStyle w:val="TableText"/>
            </w:pPr>
            <w:r/>
            <w:r>
              <w:rPr>
                <w:b w:val="0"/>
              </w:rPr>
              <w:t>UniSUF/Uptane/security research</w:t>
            </w:r>
          </w:p>
        </w:tc>
        <w:tc>
          <w:tcPr>
            <w:tcW w:type="dxa" w:w="2016"/>
            <w:vAlign w:val="center"/>
          </w:tcPr>
          <w:p>
            <w:pPr>
              <w:pStyle w:val="TableText"/>
            </w:pPr>
            <w:r/>
            <w:r>
              <w:rPr>
                <w:b w:val="0"/>
              </w:rPr>
              <w:t>Strongly addressed</w:t>
            </w:r>
          </w:p>
        </w:tc>
        <w:tc>
          <w:tcPr>
            <w:tcW w:type="dxa" w:w="3168"/>
            <w:vAlign w:val="center"/>
          </w:tcPr>
          <w:p>
            <w:pPr>
              <w:pStyle w:val="TableText"/>
            </w:pPr>
            <w:r/>
            <w:r>
              <w:rPr>
                <w:b w:val="0"/>
              </w:rPr>
              <w:t>Do not claim first secure OTA.</w:t>
            </w:r>
          </w:p>
        </w:tc>
      </w:tr>
      <w:tr>
        <w:tc>
          <w:tcPr>
            <w:tcW w:type="dxa" w:w="2448"/>
            <w:vAlign w:val="center"/>
          </w:tcPr>
          <w:p>
            <w:pPr>
              <w:pStyle w:val="TableText"/>
            </w:pPr>
            <w:r/>
            <w:r>
              <w:rPr>
                <w:b w:val="0"/>
              </w:rPr>
              <w:t>Formal security verification</w:t>
            </w:r>
          </w:p>
        </w:tc>
        <w:tc>
          <w:tcPr>
            <w:tcW w:type="dxa" w:w="3456"/>
            <w:vAlign w:val="center"/>
          </w:tcPr>
          <w:p>
            <w:pPr>
              <w:pStyle w:val="TableText"/>
            </w:pPr>
            <w:r/>
            <w:r>
              <w:rPr>
                <w:b w:val="0"/>
              </w:rPr>
              <w:t>Computers &amp; Security 2026</w:t>
            </w:r>
          </w:p>
        </w:tc>
        <w:tc>
          <w:tcPr>
            <w:tcW w:type="dxa" w:w="2016"/>
            <w:vAlign w:val="center"/>
          </w:tcPr>
          <w:p>
            <w:pPr>
              <w:pStyle w:val="TableText"/>
            </w:pPr>
            <w:r/>
            <w:r>
              <w:rPr>
                <w:b w:val="0"/>
              </w:rPr>
              <w:t>Addressed</w:t>
            </w:r>
          </w:p>
        </w:tc>
        <w:tc>
          <w:tcPr>
            <w:tcW w:type="dxa" w:w="3168"/>
            <w:vAlign w:val="center"/>
          </w:tcPr>
          <w:p>
            <w:pPr>
              <w:pStyle w:val="TableText"/>
            </w:pPr>
            <w:r/>
            <w:r>
              <w:rPr>
                <w:b w:val="0"/>
              </w:rPr>
              <w:t>Do not claim first formal verification.</w:t>
            </w:r>
          </w:p>
        </w:tc>
      </w:tr>
      <w:tr>
        <w:tc>
          <w:tcPr>
            <w:tcW w:type="dxa" w:w="2448"/>
            <w:vAlign w:val="center"/>
          </w:tcPr>
          <w:p>
            <w:pPr>
              <w:pStyle w:val="TableText"/>
            </w:pPr>
            <w:r/>
            <w:r>
              <w:rPr>
                <w:b w:val="0"/>
              </w:rPr>
              <w:t>Contract-based safety</w:t>
            </w:r>
          </w:p>
        </w:tc>
        <w:tc>
          <w:tcPr>
            <w:tcW w:type="dxa" w:w="3456"/>
            <w:vAlign w:val="center"/>
          </w:tcPr>
          <w:p>
            <w:pPr>
              <w:pStyle w:val="TableText"/>
            </w:pPr>
            <w:r/>
            <w:r>
              <w:rPr>
                <w:b w:val="0"/>
              </w:rPr>
              <w:t>IEEE TSE 2026</w:t>
            </w:r>
          </w:p>
        </w:tc>
        <w:tc>
          <w:tcPr>
            <w:tcW w:type="dxa" w:w="2016"/>
            <w:vAlign w:val="center"/>
          </w:tcPr>
          <w:p>
            <w:pPr>
              <w:pStyle w:val="TableText"/>
            </w:pPr>
            <w:r/>
            <w:r>
              <w:rPr>
                <w:b w:val="0"/>
              </w:rPr>
              <w:t>Strongly addressed</w:t>
            </w:r>
          </w:p>
        </w:tc>
        <w:tc>
          <w:tcPr>
            <w:tcW w:type="dxa" w:w="3168"/>
            <w:vAlign w:val="center"/>
          </w:tcPr>
          <w:p>
            <w:pPr>
              <w:pStyle w:val="TableText"/>
            </w:pPr>
            <w:r/>
            <w:r>
              <w:rPr>
                <w:b w:val="0"/>
              </w:rPr>
              <w:t>Do not claim first contract-driven OTA safety.</w:t>
            </w:r>
          </w:p>
        </w:tc>
      </w:tr>
      <w:tr>
        <w:tc>
          <w:tcPr>
            <w:tcW w:type="dxa" w:w="2448"/>
            <w:vAlign w:val="center"/>
          </w:tcPr>
          <w:p>
            <w:pPr>
              <w:pStyle w:val="TableText"/>
            </w:pPr>
            <w:r/>
            <w:r>
              <w:rPr>
                <w:b w:val="0"/>
              </w:rPr>
              <w:t>Dependency-aware orchestration</w:t>
            </w:r>
          </w:p>
        </w:tc>
        <w:tc>
          <w:tcPr>
            <w:tcW w:type="dxa" w:w="3456"/>
            <w:vAlign w:val="center"/>
          </w:tcPr>
          <w:p>
            <w:pPr>
              <w:pStyle w:val="TableText"/>
            </w:pPr>
            <w:r/>
            <w:r>
              <w:rPr>
                <w:b w:val="0"/>
              </w:rPr>
              <w:t>ACM FSE 2026</w:t>
            </w:r>
          </w:p>
        </w:tc>
        <w:tc>
          <w:tcPr>
            <w:tcW w:type="dxa" w:w="2016"/>
            <w:vAlign w:val="center"/>
          </w:tcPr>
          <w:p>
            <w:pPr>
              <w:pStyle w:val="TableText"/>
            </w:pPr>
            <w:r/>
            <w:r>
              <w:rPr>
                <w:b w:val="0"/>
              </w:rPr>
              <w:t>Addressed</w:t>
            </w:r>
          </w:p>
        </w:tc>
        <w:tc>
          <w:tcPr>
            <w:tcW w:type="dxa" w:w="3168"/>
            <w:vAlign w:val="center"/>
          </w:tcPr>
          <w:p>
            <w:pPr>
              <w:pStyle w:val="TableText"/>
            </w:pPr>
            <w:r/>
            <w:r>
              <w:rPr>
                <w:b w:val="0"/>
              </w:rPr>
              <w:t>Do not claim first dependency-aware OTA.</w:t>
            </w:r>
          </w:p>
        </w:tc>
      </w:tr>
      <w:tr>
        <w:tc>
          <w:tcPr>
            <w:tcW w:type="dxa" w:w="2448"/>
            <w:vAlign w:val="center"/>
          </w:tcPr>
          <w:p>
            <w:pPr>
              <w:pStyle w:val="TableText"/>
            </w:pPr>
            <w:r/>
            <w:r>
              <w:rPr>
                <w:b w:val="0"/>
              </w:rPr>
              <w:t>Vehicle-level execution planning</w:t>
            </w:r>
          </w:p>
        </w:tc>
        <w:tc>
          <w:tcPr>
            <w:tcW w:type="dxa" w:w="3456"/>
            <w:vAlign w:val="center"/>
          </w:tcPr>
          <w:p>
            <w:pPr>
              <w:pStyle w:val="TableText"/>
            </w:pPr>
            <w:r/>
            <w:r>
              <w:rPr>
                <w:b w:val="0"/>
              </w:rPr>
              <w:t>JSA 2026</w:t>
            </w:r>
          </w:p>
        </w:tc>
        <w:tc>
          <w:tcPr>
            <w:tcW w:type="dxa" w:w="2016"/>
            <w:vAlign w:val="center"/>
          </w:tcPr>
          <w:p>
            <w:pPr>
              <w:pStyle w:val="TableText"/>
            </w:pPr>
            <w:r/>
            <w:r>
              <w:rPr>
                <w:b w:val="0"/>
              </w:rPr>
              <w:t>Addressed</w:t>
            </w:r>
          </w:p>
        </w:tc>
        <w:tc>
          <w:tcPr>
            <w:tcW w:type="dxa" w:w="3168"/>
            <w:vAlign w:val="center"/>
          </w:tcPr>
          <w:p>
            <w:pPr>
              <w:pStyle w:val="TableText"/>
            </w:pPr>
            <w:r/>
            <w:r>
              <w:rPr>
                <w:b w:val="0"/>
              </w:rPr>
              <w:t>Do not claim first graph/A* OTA planner.</w:t>
            </w:r>
          </w:p>
        </w:tc>
      </w:tr>
      <w:tr>
        <w:tc>
          <w:tcPr>
            <w:tcW w:type="dxa" w:w="2448"/>
            <w:vAlign w:val="center"/>
          </w:tcPr>
          <w:p>
            <w:pPr>
              <w:pStyle w:val="TableText"/>
            </w:pPr>
            <w:r/>
            <w:r>
              <w:rPr>
                <w:b w:val="0"/>
              </w:rPr>
              <w:t>HIL validation</w:t>
            </w:r>
          </w:p>
        </w:tc>
        <w:tc>
          <w:tcPr>
            <w:tcW w:type="dxa" w:w="3456"/>
            <w:vAlign w:val="center"/>
          </w:tcPr>
          <w:p>
            <w:pPr>
              <w:pStyle w:val="TableText"/>
            </w:pPr>
            <w:r/>
            <w:r>
              <w:rPr>
                <w:b w:val="0"/>
              </w:rPr>
              <w:t>SAE 2026</w:t>
            </w:r>
          </w:p>
        </w:tc>
        <w:tc>
          <w:tcPr>
            <w:tcW w:type="dxa" w:w="2016"/>
            <w:vAlign w:val="center"/>
          </w:tcPr>
          <w:p>
            <w:pPr>
              <w:pStyle w:val="TableText"/>
            </w:pPr>
            <w:r/>
            <w:r>
              <w:rPr>
                <w:b w:val="0"/>
              </w:rPr>
              <w:t>Addressed</w:t>
            </w:r>
          </w:p>
        </w:tc>
        <w:tc>
          <w:tcPr>
            <w:tcW w:type="dxa" w:w="3168"/>
            <w:vAlign w:val="center"/>
          </w:tcPr>
          <w:p>
            <w:pPr>
              <w:pStyle w:val="TableText"/>
            </w:pPr>
            <w:r/>
            <w:r>
              <w:rPr>
                <w:b w:val="0"/>
              </w:rPr>
              <w:t>Do not claim first HIL OTA validation.</w:t>
            </w:r>
          </w:p>
        </w:tc>
      </w:tr>
      <w:tr>
        <w:tc>
          <w:tcPr>
            <w:tcW w:type="dxa" w:w="2448"/>
            <w:vAlign w:val="center"/>
          </w:tcPr>
          <w:p>
            <w:pPr>
              <w:pStyle w:val="TableText"/>
            </w:pPr>
            <w:r/>
            <w:r>
              <w:rPr>
                <w:b w:val="0"/>
              </w:rPr>
              <w:t>Rollback / recovery</w:t>
            </w:r>
          </w:p>
        </w:tc>
        <w:tc>
          <w:tcPr>
            <w:tcW w:type="dxa" w:w="3456"/>
            <w:vAlign w:val="center"/>
          </w:tcPr>
          <w:p>
            <w:pPr>
              <w:pStyle w:val="TableText"/>
            </w:pPr>
            <w:r/>
            <w:r>
              <w:rPr>
                <w:b w:val="0"/>
              </w:rPr>
              <w:t>Prior OTA research and patents</w:t>
            </w:r>
          </w:p>
        </w:tc>
        <w:tc>
          <w:tcPr>
            <w:tcW w:type="dxa" w:w="2016"/>
            <w:vAlign w:val="center"/>
          </w:tcPr>
          <w:p>
            <w:pPr>
              <w:pStyle w:val="TableText"/>
            </w:pPr>
            <w:r/>
            <w:r>
              <w:rPr>
                <w:b w:val="0"/>
              </w:rPr>
              <w:t>Existing</w:t>
            </w:r>
          </w:p>
        </w:tc>
        <w:tc>
          <w:tcPr>
            <w:tcW w:type="dxa" w:w="3168"/>
            <w:vAlign w:val="center"/>
          </w:tcPr>
          <w:p>
            <w:pPr>
              <w:pStyle w:val="TableText"/>
            </w:pPr>
            <w:r/>
            <w:r>
              <w:rPr>
                <w:b w:val="0"/>
              </w:rPr>
              <w:t>Do not claim rollback itself as novel.</w:t>
            </w:r>
          </w:p>
        </w:tc>
      </w:tr>
      <w:tr>
        <w:tc>
          <w:tcPr>
            <w:tcW w:type="dxa" w:w="2448"/>
            <w:vAlign w:val="center"/>
          </w:tcPr>
          <w:p>
            <w:pPr>
              <w:pStyle w:val="TableText"/>
            </w:pPr>
            <w:r/>
            <w:r>
              <w:rPr>
                <w:b w:val="0"/>
              </w:rPr>
              <w:t>Generic anomaly detection</w:t>
            </w:r>
          </w:p>
        </w:tc>
        <w:tc>
          <w:tcPr>
            <w:tcW w:type="dxa" w:w="3456"/>
            <w:vAlign w:val="center"/>
          </w:tcPr>
          <w:p>
            <w:pPr>
              <w:pStyle w:val="TableText"/>
            </w:pPr>
            <w:r/>
            <w:r>
              <w:rPr>
                <w:b w:val="0"/>
              </w:rPr>
              <w:t>Existing automotive monitoring literature</w:t>
            </w:r>
          </w:p>
        </w:tc>
        <w:tc>
          <w:tcPr>
            <w:tcW w:type="dxa" w:w="2016"/>
            <w:vAlign w:val="center"/>
          </w:tcPr>
          <w:p>
            <w:pPr>
              <w:pStyle w:val="TableText"/>
            </w:pPr>
            <w:r/>
            <w:r>
              <w:rPr>
                <w:b w:val="0"/>
              </w:rPr>
              <w:t>Existing</w:t>
            </w:r>
          </w:p>
        </w:tc>
        <w:tc>
          <w:tcPr>
            <w:tcW w:type="dxa" w:w="3168"/>
            <w:vAlign w:val="center"/>
          </w:tcPr>
          <w:p>
            <w:pPr>
              <w:pStyle w:val="TableText"/>
            </w:pPr>
            <w:r/>
            <w:r>
              <w:rPr>
                <w:b w:val="0"/>
              </w:rPr>
              <w:t>Do not claim first anomaly detector.</w:t>
            </w:r>
          </w:p>
        </w:tc>
      </w:tr>
      <w:tr>
        <w:tc>
          <w:tcPr>
            <w:tcW w:type="dxa" w:w="2448"/>
            <w:vAlign w:val="center"/>
          </w:tcPr>
          <w:p>
            <w:pPr>
              <w:pStyle w:val="TableText"/>
            </w:pPr>
            <w:r/>
            <w:r>
              <w:rPr>
                <w:b w:val="0"/>
              </w:rPr>
              <w:t>Continuous post-deployment assurance against verified bounds</w:t>
            </w:r>
          </w:p>
        </w:tc>
        <w:tc>
          <w:tcPr>
            <w:tcW w:type="dxa" w:w="3456"/>
            <w:vAlign w:val="center"/>
          </w:tcPr>
          <w:p>
            <w:pPr>
              <w:pStyle w:val="TableText"/>
            </w:pPr>
            <w:r/>
            <w:r>
              <w:rPr>
                <w:b w:val="0"/>
              </w:rPr>
              <w:t>Less mature in the reviewed 2026 core papers</w:t>
            </w:r>
          </w:p>
        </w:tc>
        <w:tc>
          <w:tcPr>
            <w:tcW w:type="dxa" w:w="2016"/>
            <w:vAlign w:val="center"/>
          </w:tcPr>
          <w:p>
            <w:pPr>
              <w:pStyle w:val="TableText"/>
            </w:pPr>
            <w:r/>
            <w:r>
              <w:rPr>
                <w:b w:val="0"/>
              </w:rPr>
              <w:t>Gap candidate</w:t>
            </w:r>
          </w:p>
        </w:tc>
        <w:tc>
          <w:tcPr>
            <w:tcW w:type="dxa" w:w="3168"/>
            <w:vAlign w:val="center"/>
          </w:tcPr>
          <w:p>
            <w:pPr>
              <w:pStyle w:val="TableText"/>
            </w:pPr>
            <w:r/>
            <w:r>
              <w:rPr>
                <w:b w:val="0"/>
              </w:rPr>
              <w:t>Must perform targeted claim-level prior-art search before final novelty claim.</w:t>
            </w:r>
          </w:p>
        </w:tc>
      </w:tr>
    </w:tbl>
    <w:p/>
    <w:p>
      <w:pPr>
        <w:pStyle w:val="Heading1"/>
      </w:pPr>
      <w:r>
        <w:t>6. Limitations Identified in Existing Approaches</w:t>
      </w:r>
    </w:p>
    <w:p>
      <w:r>
        <w:rPr>
          <w:b/>
        </w:rPr>
        <w:t xml:space="preserve">Static-to-dynamic gap: </w:t>
      </w:r>
      <w:r>
        <w:t>A safety proof or contract check is performed against a modeled/configured set of assumptions. Real vehicle operation changes continuously.</w:t>
      </w:r>
    </w:p>
    <w:p>
      <w:r>
        <w:rPr>
          <w:b/>
        </w:rPr>
        <w:t xml:space="preserve">Scenario coverage gap: </w:t>
      </w:r>
      <w:r>
        <w:t>HIL can reproduce controlled conditions but cannot practically enumerate every combination of temperature, load, network traffic, driver behavior, battery state and software interaction.</w:t>
      </w:r>
    </w:p>
    <w:p>
      <w:r>
        <w:rPr>
          <w:b/>
        </w:rPr>
        <w:t xml:space="preserve">Assumption drift: </w:t>
      </w:r>
      <w:r>
        <w:t>An assumption that was valid at verification time can become invalid after deployment when operating conditions move outside the verified envelope.</w:t>
      </w:r>
    </w:p>
    <w:p>
      <w:r>
        <w:rPr>
          <w:b/>
        </w:rPr>
        <w:t xml:space="preserve">Timing-margin erosion: </w:t>
      </w:r>
      <w:r>
        <w:t>A software component may remain functionally correct while CPU contention, network load or task jitter erodes a safety timing margin.</w:t>
      </w:r>
    </w:p>
    <w:p>
      <w:r>
        <w:rPr>
          <w:b/>
        </w:rPr>
        <w:t xml:space="preserve">Context blindness: </w:t>
      </w:r>
      <w:r>
        <w:t>A raw anomaly score does not necessarily tell whether a change is caused by the update, normal driving context, environment or another system condition.</w:t>
      </w:r>
    </w:p>
    <w:p>
      <w:r>
        <w:rPr>
          <w:b/>
        </w:rPr>
        <w:t xml:space="preserve">Binary decision limitation: </w:t>
      </w:r>
      <w:r>
        <w:t>A simple safe/unsafe rule may cause unnecessary rollback when a less disruptive safe response is possible.</w:t>
      </w:r>
    </w:p>
    <w:p>
      <w:r>
        <w:rPr>
          <w:b/>
        </w:rPr>
        <w:t xml:space="preserve">Fleet feedback delay: </w:t>
      </w:r>
      <w:r>
        <w:t>A defect may only become visible after a large population experiences a rare combination of conditions.</w:t>
      </w:r>
    </w:p>
    <w:p>
      <w:pPr>
        <w:pStyle w:val="Heading1"/>
      </w:pPr>
      <w:r>
        <w:t>7. Research Gap Identification</w:t>
      </w:r>
    </w:p>
    <w:tbl>
      <w:tblPr>
        <w:tblStyle w:val="TableGrid"/>
        <w:tblW w:type="auto" w:w="0"/>
        <w:tblLook w:firstColumn="1" w:firstRow="1" w:lastColumn="0" w:lastRow="0" w:noHBand="0" w:noVBand="1" w:val="04A0"/>
      </w:tblPr>
      <w:tblGrid>
        <w:gridCol w:w="10224"/>
      </w:tblGrid>
      <w:tr>
        <w:tc>
          <w:tcPr>
            <w:tcW w:type="dxa" w:w="10224"/>
            <w:shd w:fill="EEF5FB"/>
          </w:tcPr>
          <w:p>
            <w:r>
              <w:rPr>
                <w:b/>
                <w:sz w:val="20"/>
              </w:rPr>
              <w:t>Gap candidate</w:t>
              <w:br/>
            </w:r>
            <w:r>
              <w:rPr>
                <w:sz w:val="18"/>
              </w:rPr>
              <w:t>Recent OTA research is strong at secure delivery, formal security verification, contract-based safety analysis, dependency-aware orchestration, dependency-aware execution planning and controlled HIL validation. The reviewed core papers do not provide a unified lifecycle mechanism whose primary purpose is to carry the verified safety/timing assumptions into the deployed vehicle and continuously determine whether those assumptions remain valid as the vehicle's cyber-physical operating context changes.</w:t>
            </w:r>
          </w:p>
        </w:tc>
      </w:tr>
    </w:tbl>
    <w:p/>
    <w:p>
      <w:r>
        <w:t>This is deliberately narrower than saying 'post-OTA monitoring is unsolved.' Monitoring and anomaly detection already exist. The proposed gap is the missing assurance link between a formal/pre-deployment safety envelope and continuous runtime validity.</w:t>
      </w:r>
    </w:p>
    <w:p>
      <w:pPr>
        <w:pStyle w:val="Heading2"/>
      </w:pPr>
      <w:r>
        <w:t>7.1 Gap statement suitable for a paper</w:t>
      </w:r>
    </w:p>
    <w:p>
      <w:r>
        <w:t>Existing automotive OTA approaches can establish security, verify update safety properties, manage software dependencies, plan multi-ECU execution and validate update behavior in controlled environments. However, after deployment, the vehicle is exposed to continuously changing computational, communication, thermal and functional conditions. The literature reviewed here does not establish a unified mechanism for continuously checking whether the assumptions and timing margins used to justify an OTA update remain valid in the deployed vehicle and for selecting a graduated safety response when those margins are threatened.</w:t>
      </w:r>
    </w:p>
    <w:p>
      <w:pPr>
        <w:pStyle w:val="Heading1"/>
      </w:pPr>
      <w:r>
        <w:t>8. Problem Identification</w:t>
      </w:r>
    </w:p>
    <w:p>
      <w:pPr>
        <w:pStyle w:val="Heading2"/>
      </w:pPr>
      <w:r>
        <w:t>8.1 Real problem</w:t>
      </w:r>
    </w:p>
    <w:p>
      <w:r>
        <w:t>An OTA update can be correctly signed, successfully installed, dependency-consistent, formally acceptable and HIL-tested, yet later encounter a runtime state that was not represented in the verification scenario. For example, an EV may enter a combination of high ADAS workload, high CAN/Ethernet traffic, high ambient temperature and battery/vehicle conditions that reduce timing or compute margin. The software version has not changed, but the conditions under which its safety argument was valid have changed.</w:t>
      </w:r>
    </w:p>
    <w:p>
      <w:pPr>
        <w:pStyle w:val="Heading2"/>
      </w:pPr>
      <w:r>
        <w:t>8.2 Example scenario</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D9EAF7"/>
          </w:tcPr>
          <w:p>
            <w:pPr>
              <w:pStyle w:val="TableText"/>
            </w:pPr>
            <w:r/>
            <w:r>
              <w:rPr>
                <w:b/>
              </w:rPr>
              <w:t>Stage</w:t>
            </w:r>
          </w:p>
        </w:tc>
        <w:tc>
          <w:tcPr>
            <w:tcW w:type="dxa" w:w="4608"/>
            <w:vAlign w:val="center"/>
            <w:shd w:fill="D9EAF7"/>
          </w:tcPr>
          <w:p>
            <w:pPr>
              <w:pStyle w:val="TableText"/>
            </w:pPr>
            <w:r/>
            <w:r>
              <w:rPr>
                <w:b/>
              </w:rPr>
              <w:t>Vehicle state</w:t>
            </w:r>
          </w:p>
        </w:tc>
        <w:tc>
          <w:tcPr>
            <w:tcW w:type="dxa" w:w="4320"/>
            <w:vAlign w:val="center"/>
            <w:shd w:fill="D9EAF7"/>
          </w:tcPr>
          <w:p>
            <w:pPr>
              <w:pStyle w:val="TableText"/>
            </w:pPr>
            <w:r/>
            <w:r>
              <w:rPr>
                <w:b/>
              </w:rPr>
              <w:t>Assurance interpretation</w:t>
            </w:r>
          </w:p>
        </w:tc>
      </w:tr>
      <w:tr>
        <w:tc>
          <w:tcPr>
            <w:tcW w:type="dxa" w:w="1728"/>
            <w:vAlign w:val="center"/>
          </w:tcPr>
          <w:p>
            <w:pPr>
              <w:pStyle w:val="TableText"/>
            </w:pPr>
            <w:r/>
            <w:r>
              <w:rPr>
                <w:b w:val="0"/>
              </w:rPr>
              <w:t>Before OTA</w:t>
            </w:r>
          </w:p>
        </w:tc>
        <w:tc>
          <w:tcPr>
            <w:tcW w:type="dxa" w:w="4608"/>
            <w:vAlign w:val="center"/>
          </w:tcPr>
          <w:p>
            <w:pPr>
              <w:pStyle w:val="TableText"/>
            </w:pPr>
            <w:r/>
            <w:r>
              <w:rPr>
                <w:b w:val="0"/>
              </w:rPr>
              <w:t>CPU 50%, CAN 30%, task jitter 0.7 ms, temperature 25°C</w:t>
            </w:r>
          </w:p>
        </w:tc>
        <w:tc>
          <w:tcPr>
            <w:tcW w:type="dxa" w:w="4320"/>
            <w:vAlign w:val="center"/>
          </w:tcPr>
          <w:p>
            <w:pPr>
              <w:pStyle w:val="TableText"/>
            </w:pPr>
            <w:r/>
            <w:r>
              <w:rPr>
                <w:b w:val="0"/>
              </w:rPr>
              <w:t>Within verified envelope.</w:t>
            </w:r>
          </w:p>
        </w:tc>
      </w:tr>
      <w:tr>
        <w:tc>
          <w:tcPr>
            <w:tcW w:type="dxa" w:w="1728"/>
            <w:vAlign w:val="center"/>
          </w:tcPr>
          <w:p>
            <w:pPr>
              <w:pStyle w:val="TableText"/>
            </w:pPr>
            <w:r/>
            <w:r>
              <w:rPr>
                <w:b w:val="0"/>
              </w:rPr>
              <w:t>OTA validation</w:t>
            </w:r>
          </w:p>
        </w:tc>
        <w:tc>
          <w:tcPr>
            <w:tcW w:type="dxa" w:w="4608"/>
            <w:vAlign w:val="center"/>
          </w:tcPr>
          <w:p>
            <w:pPr>
              <w:pStyle w:val="TableText"/>
            </w:pPr>
            <w:r/>
            <w:r>
              <w:rPr>
                <w:b w:val="0"/>
              </w:rPr>
              <w:t>Contracts/dependencies/HIL tests pass</w:t>
            </w:r>
          </w:p>
        </w:tc>
        <w:tc>
          <w:tcPr>
            <w:tcW w:type="dxa" w:w="4320"/>
            <w:vAlign w:val="center"/>
          </w:tcPr>
          <w:p>
            <w:pPr>
              <w:pStyle w:val="TableText"/>
            </w:pPr>
            <w:r/>
            <w:r>
              <w:rPr>
                <w:b w:val="0"/>
              </w:rPr>
              <w:t>Update approved.</w:t>
            </w:r>
          </w:p>
        </w:tc>
      </w:tr>
      <w:tr>
        <w:tc>
          <w:tcPr>
            <w:tcW w:type="dxa" w:w="1728"/>
            <w:vAlign w:val="center"/>
          </w:tcPr>
          <w:p>
            <w:pPr>
              <w:pStyle w:val="TableText"/>
            </w:pPr>
            <w:r/>
            <w:r>
              <w:rPr>
                <w:b w:val="0"/>
              </w:rPr>
              <w:t>Deployment</w:t>
            </w:r>
          </w:p>
        </w:tc>
        <w:tc>
          <w:tcPr>
            <w:tcW w:type="dxa" w:w="4608"/>
            <w:vAlign w:val="center"/>
          </w:tcPr>
          <w:p>
            <w:pPr>
              <w:pStyle w:val="TableText"/>
            </w:pPr>
            <w:r/>
            <w:r>
              <w:rPr>
                <w:b w:val="0"/>
              </w:rPr>
              <w:t>New software installed successfully</w:t>
            </w:r>
          </w:p>
        </w:tc>
        <w:tc>
          <w:tcPr>
            <w:tcW w:type="dxa" w:w="4320"/>
            <w:vAlign w:val="center"/>
          </w:tcPr>
          <w:p>
            <w:pPr>
              <w:pStyle w:val="TableText"/>
            </w:pPr>
            <w:r/>
            <w:r>
              <w:rPr>
                <w:b w:val="0"/>
              </w:rPr>
              <w:t>No installation fault.</w:t>
            </w:r>
          </w:p>
        </w:tc>
      </w:tr>
      <w:tr>
        <w:tc>
          <w:tcPr>
            <w:tcW w:type="dxa" w:w="1728"/>
            <w:vAlign w:val="center"/>
          </w:tcPr>
          <w:p>
            <w:pPr>
              <w:pStyle w:val="TableText"/>
            </w:pPr>
            <w:r/>
            <w:r>
              <w:rPr>
                <w:b w:val="0"/>
              </w:rPr>
              <w:t>Real operation</w:t>
            </w:r>
          </w:p>
        </w:tc>
        <w:tc>
          <w:tcPr>
            <w:tcW w:type="dxa" w:w="4608"/>
            <w:vAlign w:val="center"/>
          </w:tcPr>
          <w:p>
            <w:pPr>
              <w:pStyle w:val="TableText"/>
            </w:pPr>
            <w:r/>
            <w:r>
              <w:rPr>
                <w:b w:val="0"/>
              </w:rPr>
              <w:t>35°C, high ADAS activity, high CAN load, different battery/vehicle state</w:t>
            </w:r>
          </w:p>
        </w:tc>
        <w:tc>
          <w:tcPr>
            <w:tcW w:type="dxa" w:w="4320"/>
            <w:vAlign w:val="center"/>
          </w:tcPr>
          <w:p>
            <w:pPr>
              <w:pStyle w:val="TableText"/>
            </w:pPr>
            <w:r/>
            <w:r>
              <w:rPr>
                <w:b w:val="0"/>
              </w:rPr>
              <w:t>Runtime context has changed.</w:t>
            </w:r>
          </w:p>
        </w:tc>
      </w:tr>
      <w:tr>
        <w:tc>
          <w:tcPr>
            <w:tcW w:type="dxa" w:w="1728"/>
            <w:vAlign w:val="center"/>
          </w:tcPr>
          <w:p>
            <w:pPr>
              <w:pStyle w:val="TableText"/>
            </w:pPr>
            <w:r/>
            <w:r>
              <w:rPr>
                <w:b w:val="0"/>
              </w:rPr>
              <w:t>Observed</w:t>
            </w:r>
          </w:p>
        </w:tc>
        <w:tc>
          <w:tcPr>
            <w:tcW w:type="dxa" w:w="4608"/>
            <w:vAlign w:val="center"/>
          </w:tcPr>
          <w:p>
            <w:pPr>
              <w:pStyle w:val="TableText"/>
            </w:pPr>
            <w:r/>
            <w:r>
              <w:rPr>
                <w:b w:val="0"/>
              </w:rPr>
              <w:t>CPU 82%, CAN 73%, task jitter 2.4 ms</w:t>
            </w:r>
          </w:p>
        </w:tc>
        <w:tc>
          <w:tcPr>
            <w:tcW w:type="dxa" w:w="4320"/>
            <w:vAlign w:val="center"/>
          </w:tcPr>
          <w:p>
            <w:pPr>
              <w:pStyle w:val="TableText"/>
            </w:pPr>
            <w:r/>
            <w:r>
              <w:rPr>
                <w:b w:val="0"/>
              </w:rPr>
              <w:t>Safety/timing margin may be eroding.</w:t>
            </w:r>
          </w:p>
        </w:tc>
      </w:tr>
      <w:tr>
        <w:tc>
          <w:tcPr>
            <w:tcW w:type="dxa" w:w="1728"/>
            <w:vAlign w:val="center"/>
          </w:tcPr>
          <w:p>
            <w:pPr>
              <w:pStyle w:val="TableText"/>
            </w:pPr>
            <w:r/>
            <w:r>
              <w:rPr>
                <w:b w:val="0"/>
              </w:rPr>
              <w:t>RAVEN response</w:t>
            </w:r>
          </w:p>
        </w:tc>
        <w:tc>
          <w:tcPr>
            <w:tcW w:type="dxa" w:w="4608"/>
            <w:vAlign w:val="center"/>
          </w:tcPr>
          <w:p>
            <w:pPr>
              <w:pStyle w:val="TableText"/>
            </w:pPr>
            <w:r/>
            <w:r>
              <w:rPr>
                <w:b w:val="0"/>
              </w:rPr>
              <w:t>Predict envelope violation; classify severity/context</w:t>
            </w:r>
          </w:p>
        </w:tc>
        <w:tc>
          <w:tcPr>
            <w:tcW w:type="dxa" w:w="4320"/>
            <w:vAlign w:val="center"/>
          </w:tcPr>
          <w:p>
            <w:pPr>
              <w:pStyle w:val="TableText"/>
            </w:pPr>
            <w:r/>
            <w:r>
              <w:rPr>
                <w:b w:val="0"/>
              </w:rPr>
              <w:t>Continue, mitigate workload, degrade or rollback depending on evidence.</w:t>
            </w:r>
          </w:p>
        </w:tc>
      </w:tr>
    </w:tbl>
    <w:p/>
    <w:p>
      <w:pPr>
        <w:pStyle w:val="Heading2"/>
      </w:pPr>
      <w:r>
        <w:t>8.3 Formal problem statement</w:t>
      </w:r>
    </w:p>
    <w:p>
      <w:r>
        <w:t>Given an OTA update U that has passed pre-deployment security, dependency and safety validation, and a runtime vehicle state x(t), determine whether the runtime state remains inside the safety envelope E derived from the verified assumptions and guarantees. If x(t) approaches or exits E, estimate the severity and persistence of the violation and select a minimally disruptive response a(t) that restores or preserves the required safety property.</w:t>
      </w:r>
    </w:p>
    <w:p>
      <w:pPr>
        <w:pStyle w:val="Heading1"/>
      </w:pPr>
      <w:r>
        <w:t>9. Proposed Solution: RAVEN-OTA</w:t>
      </w:r>
    </w:p>
    <w:p>
      <w:r>
        <w:t>RAVEN-OTA stands for Runtime Assurance and Verification for Evolving OTA Software. It is proposed as an onboard software layer that complements—not replaces—an OEM's existing OTA platform.</w:t>
      </w:r>
    </w:p>
    <w:p>
      <w:pPr>
        <w:pStyle w:val="Heading2"/>
      </w:pPr>
      <w:r>
        <w:t>9.1 Core idea</w:t>
      </w:r>
    </w:p>
    <w:p>
      <w:r>
        <w:t>The key artifact created during verification is not discarded after deployment. It is transformed into a Runtime Safety Envelope (RSE): a machine-readable set of operating bounds, timing margins, assumptions, dependencies and criticality levels that can be checked against live telemetry.</w:t>
      </w:r>
    </w:p>
    <w:p>
      <w:pPr>
        <w:pStyle w:val="Heading2"/>
      </w:pPr>
      <w:r>
        <w:t>9.2 Main functions</w:t>
      </w:r>
    </w:p>
    <w:p>
      <w:pPr>
        <w:pStyle w:val="ListBullet"/>
        <w:spacing w:after="40"/>
      </w:pPr>
      <w:r>
        <w:t>Import verified OTA safety/timing assumptions and guarantees.</w:t>
      </w:r>
    </w:p>
    <w:p>
      <w:pPr>
        <w:pStyle w:val="ListBullet"/>
        <w:spacing w:after="40"/>
      </w:pPr>
      <w:r>
        <w:t>Convert them into runtime-checkable bounds and relationships.</w:t>
      </w:r>
    </w:p>
    <w:p>
      <w:pPr>
        <w:pStyle w:val="ListBullet"/>
        <w:spacing w:after="40"/>
      </w:pPr>
      <w:r>
        <w:t>Collect live CPU, memory, task timing, CAN/CAN-FD/Ethernet, temperature, vehicle-state and function-load telemetry.</w:t>
      </w:r>
    </w:p>
    <w:p>
      <w:pPr>
        <w:pStyle w:val="ListBullet"/>
        <w:spacing w:after="40"/>
      </w:pPr>
      <w:r>
        <w:t>Evaluate the current state against the Runtime Safety Envelope.</w:t>
      </w:r>
    </w:p>
    <w:p>
      <w:pPr>
        <w:pStyle w:val="ListBullet"/>
        <w:spacing w:after="40"/>
      </w:pPr>
      <w:r>
        <w:t>Estimate trend and predict imminent envelope violations.</w:t>
      </w:r>
    </w:p>
    <w:p>
      <w:pPr>
        <w:pStyle w:val="ListBullet"/>
        <w:spacing w:after="40"/>
      </w:pPr>
      <w:r>
        <w:t>Separate transient/contextual deviations from persistent safety-threatening deviations.</w:t>
      </w:r>
    </w:p>
    <w:p>
      <w:pPr>
        <w:pStyle w:val="ListBullet"/>
        <w:spacing w:after="40"/>
      </w:pPr>
      <w:r>
        <w:t>Assign an assurance level: NORMAL, WARNING, DEGRADED or UNSAFE.</w:t>
      </w:r>
    </w:p>
    <w:p>
      <w:pPr>
        <w:pStyle w:val="ListBullet"/>
        <w:spacing w:after="40"/>
      </w:pPr>
      <w:r>
        <w:t>Choose a graduated response: continue, monitor, reduce non-critical workload, isolate a function, degraded mode, delay future OTA, or rollback when justified.</w:t>
      </w:r>
    </w:p>
    <w:p>
      <w:pPr>
        <w:pStyle w:val="ListBullet"/>
        <w:spacing w:after="40"/>
      </w:pPr>
      <w:r>
        <w:t>Record evidence for OEM/fleet safety analytics.</w:t>
      </w:r>
    </w:p>
    <w:p>
      <w:pPr>
        <w:pStyle w:val="Heading1"/>
      </w:pPr>
      <w:r>
        <w:t>10. Full System Architecture</w:t>
      </w:r>
    </w:p>
    <w:p>
      <w:r>
        <w:t>Logical architecture:</w:t>
      </w:r>
    </w:p>
    <w:p>
      <w:pPr>
        <w:ind w:left="432"/>
      </w:pPr>
      <w:r>
        <w:t>OEM / Cloud OTA Repository</w:t>
      </w:r>
    </w:p>
    <w:p>
      <w:pPr>
        <w:ind w:left="432"/>
      </w:pPr>
      <w:r>
        <w:t xml:space="preserve">  ↓ signed update + metadata + safety envelope</w:t>
      </w:r>
    </w:p>
    <w:p>
      <w:pPr>
        <w:ind w:left="432"/>
      </w:pPr>
      <w:r>
        <w:t>Vehicle OTA Manager / secure update framework</w:t>
      </w:r>
    </w:p>
    <w:p>
      <w:pPr>
        <w:ind w:left="432"/>
      </w:pPr>
      <w:r>
        <w:t xml:space="preserve">  ↓</w:t>
      </w:r>
    </w:p>
    <w:p>
      <w:pPr>
        <w:ind w:left="432"/>
      </w:pPr>
      <w:r>
        <w:t>Pre-deployment verifier / contract &amp; dependency checker</w:t>
      </w:r>
    </w:p>
    <w:p>
      <w:pPr>
        <w:ind w:left="432"/>
      </w:pPr>
      <w:r>
        <w:t xml:space="preserve">  ↓</w:t>
      </w:r>
    </w:p>
    <w:p>
      <w:pPr>
        <w:ind w:left="432"/>
      </w:pPr>
      <w:r>
        <w:t>RAVEN-OTA Runtime Assurance Agent</w:t>
      </w:r>
    </w:p>
    <w:p>
      <w:pPr>
        <w:ind w:left="432"/>
      </w:pPr>
      <w:r>
        <w:t xml:space="preserve">  ├── Runtime telemetry collector</w:t>
      </w:r>
    </w:p>
    <w:p>
      <w:pPr>
        <w:ind w:left="432"/>
      </w:pPr>
      <w:r>
        <w:t xml:space="preserve">  ├── Vehicle-context collector</w:t>
      </w:r>
    </w:p>
    <w:p>
      <w:pPr>
        <w:ind w:left="432"/>
      </w:pPr>
      <w:r>
        <w:t xml:space="preserve">  ├── Runtime Safety Envelope engine</w:t>
      </w:r>
    </w:p>
    <w:p>
      <w:pPr>
        <w:ind w:left="432"/>
      </w:pPr>
      <w:r>
        <w:t xml:space="preserve">  ├── Trend / prediction engine</w:t>
      </w:r>
    </w:p>
    <w:p>
      <w:pPr>
        <w:ind w:left="432"/>
      </w:pPr>
      <w:r>
        <w:t xml:space="preserve">  ├── Context classifier</w:t>
      </w:r>
    </w:p>
    <w:p>
      <w:pPr>
        <w:ind w:left="432"/>
      </w:pPr>
      <w:r>
        <w:t xml:space="preserve">  ├── Assurance-state manager</w:t>
      </w:r>
    </w:p>
    <w:p>
      <w:pPr>
        <w:ind w:left="432"/>
      </w:pPr>
      <w:r>
        <w:t xml:space="preserve">  └── Safety-response policy engine</w:t>
      </w:r>
    </w:p>
    <w:p>
      <w:pPr>
        <w:ind w:left="432"/>
      </w:pPr>
      <w:r>
        <w:t xml:space="preserve">  ↓</w:t>
      </w:r>
    </w:p>
    <w:p>
      <w:pPr>
        <w:ind w:left="432"/>
      </w:pPr>
      <w:r>
        <w:t>Central/HPC/Zonal ECUs and safety-relevant functions</w:t>
      </w:r>
    </w:p>
    <w:p>
      <w:pPr>
        <w:ind w:left="432"/>
      </w:pPr>
      <w:r>
        <w:t xml:space="preserve">  ↓</w:t>
      </w:r>
    </w:p>
    <w:p>
      <w:pPr>
        <w:ind w:left="432"/>
      </w:pPr>
      <w:r>
        <w:t>Optional cloud fleet analytics / OEM dashboard</w:t>
      </w:r>
    </w:p>
    <w:p>
      <w:pPr>
        <w:pStyle w:val="Heading2"/>
      </w:pPr>
      <w:r>
        <w:t>10.1 Component details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944"/>
            <w:vAlign w:val="center"/>
            <w:shd w:fill="D9EAF7"/>
          </w:tcPr>
          <w:p>
            <w:pPr>
              <w:pStyle w:val="TableText"/>
            </w:pPr>
            <w:r/>
            <w:r>
              <w:rPr>
                <w:b/>
              </w:rPr>
              <w:t>Component</w:t>
            </w:r>
          </w:p>
        </w:tc>
        <w:tc>
          <w:tcPr>
            <w:tcW w:type="dxa" w:w="2592"/>
            <w:vAlign w:val="center"/>
            <w:shd w:fill="D9EAF7"/>
          </w:tcPr>
          <w:p>
            <w:pPr>
              <w:pStyle w:val="TableText"/>
            </w:pPr>
            <w:r/>
            <w:r>
              <w:rPr>
                <w:b/>
              </w:rPr>
              <w:t>Inputs</w:t>
            </w:r>
          </w:p>
        </w:tc>
        <w:tc>
          <w:tcPr>
            <w:tcW w:type="dxa" w:w="3600"/>
            <w:vAlign w:val="center"/>
            <w:shd w:fill="D9EAF7"/>
          </w:tcPr>
          <w:p>
            <w:pPr>
              <w:pStyle w:val="TableText"/>
            </w:pPr>
            <w:r/>
            <w:r>
              <w:rPr>
                <w:b/>
              </w:rPr>
              <w:t>Function</w:t>
            </w:r>
          </w:p>
        </w:tc>
        <w:tc>
          <w:tcPr>
            <w:tcW w:type="dxa" w:w="2304"/>
            <w:vAlign w:val="center"/>
            <w:shd w:fill="D9EAF7"/>
          </w:tcPr>
          <w:p>
            <w:pPr>
              <w:pStyle w:val="TableText"/>
            </w:pPr>
            <w:r/>
            <w:r>
              <w:rPr>
                <w:b/>
              </w:rPr>
              <w:t>Outputs</w:t>
            </w:r>
          </w:p>
        </w:tc>
      </w:tr>
      <w:tr>
        <w:tc>
          <w:tcPr>
            <w:tcW w:type="dxa" w:w="1944"/>
            <w:vAlign w:val="center"/>
          </w:tcPr>
          <w:p>
            <w:pPr>
              <w:pStyle w:val="TableText"/>
            </w:pPr>
            <w:r/>
            <w:r>
              <w:rPr>
                <w:b w:val="0"/>
              </w:rPr>
              <w:t>OTA Metadata Adapter</w:t>
            </w:r>
          </w:p>
        </w:tc>
        <w:tc>
          <w:tcPr>
            <w:tcW w:type="dxa" w:w="2592"/>
            <w:vAlign w:val="center"/>
          </w:tcPr>
          <w:p>
            <w:pPr>
              <w:pStyle w:val="TableText"/>
            </w:pPr>
            <w:r/>
            <w:r>
              <w:rPr>
                <w:b w:val="0"/>
              </w:rPr>
              <w:t>Package metadata, version, dependency data</w:t>
            </w:r>
          </w:p>
        </w:tc>
        <w:tc>
          <w:tcPr>
            <w:tcW w:type="dxa" w:w="3600"/>
            <w:vAlign w:val="center"/>
          </w:tcPr>
          <w:p>
            <w:pPr>
              <w:pStyle w:val="TableText"/>
            </w:pPr>
            <w:r/>
            <w:r>
              <w:rPr>
                <w:b w:val="0"/>
              </w:rPr>
              <w:t>Reads update identity and verification artifacts</w:t>
            </w:r>
          </w:p>
        </w:tc>
        <w:tc>
          <w:tcPr>
            <w:tcW w:type="dxa" w:w="2304"/>
            <w:vAlign w:val="center"/>
          </w:tcPr>
          <w:p>
            <w:pPr>
              <w:pStyle w:val="TableText"/>
            </w:pPr>
            <w:r/>
            <w:r>
              <w:rPr>
                <w:b w:val="0"/>
              </w:rPr>
              <w:t>Version/configuration context</w:t>
            </w:r>
          </w:p>
        </w:tc>
      </w:tr>
      <w:tr>
        <w:tc>
          <w:tcPr>
            <w:tcW w:type="dxa" w:w="1944"/>
            <w:vAlign w:val="center"/>
          </w:tcPr>
          <w:p>
            <w:pPr>
              <w:pStyle w:val="TableText"/>
            </w:pPr>
            <w:r/>
            <w:r>
              <w:rPr>
                <w:b w:val="0"/>
              </w:rPr>
              <w:t>Safety Envelope Builder</w:t>
            </w:r>
          </w:p>
        </w:tc>
        <w:tc>
          <w:tcPr>
            <w:tcW w:type="dxa" w:w="2592"/>
            <w:vAlign w:val="center"/>
          </w:tcPr>
          <w:p>
            <w:pPr>
              <w:pStyle w:val="TableText"/>
            </w:pPr>
            <w:r/>
            <w:r>
              <w:rPr>
                <w:b w:val="0"/>
              </w:rPr>
              <w:t>Contracts, WCET/deadline limits, validated ranges</w:t>
            </w:r>
          </w:p>
        </w:tc>
        <w:tc>
          <w:tcPr>
            <w:tcW w:type="dxa" w:w="3600"/>
            <w:vAlign w:val="center"/>
          </w:tcPr>
          <w:p>
            <w:pPr>
              <w:pStyle w:val="TableText"/>
            </w:pPr>
            <w:r/>
            <w:r>
              <w:rPr>
                <w:b w:val="0"/>
              </w:rPr>
              <w:t>Creates runtime-checkable envelope</w:t>
            </w:r>
          </w:p>
        </w:tc>
        <w:tc>
          <w:tcPr>
            <w:tcW w:type="dxa" w:w="2304"/>
            <w:vAlign w:val="center"/>
          </w:tcPr>
          <w:p>
            <w:pPr>
              <w:pStyle w:val="TableText"/>
            </w:pPr>
            <w:r/>
            <w:r>
              <w:rPr>
                <w:b w:val="0"/>
              </w:rPr>
              <w:t>RSE</w:t>
            </w:r>
          </w:p>
        </w:tc>
      </w:tr>
      <w:tr>
        <w:tc>
          <w:tcPr>
            <w:tcW w:type="dxa" w:w="1944"/>
            <w:vAlign w:val="center"/>
          </w:tcPr>
          <w:p>
            <w:pPr>
              <w:pStyle w:val="TableText"/>
            </w:pPr>
            <w:r/>
            <w:r>
              <w:rPr>
                <w:b w:val="0"/>
              </w:rPr>
              <w:t>Telemetry Collector</w:t>
            </w:r>
          </w:p>
        </w:tc>
        <w:tc>
          <w:tcPr>
            <w:tcW w:type="dxa" w:w="2592"/>
            <w:vAlign w:val="center"/>
          </w:tcPr>
          <w:p>
            <w:pPr>
              <w:pStyle w:val="TableText"/>
            </w:pPr>
            <w:r/>
            <w:r>
              <w:rPr>
                <w:b w:val="0"/>
              </w:rPr>
              <w:t>CPU, memory, task timing, bus load, temperature</w:t>
            </w:r>
          </w:p>
        </w:tc>
        <w:tc>
          <w:tcPr>
            <w:tcW w:type="dxa" w:w="3600"/>
            <w:vAlign w:val="center"/>
          </w:tcPr>
          <w:p>
            <w:pPr>
              <w:pStyle w:val="TableText"/>
            </w:pPr>
            <w:r/>
            <w:r>
              <w:rPr>
                <w:b w:val="0"/>
              </w:rPr>
              <w:t>Collects and timestamps runtime data</w:t>
            </w:r>
          </w:p>
        </w:tc>
        <w:tc>
          <w:tcPr>
            <w:tcW w:type="dxa" w:w="2304"/>
            <w:vAlign w:val="center"/>
          </w:tcPr>
          <w:p>
            <w:pPr>
              <w:pStyle w:val="TableText"/>
            </w:pPr>
            <w:r/>
            <w:r>
              <w:rPr>
                <w:b w:val="0"/>
              </w:rPr>
              <w:t>Telemetry stream</w:t>
            </w:r>
          </w:p>
        </w:tc>
      </w:tr>
      <w:tr>
        <w:tc>
          <w:tcPr>
            <w:tcW w:type="dxa" w:w="1944"/>
            <w:vAlign w:val="center"/>
          </w:tcPr>
          <w:p>
            <w:pPr>
              <w:pStyle w:val="TableText"/>
            </w:pPr>
            <w:r/>
            <w:r>
              <w:rPr>
                <w:b w:val="0"/>
              </w:rPr>
              <w:t>Vehicle Context Collector</w:t>
            </w:r>
          </w:p>
        </w:tc>
        <w:tc>
          <w:tcPr>
            <w:tcW w:type="dxa" w:w="2592"/>
            <w:vAlign w:val="center"/>
          </w:tcPr>
          <w:p>
            <w:pPr>
              <w:pStyle w:val="TableText"/>
            </w:pPr>
            <w:r/>
            <w:r>
              <w:rPr>
                <w:b w:val="0"/>
              </w:rPr>
              <w:t>Speed, drive mode, ADAS activity, battery/thermal state</w:t>
            </w:r>
          </w:p>
        </w:tc>
        <w:tc>
          <w:tcPr>
            <w:tcW w:type="dxa" w:w="3600"/>
            <w:vAlign w:val="center"/>
          </w:tcPr>
          <w:p>
            <w:pPr>
              <w:pStyle w:val="TableText"/>
            </w:pPr>
            <w:r/>
            <w:r>
              <w:rPr>
                <w:b w:val="0"/>
              </w:rPr>
              <w:t>Provides operational context</w:t>
            </w:r>
          </w:p>
        </w:tc>
        <w:tc>
          <w:tcPr>
            <w:tcW w:type="dxa" w:w="2304"/>
            <w:vAlign w:val="center"/>
          </w:tcPr>
          <w:p>
            <w:pPr>
              <w:pStyle w:val="TableText"/>
            </w:pPr>
            <w:r/>
            <w:r>
              <w:rPr>
                <w:b w:val="0"/>
              </w:rPr>
              <w:t>Context vector</w:t>
            </w:r>
          </w:p>
        </w:tc>
      </w:tr>
      <w:tr>
        <w:tc>
          <w:tcPr>
            <w:tcW w:type="dxa" w:w="1944"/>
            <w:vAlign w:val="center"/>
          </w:tcPr>
          <w:p>
            <w:pPr>
              <w:pStyle w:val="TableText"/>
            </w:pPr>
            <w:r/>
            <w:r>
              <w:rPr>
                <w:b w:val="0"/>
              </w:rPr>
              <w:t>Assurance Engine</w:t>
            </w:r>
          </w:p>
        </w:tc>
        <w:tc>
          <w:tcPr>
            <w:tcW w:type="dxa" w:w="2592"/>
            <w:vAlign w:val="center"/>
          </w:tcPr>
          <w:p>
            <w:pPr>
              <w:pStyle w:val="TableText"/>
            </w:pPr>
            <w:r/>
            <w:r>
              <w:rPr>
                <w:b w:val="0"/>
              </w:rPr>
              <w:t>RSE + telemetry + context</w:t>
            </w:r>
          </w:p>
        </w:tc>
        <w:tc>
          <w:tcPr>
            <w:tcW w:type="dxa" w:w="3600"/>
            <w:vAlign w:val="center"/>
          </w:tcPr>
          <w:p>
            <w:pPr>
              <w:pStyle w:val="TableText"/>
            </w:pPr>
            <w:r/>
            <w:r>
              <w:rPr>
                <w:b w:val="0"/>
              </w:rPr>
              <w:t>Checks whether assumptions/margins remain valid</w:t>
            </w:r>
          </w:p>
        </w:tc>
        <w:tc>
          <w:tcPr>
            <w:tcW w:type="dxa" w:w="2304"/>
            <w:vAlign w:val="center"/>
          </w:tcPr>
          <w:p>
            <w:pPr>
              <w:pStyle w:val="TableText"/>
            </w:pPr>
            <w:r/>
            <w:r>
              <w:rPr>
                <w:b w:val="0"/>
              </w:rPr>
              <w:t>Assurance state</w:t>
            </w:r>
          </w:p>
        </w:tc>
      </w:tr>
      <w:tr>
        <w:tc>
          <w:tcPr>
            <w:tcW w:type="dxa" w:w="1944"/>
            <w:vAlign w:val="center"/>
          </w:tcPr>
          <w:p>
            <w:pPr>
              <w:pStyle w:val="TableText"/>
            </w:pPr>
            <w:r/>
            <w:r>
              <w:rPr>
                <w:b w:val="0"/>
              </w:rPr>
              <w:t>Prediction Engine</w:t>
            </w:r>
          </w:p>
        </w:tc>
        <w:tc>
          <w:tcPr>
            <w:tcW w:type="dxa" w:w="2592"/>
            <w:vAlign w:val="center"/>
          </w:tcPr>
          <w:p>
            <w:pPr>
              <w:pStyle w:val="TableText"/>
            </w:pPr>
            <w:r/>
            <w:r>
              <w:rPr>
                <w:b w:val="0"/>
              </w:rPr>
              <w:t>Recent trends + context</w:t>
            </w:r>
          </w:p>
        </w:tc>
        <w:tc>
          <w:tcPr>
            <w:tcW w:type="dxa" w:w="3600"/>
            <w:vAlign w:val="center"/>
          </w:tcPr>
          <w:p>
            <w:pPr>
              <w:pStyle w:val="TableText"/>
            </w:pPr>
            <w:r/>
            <w:r>
              <w:rPr>
                <w:b w:val="0"/>
              </w:rPr>
              <w:t>Predicts approaching envelope violation</w:t>
            </w:r>
          </w:p>
        </w:tc>
        <w:tc>
          <w:tcPr>
            <w:tcW w:type="dxa" w:w="2304"/>
            <w:vAlign w:val="center"/>
          </w:tcPr>
          <w:p>
            <w:pPr>
              <w:pStyle w:val="TableText"/>
            </w:pPr>
            <w:r/>
            <w:r>
              <w:rPr>
                <w:b w:val="0"/>
              </w:rPr>
              <w:t>Risk horizon</w:t>
            </w:r>
          </w:p>
        </w:tc>
      </w:tr>
      <w:tr>
        <w:tc>
          <w:tcPr>
            <w:tcW w:type="dxa" w:w="1944"/>
            <w:vAlign w:val="center"/>
          </w:tcPr>
          <w:p>
            <w:pPr>
              <w:pStyle w:val="TableText"/>
            </w:pPr>
            <w:r/>
            <w:r>
              <w:rPr>
                <w:b w:val="0"/>
              </w:rPr>
              <w:t>Response Engine</w:t>
            </w:r>
          </w:p>
        </w:tc>
        <w:tc>
          <w:tcPr>
            <w:tcW w:type="dxa" w:w="2592"/>
            <w:vAlign w:val="center"/>
          </w:tcPr>
          <w:p>
            <w:pPr>
              <w:pStyle w:val="TableText"/>
            </w:pPr>
            <w:r/>
            <w:r>
              <w:rPr>
                <w:b w:val="0"/>
              </w:rPr>
              <w:t>Severity, criticality, predicted violation</w:t>
            </w:r>
          </w:p>
        </w:tc>
        <w:tc>
          <w:tcPr>
            <w:tcW w:type="dxa" w:w="3600"/>
            <w:vAlign w:val="center"/>
          </w:tcPr>
          <w:p>
            <w:pPr>
              <w:pStyle w:val="TableText"/>
            </w:pPr>
            <w:r/>
            <w:r>
              <w:rPr>
                <w:b w:val="0"/>
              </w:rPr>
              <w:t>Chooses safe response</w:t>
            </w:r>
          </w:p>
        </w:tc>
        <w:tc>
          <w:tcPr>
            <w:tcW w:type="dxa" w:w="2304"/>
            <w:vAlign w:val="center"/>
          </w:tcPr>
          <w:p>
            <w:pPr>
              <w:pStyle w:val="TableText"/>
            </w:pPr>
            <w:r/>
            <w:r>
              <w:rPr>
                <w:b w:val="0"/>
              </w:rPr>
              <w:t>Action</w:t>
            </w:r>
          </w:p>
        </w:tc>
      </w:tr>
      <w:tr>
        <w:tc>
          <w:tcPr>
            <w:tcW w:type="dxa" w:w="1944"/>
            <w:vAlign w:val="center"/>
          </w:tcPr>
          <w:p>
            <w:pPr>
              <w:pStyle w:val="TableText"/>
            </w:pPr>
            <w:r/>
            <w:r>
              <w:rPr>
                <w:b w:val="0"/>
              </w:rPr>
              <w:t>Evidence Logger</w:t>
            </w:r>
          </w:p>
        </w:tc>
        <w:tc>
          <w:tcPr>
            <w:tcW w:type="dxa" w:w="2592"/>
            <w:vAlign w:val="center"/>
          </w:tcPr>
          <w:p>
            <w:pPr>
              <w:pStyle w:val="TableText"/>
            </w:pPr>
            <w:r/>
            <w:r>
              <w:rPr>
                <w:b w:val="0"/>
              </w:rPr>
              <w:t>All relevant states/actions</w:t>
            </w:r>
          </w:p>
        </w:tc>
        <w:tc>
          <w:tcPr>
            <w:tcW w:type="dxa" w:w="3600"/>
            <w:vAlign w:val="center"/>
          </w:tcPr>
          <w:p>
            <w:pPr>
              <w:pStyle w:val="TableText"/>
            </w:pPr>
            <w:r/>
            <w:r>
              <w:rPr>
                <w:b w:val="0"/>
              </w:rPr>
              <w:t>Creates auditable event record</w:t>
            </w:r>
          </w:p>
        </w:tc>
        <w:tc>
          <w:tcPr>
            <w:tcW w:type="dxa" w:w="2304"/>
            <w:vAlign w:val="center"/>
          </w:tcPr>
          <w:p>
            <w:pPr>
              <w:pStyle w:val="TableText"/>
            </w:pPr>
            <w:r/>
            <w:r>
              <w:rPr>
                <w:b w:val="0"/>
              </w:rPr>
              <w:t>Trace/evidence</w:t>
            </w:r>
          </w:p>
        </w:tc>
      </w:tr>
      <w:tr>
        <w:tc>
          <w:tcPr>
            <w:tcW w:type="dxa" w:w="1944"/>
            <w:vAlign w:val="center"/>
          </w:tcPr>
          <w:p>
            <w:pPr>
              <w:pStyle w:val="TableText"/>
            </w:pPr>
            <w:r/>
            <w:r>
              <w:rPr>
                <w:b w:val="0"/>
              </w:rPr>
              <w:t>Fleet Analytics</w:t>
            </w:r>
          </w:p>
        </w:tc>
        <w:tc>
          <w:tcPr>
            <w:tcW w:type="dxa" w:w="2592"/>
            <w:vAlign w:val="center"/>
          </w:tcPr>
          <w:p>
            <w:pPr>
              <w:pStyle w:val="TableText"/>
            </w:pPr>
            <w:r/>
            <w:r>
              <w:rPr>
                <w:b w:val="0"/>
              </w:rPr>
              <w:t>Aggregated vehicle evidence</w:t>
            </w:r>
          </w:p>
        </w:tc>
        <w:tc>
          <w:tcPr>
            <w:tcW w:type="dxa" w:w="3600"/>
            <w:vAlign w:val="center"/>
          </w:tcPr>
          <w:p>
            <w:pPr>
              <w:pStyle w:val="TableText"/>
            </w:pPr>
            <w:r/>
            <w:r>
              <w:rPr>
                <w:b w:val="0"/>
              </w:rPr>
              <w:t>Detects campaign-wide patterns</w:t>
            </w:r>
          </w:p>
        </w:tc>
        <w:tc>
          <w:tcPr>
            <w:tcW w:type="dxa" w:w="2304"/>
            <w:vAlign w:val="center"/>
          </w:tcPr>
          <w:p>
            <w:pPr>
              <w:pStyle w:val="TableText"/>
            </w:pPr>
            <w:r/>
            <w:r>
              <w:rPr>
                <w:b w:val="0"/>
              </w:rPr>
              <w:t>OEM alerts/insights</w:t>
            </w:r>
          </w:p>
        </w:tc>
      </w:tr>
    </w:tbl>
    <w:p/>
    <w:p>
      <w:pPr>
        <w:pStyle w:val="Heading1"/>
      </w:pPr>
      <w:r>
        <w:t>11. End-to-End Workflow</w:t>
      </w:r>
    </w:p>
    <w:p>
      <w:pPr>
        <w:pStyle w:val="ListNumber"/>
        <w:spacing w:after="40"/>
      </w:pPr>
      <w:r>
        <w:t>Create or receive OTA package and signed metadata.</w:t>
      </w:r>
    </w:p>
    <w:p>
      <w:pPr>
        <w:pStyle w:val="ListNumber"/>
        <w:spacing w:after="40"/>
      </w:pPr>
      <w:r>
        <w:t>Run existing security, dependency and safety checks.</w:t>
      </w:r>
    </w:p>
    <w:p>
      <w:pPr>
        <w:pStyle w:val="ListNumber"/>
        <w:spacing w:after="40"/>
      </w:pPr>
      <w:r>
        <w:t>Extract verified assumptions, guarantees, timing bounds and criticality.</w:t>
      </w:r>
    </w:p>
    <w:p>
      <w:pPr>
        <w:pStyle w:val="ListNumber"/>
        <w:spacing w:after="40"/>
      </w:pPr>
      <w:r>
        <w:t>Construct the Runtime Safety Envelope.</w:t>
      </w:r>
    </w:p>
    <w:p>
      <w:pPr>
        <w:pStyle w:val="ListNumber"/>
        <w:spacing w:after="40"/>
      </w:pPr>
      <w:r>
        <w:t>Install the update only under approved installation conditions.</w:t>
      </w:r>
    </w:p>
    <w:p>
      <w:pPr>
        <w:pStyle w:val="ListNumber"/>
        <w:spacing w:after="40"/>
      </w:pPr>
      <w:r>
        <w:t>Establish a short post-deployment baseline.</w:t>
      </w:r>
    </w:p>
    <w:p>
      <w:pPr>
        <w:pStyle w:val="ListNumber"/>
        <w:spacing w:after="40"/>
      </w:pPr>
      <w:r>
        <w:t>Continuously collect runtime telemetry and vehicle context.</w:t>
      </w:r>
    </w:p>
    <w:p>
      <w:pPr>
        <w:pStyle w:val="ListNumber"/>
        <w:spacing w:after="40"/>
      </w:pPr>
      <w:r>
        <w:t>Evaluate current state against the Runtime Safety Envelope.</w:t>
      </w:r>
    </w:p>
    <w:p>
      <w:pPr>
        <w:pStyle w:val="ListNumber"/>
        <w:spacing w:after="40"/>
      </w:pPr>
      <w:r>
        <w:t>Predict whether current trends will violate the envelope.</w:t>
      </w:r>
    </w:p>
    <w:p>
      <w:pPr>
        <w:pStyle w:val="ListNumber"/>
        <w:spacing w:after="40"/>
      </w:pPr>
      <w:r>
        <w:t>Classify the condition as normal, warning, degraded or unsafe.</w:t>
      </w:r>
    </w:p>
    <w:p>
      <w:pPr>
        <w:pStyle w:val="ListNumber"/>
        <w:spacing w:after="40"/>
      </w:pPr>
      <w:r>
        <w:t>Select a graduated response according to safety criticality and persistence.</w:t>
      </w:r>
    </w:p>
    <w:p>
      <w:pPr>
        <w:pStyle w:val="ListNumber"/>
        <w:spacing w:after="40"/>
      </w:pPr>
      <w:r>
        <w:t>Verify that the response restores or preserves the required safety property.</w:t>
      </w:r>
    </w:p>
    <w:p>
      <w:pPr>
        <w:pStyle w:val="ListNumber"/>
        <w:spacing w:after="40"/>
      </w:pPr>
      <w:r>
        <w:t>Store evidence for later engineering analysis and optional fleet-level campaign control.</w:t>
      </w:r>
    </w:p>
    <w:p>
      <w:pPr>
        <w:pStyle w:val="Heading1"/>
      </w:pPr>
      <w:r>
        <w:t>12. Technical Model</w:t>
      </w:r>
    </w:p>
    <w:p>
      <w:r>
        <w:t>Let the runtime state be:</w:t>
      </w:r>
    </w:p>
    <w:p>
      <w:r>
        <w:t>x(t) = [CPU(t), RAM(t), CAN(t), ETH(t), Jitter(t), WCET(t), Temp(t), Speed(t), ADAS(t), Battery(t), Mode(t), …]</w:t>
      </w:r>
    </w:p>
    <w:p>
      <w:r>
        <w:t>Let the verified safety envelope be:</w:t>
      </w:r>
    </w:p>
    <w:p>
      <w:r>
        <w:t>E = {x : g_i(x) ≤ b_i, h_j(x) = 0, dependency_k(x)=valid, timing_m(x) ≤ deadline_m}</w:t>
      </w:r>
    </w:p>
    <w:p>
      <w:r>
        <w:t>The assurance decision is not simply an anomaly score. It checks whether the current state and predicted trajectory remain compatible with the verified envelope.</w:t>
      </w:r>
    </w:p>
    <w:p>
      <w:r>
        <w:t>Example normalized margin:</w:t>
      </w:r>
    </w:p>
    <w:p>
      <w:r>
        <w:t>Margin_i(t) = (Limit_i − Observed_i(t)) / Limit_i</w:t>
      </w:r>
    </w:p>
    <w:p>
      <w:r>
        <w:t>A positive margin indicates remaining headroom; a margin approaching zero indicates erosion. The research should evaluate several margin formulations rather than assume one is universally correct.</w:t>
      </w:r>
    </w:p>
    <w:p>
      <w:pPr>
        <w:pStyle w:val="Heading2"/>
      </w:pPr>
      <w:r>
        <w:t>12.1 Assurance states</w:t>
      </w:r>
    </w:p>
    <w:tbl>
      <w:tblPr>
        <w:tblStyle w:val="TableGrid"/>
        <w:tblW w:type="auto" w:w="0"/>
        <w:jc w:val="center"/>
        <w:tblLook w:firstColumn="1" w:firstRow="1" w:lastColumn="0" w:lastRow="0" w:noHBand="0" w:noVBand="1" w:val="04A0"/>
      </w:tblPr>
      <w:tblGrid>
        <w:gridCol w:w="3408"/>
        <w:gridCol w:w="3408"/>
        <w:gridCol w:w="3408"/>
      </w:tblGrid>
      <w:tr>
        <w:tc>
          <w:tcPr>
            <w:tcW w:type="dxa" w:w="1584"/>
            <w:vAlign w:val="center"/>
            <w:shd w:fill="D9EAF7"/>
          </w:tcPr>
          <w:p>
            <w:pPr>
              <w:pStyle w:val="TableText"/>
            </w:pPr>
            <w:r/>
            <w:r>
              <w:rPr>
                <w:b/>
              </w:rPr>
              <w:t>State</w:t>
            </w:r>
          </w:p>
        </w:tc>
        <w:tc>
          <w:tcPr>
            <w:tcW w:type="dxa" w:w="5472"/>
            <w:vAlign w:val="center"/>
            <w:shd w:fill="D9EAF7"/>
          </w:tcPr>
          <w:p>
            <w:pPr>
              <w:pStyle w:val="TableText"/>
            </w:pPr>
            <w:r/>
            <w:r>
              <w:rPr>
                <w:b/>
              </w:rPr>
              <w:t>Meaning</w:t>
            </w:r>
          </w:p>
        </w:tc>
        <w:tc>
          <w:tcPr>
            <w:tcW w:type="dxa" w:w="3600"/>
            <w:vAlign w:val="center"/>
            <w:shd w:fill="D9EAF7"/>
          </w:tcPr>
          <w:p>
            <w:pPr>
              <w:pStyle w:val="TableText"/>
            </w:pPr>
            <w:r/>
            <w:r>
              <w:rPr>
                <w:b/>
              </w:rPr>
              <w:t>Typical response</w:t>
            </w:r>
          </w:p>
        </w:tc>
      </w:tr>
      <w:tr>
        <w:tc>
          <w:tcPr>
            <w:tcW w:type="dxa" w:w="1584"/>
            <w:vAlign w:val="center"/>
          </w:tcPr>
          <w:p>
            <w:pPr>
              <w:pStyle w:val="TableText"/>
            </w:pPr>
            <w:r/>
            <w:r>
              <w:rPr>
                <w:b w:val="0"/>
              </w:rPr>
              <w:t>NORMAL</w:t>
            </w:r>
          </w:p>
        </w:tc>
        <w:tc>
          <w:tcPr>
            <w:tcW w:type="dxa" w:w="5472"/>
            <w:vAlign w:val="center"/>
          </w:tcPr>
          <w:p>
            <w:pPr>
              <w:pStyle w:val="TableText"/>
            </w:pPr>
            <w:r/>
            <w:r>
              <w:rPr>
                <w:b w:val="0"/>
              </w:rPr>
              <w:t>All critical bounds have sufficient margin.</w:t>
            </w:r>
          </w:p>
        </w:tc>
        <w:tc>
          <w:tcPr>
            <w:tcW w:type="dxa" w:w="3600"/>
            <w:vAlign w:val="center"/>
          </w:tcPr>
          <w:p>
            <w:pPr>
              <w:pStyle w:val="TableText"/>
            </w:pPr>
            <w:r/>
            <w:r>
              <w:rPr>
                <w:b w:val="0"/>
              </w:rPr>
              <w:t>Continue.</w:t>
            </w:r>
          </w:p>
        </w:tc>
      </w:tr>
      <w:tr>
        <w:tc>
          <w:tcPr>
            <w:tcW w:type="dxa" w:w="1584"/>
            <w:vAlign w:val="center"/>
          </w:tcPr>
          <w:p>
            <w:pPr>
              <w:pStyle w:val="TableText"/>
            </w:pPr>
            <w:r/>
            <w:r>
              <w:rPr>
                <w:b w:val="0"/>
              </w:rPr>
              <w:t>WARNING</w:t>
            </w:r>
          </w:p>
        </w:tc>
        <w:tc>
          <w:tcPr>
            <w:tcW w:type="dxa" w:w="5472"/>
            <w:vAlign w:val="center"/>
          </w:tcPr>
          <w:p>
            <w:pPr>
              <w:pStyle w:val="TableText"/>
            </w:pPr>
            <w:r/>
            <w:r>
              <w:rPr>
                <w:b w:val="0"/>
              </w:rPr>
              <w:t>Margin is decreasing or a non-critical bound is temporarily exceeded.</w:t>
            </w:r>
          </w:p>
        </w:tc>
        <w:tc>
          <w:tcPr>
            <w:tcW w:type="dxa" w:w="3600"/>
            <w:vAlign w:val="center"/>
          </w:tcPr>
          <w:p>
            <w:pPr>
              <w:pStyle w:val="TableText"/>
            </w:pPr>
            <w:r/>
            <w:r>
              <w:rPr>
                <w:b w:val="0"/>
              </w:rPr>
              <w:t>Monitor more closely; optionally reduce non-critical load.</w:t>
            </w:r>
          </w:p>
        </w:tc>
      </w:tr>
      <w:tr>
        <w:tc>
          <w:tcPr>
            <w:tcW w:type="dxa" w:w="1584"/>
            <w:vAlign w:val="center"/>
          </w:tcPr>
          <w:p>
            <w:pPr>
              <w:pStyle w:val="TableText"/>
            </w:pPr>
            <w:r/>
            <w:r>
              <w:rPr>
                <w:b w:val="0"/>
              </w:rPr>
              <w:t>DEGRADED</w:t>
            </w:r>
          </w:p>
        </w:tc>
        <w:tc>
          <w:tcPr>
            <w:tcW w:type="dxa" w:w="5472"/>
            <w:vAlign w:val="center"/>
          </w:tcPr>
          <w:p>
            <w:pPr>
              <w:pStyle w:val="TableText"/>
            </w:pPr>
            <w:r/>
            <w:r>
              <w:rPr>
                <w:b w:val="0"/>
              </w:rPr>
              <w:t>A safety/timing margin is significantly reduced but a safe degraded configuration exists.</w:t>
            </w:r>
          </w:p>
        </w:tc>
        <w:tc>
          <w:tcPr>
            <w:tcW w:type="dxa" w:w="3600"/>
            <w:vAlign w:val="center"/>
          </w:tcPr>
          <w:p>
            <w:pPr>
              <w:pStyle w:val="TableText"/>
            </w:pPr>
            <w:r/>
            <w:r>
              <w:rPr>
                <w:b w:val="0"/>
              </w:rPr>
              <w:t>Enter degraded mode/isolate non-critical function.</w:t>
            </w:r>
          </w:p>
        </w:tc>
      </w:tr>
      <w:tr>
        <w:tc>
          <w:tcPr>
            <w:tcW w:type="dxa" w:w="1584"/>
            <w:vAlign w:val="center"/>
          </w:tcPr>
          <w:p>
            <w:pPr>
              <w:pStyle w:val="TableText"/>
            </w:pPr>
            <w:r/>
            <w:r>
              <w:rPr>
                <w:b w:val="0"/>
              </w:rPr>
              <w:t>UNSAFE</w:t>
            </w:r>
          </w:p>
        </w:tc>
        <w:tc>
          <w:tcPr>
            <w:tcW w:type="dxa" w:w="5472"/>
            <w:vAlign w:val="center"/>
          </w:tcPr>
          <w:p>
            <w:pPr>
              <w:pStyle w:val="TableText"/>
            </w:pPr>
            <w:r/>
            <w:r>
              <w:rPr>
                <w:b w:val="0"/>
              </w:rPr>
              <w:t>A critical safety property is violated or predicted to fail imminently.</w:t>
            </w:r>
          </w:p>
        </w:tc>
        <w:tc>
          <w:tcPr>
            <w:tcW w:type="dxa" w:w="3600"/>
            <w:vAlign w:val="center"/>
          </w:tcPr>
          <w:p>
            <w:pPr>
              <w:pStyle w:val="TableText"/>
            </w:pPr>
            <w:r/>
            <w:r>
              <w:rPr>
                <w:b w:val="0"/>
              </w:rPr>
              <w:t>Execute predefined safe response; rollback if required and safe.</w:t>
            </w:r>
          </w:p>
        </w:tc>
      </w:tr>
    </w:tbl>
    <w:p/>
    <w:p>
      <w:pPr>
        <w:pStyle w:val="Heading1"/>
      </w:pPr>
      <w:r>
        <w:t>13. Response Policy</w:t>
      </w:r>
    </w:p>
    <w:p>
      <w:r>
        <w:t>A key research principle is graduated response rather than immediate rollback. Rollback is an existing technique and should not be presented as the novelty by itself.</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shd w:fill="D9EAF7"/>
          </w:tcPr>
          <w:p>
            <w:pPr>
              <w:pStyle w:val="TableText"/>
            </w:pPr>
            <w:r/>
            <w:r>
              <w:rPr>
                <w:b/>
              </w:rPr>
              <w:t>Condition</w:t>
            </w:r>
          </w:p>
        </w:tc>
        <w:tc>
          <w:tcPr>
            <w:tcW w:type="dxa" w:w="4032"/>
            <w:vAlign w:val="center"/>
            <w:shd w:fill="D9EAF7"/>
          </w:tcPr>
          <w:p>
            <w:pPr>
              <w:pStyle w:val="TableText"/>
            </w:pPr>
            <w:r/>
            <w:r>
              <w:rPr>
                <w:b/>
              </w:rPr>
              <w:t>Example</w:t>
            </w:r>
          </w:p>
        </w:tc>
        <w:tc>
          <w:tcPr>
            <w:tcW w:type="dxa" w:w="4320"/>
            <w:vAlign w:val="center"/>
            <w:shd w:fill="D9EAF7"/>
          </w:tcPr>
          <w:p>
            <w:pPr>
              <w:pStyle w:val="TableText"/>
            </w:pPr>
            <w:r/>
            <w:r>
              <w:rPr>
                <w:b/>
              </w:rPr>
              <w:t>Response</w:t>
            </w:r>
          </w:p>
        </w:tc>
      </w:tr>
      <w:tr>
        <w:tc>
          <w:tcPr>
            <w:tcW w:type="dxa" w:w="2304"/>
            <w:vAlign w:val="center"/>
          </w:tcPr>
          <w:p>
            <w:pPr>
              <w:pStyle w:val="TableText"/>
            </w:pPr>
            <w:r/>
            <w:r>
              <w:rPr>
                <w:b w:val="0"/>
              </w:rPr>
              <w:t>Transient low-risk deviation</w:t>
            </w:r>
          </w:p>
        </w:tc>
        <w:tc>
          <w:tcPr>
            <w:tcW w:type="dxa" w:w="4032"/>
            <w:vAlign w:val="center"/>
          </w:tcPr>
          <w:p>
            <w:pPr>
              <w:pStyle w:val="TableText"/>
            </w:pPr>
            <w:r/>
            <w:r>
              <w:rPr>
                <w:b w:val="0"/>
              </w:rPr>
              <w:t>Short CPU spike</w:t>
            </w:r>
          </w:p>
        </w:tc>
        <w:tc>
          <w:tcPr>
            <w:tcW w:type="dxa" w:w="4320"/>
            <w:vAlign w:val="center"/>
          </w:tcPr>
          <w:p>
            <w:pPr>
              <w:pStyle w:val="TableText"/>
            </w:pPr>
            <w:r/>
            <w:r>
              <w:rPr>
                <w:b w:val="0"/>
              </w:rPr>
              <w:t>Continue + monitor.</w:t>
            </w:r>
          </w:p>
        </w:tc>
      </w:tr>
      <w:tr>
        <w:tc>
          <w:tcPr>
            <w:tcW w:type="dxa" w:w="2304"/>
            <w:vAlign w:val="center"/>
          </w:tcPr>
          <w:p>
            <w:pPr>
              <w:pStyle w:val="TableText"/>
            </w:pPr>
            <w:r/>
            <w:r>
              <w:rPr>
                <w:b w:val="0"/>
              </w:rPr>
              <w:t>Persistent non-critical load</w:t>
            </w:r>
          </w:p>
        </w:tc>
        <w:tc>
          <w:tcPr>
            <w:tcW w:type="dxa" w:w="4032"/>
            <w:vAlign w:val="center"/>
          </w:tcPr>
          <w:p>
            <w:pPr>
              <w:pStyle w:val="TableText"/>
            </w:pPr>
            <w:r/>
            <w:r>
              <w:rPr>
                <w:b w:val="0"/>
              </w:rPr>
              <w:t>Non-safety task consumes CPU</w:t>
            </w:r>
          </w:p>
        </w:tc>
        <w:tc>
          <w:tcPr>
            <w:tcW w:type="dxa" w:w="4320"/>
            <w:vAlign w:val="center"/>
          </w:tcPr>
          <w:p>
            <w:pPr>
              <w:pStyle w:val="TableText"/>
            </w:pPr>
            <w:r/>
            <w:r>
              <w:rPr>
                <w:b w:val="0"/>
              </w:rPr>
              <w:t>Reduce/limit non-critical workload.</w:t>
            </w:r>
          </w:p>
        </w:tc>
      </w:tr>
      <w:tr>
        <w:tc>
          <w:tcPr>
            <w:tcW w:type="dxa" w:w="2304"/>
            <w:vAlign w:val="center"/>
          </w:tcPr>
          <w:p>
            <w:pPr>
              <w:pStyle w:val="TableText"/>
            </w:pPr>
            <w:r/>
            <w:r>
              <w:rPr>
                <w:b w:val="0"/>
              </w:rPr>
              <w:t>Predicted timing erosion</w:t>
            </w:r>
          </w:p>
        </w:tc>
        <w:tc>
          <w:tcPr>
            <w:tcW w:type="dxa" w:w="4032"/>
            <w:vAlign w:val="center"/>
          </w:tcPr>
          <w:p>
            <w:pPr>
              <w:pStyle w:val="TableText"/>
            </w:pPr>
            <w:r/>
            <w:r>
              <w:rPr>
                <w:b w:val="0"/>
              </w:rPr>
              <w:t>Jitter trend approaching deadline</w:t>
            </w:r>
          </w:p>
        </w:tc>
        <w:tc>
          <w:tcPr>
            <w:tcW w:type="dxa" w:w="4320"/>
            <w:vAlign w:val="center"/>
          </w:tcPr>
          <w:p>
            <w:pPr>
              <w:pStyle w:val="TableText"/>
            </w:pPr>
            <w:r/>
            <w:r>
              <w:rPr>
                <w:b w:val="0"/>
              </w:rPr>
              <w:t>Pre-emptively reduce non-critical load / enter degraded mode.</w:t>
            </w:r>
          </w:p>
        </w:tc>
      </w:tr>
      <w:tr>
        <w:tc>
          <w:tcPr>
            <w:tcW w:type="dxa" w:w="2304"/>
            <w:vAlign w:val="center"/>
          </w:tcPr>
          <w:p>
            <w:pPr>
              <w:pStyle w:val="TableText"/>
            </w:pPr>
            <w:r/>
            <w:r>
              <w:rPr>
                <w:b w:val="0"/>
              </w:rPr>
              <w:t>Safety-critical envelope violation</w:t>
            </w:r>
          </w:p>
        </w:tc>
        <w:tc>
          <w:tcPr>
            <w:tcW w:type="dxa" w:w="4032"/>
            <w:vAlign w:val="center"/>
          </w:tcPr>
          <w:p>
            <w:pPr>
              <w:pStyle w:val="TableText"/>
            </w:pPr>
            <w:r/>
            <w:r>
              <w:rPr>
                <w:b w:val="0"/>
              </w:rPr>
              <w:t>Brake/control deadline exceeded</w:t>
            </w:r>
          </w:p>
        </w:tc>
        <w:tc>
          <w:tcPr>
            <w:tcW w:type="dxa" w:w="4320"/>
            <w:vAlign w:val="center"/>
          </w:tcPr>
          <w:p>
            <w:pPr>
              <w:pStyle w:val="TableText"/>
            </w:pPr>
            <w:r/>
            <w:r>
              <w:rPr>
                <w:b w:val="0"/>
              </w:rPr>
              <w:t>Safe-state action; rollback only if the recovery path is validated.</w:t>
            </w:r>
          </w:p>
        </w:tc>
      </w:tr>
      <w:tr>
        <w:tc>
          <w:tcPr>
            <w:tcW w:type="dxa" w:w="2304"/>
            <w:vAlign w:val="center"/>
          </w:tcPr>
          <w:p>
            <w:pPr>
              <w:pStyle w:val="TableText"/>
            </w:pPr>
            <w:r/>
            <w:r>
              <w:rPr>
                <w:b w:val="0"/>
              </w:rPr>
              <w:t>Campaign-wide repeated issue</w:t>
            </w:r>
          </w:p>
        </w:tc>
        <w:tc>
          <w:tcPr>
            <w:tcW w:type="dxa" w:w="4032"/>
            <w:vAlign w:val="center"/>
          </w:tcPr>
          <w:p>
            <w:pPr>
              <w:pStyle w:val="TableText"/>
            </w:pPr>
            <w:r/>
            <w:r>
              <w:rPr>
                <w:b w:val="0"/>
              </w:rPr>
              <w:t>Same update/context pattern across many vehicles</w:t>
            </w:r>
          </w:p>
        </w:tc>
        <w:tc>
          <w:tcPr>
            <w:tcW w:type="dxa" w:w="4320"/>
            <w:vAlign w:val="center"/>
          </w:tcPr>
          <w:p>
            <w:pPr>
              <w:pStyle w:val="TableText"/>
            </w:pPr>
            <w:r/>
            <w:r>
              <w:rPr>
                <w:b w:val="0"/>
              </w:rPr>
              <w:t>OEM campaign hold / investigation.</w:t>
            </w:r>
          </w:p>
        </w:tc>
      </w:tr>
    </w:tbl>
    <w:p/>
    <w:p>
      <w:pPr>
        <w:pStyle w:val="Heading1"/>
      </w:pPr>
      <w:r>
        <w:t>14. Project Workload: From Zero to Completed Research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944"/>
            <w:vAlign w:val="center"/>
            <w:shd w:fill="D9EAF7"/>
          </w:tcPr>
          <w:p>
            <w:pPr>
              <w:pStyle w:val="TableText"/>
            </w:pPr>
            <w:r/>
            <w:r>
              <w:rPr>
                <w:b/>
              </w:rPr>
              <w:t>Phase</w:t>
            </w:r>
          </w:p>
        </w:tc>
        <w:tc>
          <w:tcPr>
            <w:tcW w:type="dxa" w:w="1152"/>
            <w:vAlign w:val="center"/>
            <w:shd w:fill="D9EAF7"/>
          </w:tcPr>
          <w:p>
            <w:pPr>
              <w:pStyle w:val="TableText"/>
            </w:pPr>
            <w:r/>
            <w:r>
              <w:rPr>
                <w:b/>
              </w:rPr>
              <w:t>Indicative time</w:t>
            </w:r>
          </w:p>
        </w:tc>
        <w:tc>
          <w:tcPr>
            <w:tcW w:type="dxa" w:w="5760"/>
            <w:vAlign w:val="center"/>
            <w:shd w:fill="D9EAF7"/>
          </w:tcPr>
          <w:p>
            <w:pPr>
              <w:pStyle w:val="TableText"/>
            </w:pPr>
            <w:r/>
            <w:r>
              <w:rPr>
                <w:b/>
              </w:rPr>
              <w:t>Work</w:t>
            </w:r>
          </w:p>
        </w:tc>
        <w:tc>
          <w:tcPr>
            <w:tcW w:type="dxa" w:w="2160"/>
            <w:vAlign w:val="center"/>
            <w:shd w:fill="D9EAF7"/>
          </w:tcPr>
          <w:p>
            <w:pPr>
              <w:pStyle w:val="TableText"/>
            </w:pPr>
            <w:r/>
            <w:r>
              <w:rPr>
                <w:b/>
              </w:rPr>
              <w:t>Deliverable</w:t>
            </w:r>
          </w:p>
        </w:tc>
      </w:tr>
      <w:tr>
        <w:tc>
          <w:tcPr>
            <w:tcW w:type="dxa" w:w="1944"/>
            <w:vAlign w:val="center"/>
          </w:tcPr>
          <w:p>
            <w:pPr>
              <w:pStyle w:val="TableText"/>
            </w:pPr>
            <w:r/>
            <w:r>
              <w:rPr>
                <w:b w:val="0"/>
              </w:rPr>
              <w:t>Phase 0 — Scope and evidence</w:t>
            </w:r>
          </w:p>
        </w:tc>
        <w:tc>
          <w:tcPr>
            <w:tcW w:type="dxa" w:w="1152"/>
            <w:vAlign w:val="center"/>
          </w:tcPr>
          <w:p>
            <w:pPr>
              <w:pStyle w:val="TableText"/>
            </w:pPr>
            <w:r/>
            <w:r>
              <w:rPr>
                <w:b w:val="0"/>
              </w:rPr>
              <w:t>1–2 weeks</w:t>
            </w:r>
          </w:p>
        </w:tc>
        <w:tc>
          <w:tcPr>
            <w:tcW w:type="dxa" w:w="5760"/>
            <w:vAlign w:val="center"/>
          </w:tcPr>
          <w:p>
            <w:pPr>
              <w:pStyle w:val="TableText"/>
            </w:pPr>
            <w:r/>
            <w:r>
              <w:rPr>
                <w:b w:val="0"/>
              </w:rPr>
              <w:t>Freeze research question, collect 2024–2026 papers, collect standards/recall evidence, build literature matrix.</w:t>
            </w:r>
          </w:p>
        </w:tc>
        <w:tc>
          <w:tcPr>
            <w:tcW w:type="dxa" w:w="2160"/>
            <w:vAlign w:val="center"/>
          </w:tcPr>
          <w:p>
            <w:pPr>
              <w:pStyle w:val="TableText"/>
            </w:pPr>
            <w:r/>
            <w:r>
              <w:rPr>
                <w:b w:val="0"/>
              </w:rPr>
              <w:t>Literature matrix + evidence map</w:t>
            </w:r>
          </w:p>
        </w:tc>
      </w:tr>
      <w:tr>
        <w:tc>
          <w:tcPr>
            <w:tcW w:type="dxa" w:w="1944"/>
            <w:vAlign w:val="center"/>
          </w:tcPr>
          <w:p>
            <w:pPr>
              <w:pStyle w:val="TableText"/>
            </w:pPr>
            <w:r/>
            <w:r>
              <w:rPr>
                <w:b w:val="0"/>
              </w:rPr>
              <w:t>Phase 1 — Gap validation</w:t>
            </w:r>
          </w:p>
        </w:tc>
        <w:tc>
          <w:tcPr>
            <w:tcW w:type="dxa" w:w="1152"/>
            <w:vAlign w:val="center"/>
          </w:tcPr>
          <w:p>
            <w:pPr>
              <w:pStyle w:val="TableText"/>
            </w:pPr>
            <w:r/>
            <w:r>
              <w:rPr>
                <w:b w:val="0"/>
              </w:rPr>
              <w:t>2–3 weeks</w:t>
            </w:r>
          </w:p>
        </w:tc>
        <w:tc>
          <w:tcPr>
            <w:tcW w:type="dxa" w:w="5760"/>
            <w:vAlign w:val="center"/>
          </w:tcPr>
          <w:p>
            <w:pPr>
              <w:pStyle w:val="TableText"/>
            </w:pPr>
            <w:r/>
            <w:r>
              <w:rPr>
                <w:b w:val="0"/>
              </w:rPr>
              <w:t>Targeted prior-art search for runtime assurance, post-OTA safety monitoring, safety envelopes, predictive runtime verification and adaptive recovery.</w:t>
            </w:r>
          </w:p>
        </w:tc>
        <w:tc>
          <w:tcPr>
            <w:tcW w:type="dxa" w:w="2160"/>
            <w:vAlign w:val="center"/>
          </w:tcPr>
          <w:p>
            <w:pPr>
              <w:pStyle w:val="TableText"/>
            </w:pPr>
            <w:r/>
            <w:r>
              <w:rPr>
                <w:b w:val="0"/>
              </w:rPr>
              <w:t>Claim-level gap report</w:t>
            </w:r>
          </w:p>
        </w:tc>
      </w:tr>
      <w:tr>
        <w:tc>
          <w:tcPr>
            <w:tcW w:type="dxa" w:w="1944"/>
            <w:vAlign w:val="center"/>
          </w:tcPr>
          <w:p>
            <w:pPr>
              <w:pStyle w:val="TableText"/>
            </w:pPr>
            <w:r/>
            <w:r>
              <w:rPr>
                <w:b w:val="0"/>
              </w:rPr>
              <w:t>Phase 2 — Requirements</w:t>
            </w:r>
          </w:p>
        </w:tc>
        <w:tc>
          <w:tcPr>
            <w:tcW w:type="dxa" w:w="1152"/>
            <w:vAlign w:val="center"/>
          </w:tcPr>
          <w:p>
            <w:pPr>
              <w:pStyle w:val="TableText"/>
            </w:pPr>
            <w:r/>
            <w:r>
              <w:rPr>
                <w:b w:val="0"/>
              </w:rPr>
              <w:t>1–2 weeks</w:t>
            </w:r>
          </w:p>
        </w:tc>
        <w:tc>
          <w:tcPr>
            <w:tcW w:type="dxa" w:w="5760"/>
            <w:vAlign w:val="center"/>
          </w:tcPr>
          <w:p>
            <w:pPr>
              <w:pStyle w:val="TableText"/>
            </w:pPr>
            <w:r/>
            <w:r>
              <w:rPr>
                <w:b w:val="0"/>
              </w:rPr>
              <w:t>Define vehicle state variables, safety properties, timing constraints, update lifecycle and response policy.</w:t>
            </w:r>
          </w:p>
        </w:tc>
        <w:tc>
          <w:tcPr>
            <w:tcW w:type="dxa" w:w="2160"/>
            <w:vAlign w:val="center"/>
          </w:tcPr>
          <w:p>
            <w:pPr>
              <w:pStyle w:val="TableText"/>
            </w:pPr>
            <w:r/>
            <w:r>
              <w:rPr>
                <w:b w:val="0"/>
              </w:rPr>
              <w:t>System requirements specification</w:t>
            </w:r>
          </w:p>
        </w:tc>
      </w:tr>
      <w:tr>
        <w:tc>
          <w:tcPr>
            <w:tcW w:type="dxa" w:w="1944"/>
            <w:vAlign w:val="center"/>
          </w:tcPr>
          <w:p>
            <w:pPr>
              <w:pStyle w:val="TableText"/>
            </w:pPr>
            <w:r/>
            <w:r>
              <w:rPr>
                <w:b w:val="0"/>
              </w:rPr>
              <w:t>Phase 3 — Architecture</w:t>
            </w:r>
          </w:p>
        </w:tc>
        <w:tc>
          <w:tcPr>
            <w:tcW w:type="dxa" w:w="1152"/>
            <w:vAlign w:val="center"/>
          </w:tcPr>
          <w:p>
            <w:pPr>
              <w:pStyle w:val="TableText"/>
            </w:pPr>
            <w:r/>
            <w:r>
              <w:rPr>
                <w:b w:val="0"/>
              </w:rPr>
              <w:t>1–2 weeks</w:t>
            </w:r>
          </w:p>
        </w:tc>
        <w:tc>
          <w:tcPr>
            <w:tcW w:type="dxa" w:w="5760"/>
            <w:vAlign w:val="center"/>
          </w:tcPr>
          <w:p>
            <w:pPr>
              <w:pStyle w:val="TableText"/>
            </w:pPr>
            <w:r/>
            <w:r>
              <w:rPr>
                <w:b w:val="0"/>
              </w:rPr>
              <w:t>Design RAVEN modules, data flow, state machine and interfaces.</w:t>
            </w:r>
          </w:p>
        </w:tc>
        <w:tc>
          <w:tcPr>
            <w:tcW w:type="dxa" w:w="2160"/>
            <w:vAlign w:val="center"/>
          </w:tcPr>
          <w:p>
            <w:pPr>
              <w:pStyle w:val="TableText"/>
            </w:pPr>
            <w:r/>
            <w:r>
              <w:rPr>
                <w:b w:val="0"/>
              </w:rPr>
              <w:t>Architecture document</w:t>
            </w:r>
          </w:p>
        </w:tc>
      </w:tr>
      <w:tr>
        <w:tc>
          <w:tcPr>
            <w:tcW w:type="dxa" w:w="1944"/>
            <w:vAlign w:val="center"/>
          </w:tcPr>
          <w:p>
            <w:pPr>
              <w:pStyle w:val="TableText"/>
            </w:pPr>
            <w:r/>
            <w:r>
              <w:rPr>
                <w:b w:val="0"/>
              </w:rPr>
              <w:t>Phase 4 — Prototype</w:t>
            </w:r>
          </w:p>
        </w:tc>
        <w:tc>
          <w:tcPr>
            <w:tcW w:type="dxa" w:w="1152"/>
            <w:vAlign w:val="center"/>
          </w:tcPr>
          <w:p>
            <w:pPr>
              <w:pStyle w:val="TableText"/>
            </w:pPr>
            <w:r/>
            <w:r>
              <w:rPr>
                <w:b w:val="0"/>
              </w:rPr>
              <w:t>3–5 weeks</w:t>
            </w:r>
          </w:p>
        </w:tc>
        <w:tc>
          <w:tcPr>
            <w:tcW w:type="dxa" w:w="5760"/>
            <w:vAlign w:val="center"/>
          </w:tcPr>
          <w:p>
            <w:pPr>
              <w:pStyle w:val="TableText"/>
            </w:pPr>
            <w:r/>
            <w:r>
              <w:rPr>
                <w:b w:val="0"/>
              </w:rPr>
              <w:t>Implement telemetry, envelope engine, prediction, assurance states and response engine.</w:t>
            </w:r>
          </w:p>
        </w:tc>
        <w:tc>
          <w:tcPr>
            <w:tcW w:type="dxa" w:w="2160"/>
            <w:vAlign w:val="center"/>
          </w:tcPr>
          <w:p>
            <w:pPr>
              <w:pStyle w:val="TableText"/>
            </w:pPr>
            <w:r/>
            <w:r>
              <w:rPr>
                <w:b w:val="0"/>
              </w:rPr>
              <w:t>Working prototype</w:t>
            </w:r>
          </w:p>
        </w:tc>
      </w:tr>
      <w:tr>
        <w:tc>
          <w:tcPr>
            <w:tcW w:type="dxa" w:w="1944"/>
            <w:vAlign w:val="center"/>
          </w:tcPr>
          <w:p>
            <w:pPr>
              <w:pStyle w:val="TableText"/>
            </w:pPr>
            <w:r/>
            <w:r>
              <w:rPr>
                <w:b w:val="0"/>
              </w:rPr>
              <w:t>Phase 5 — Simulation/testbed</w:t>
            </w:r>
          </w:p>
        </w:tc>
        <w:tc>
          <w:tcPr>
            <w:tcW w:type="dxa" w:w="1152"/>
            <w:vAlign w:val="center"/>
          </w:tcPr>
          <w:p>
            <w:pPr>
              <w:pStyle w:val="TableText"/>
            </w:pPr>
            <w:r/>
            <w:r>
              <w:rPr>
                <w:b w:val="0"/>
              </w:rPr>
              <w:t>3–5 weeks</w:t>
            </w:r>
          </w:p>
        </w:tc>
        <w:tc>
          <w:tcPr>
            <w:tcW w:type="dxa" w:w="5760"/>
            <w:vAlign w:val="center"/>
          </w:tcPr>
          <w:p>
            <w:pPr>
              <w:pStyle w:val="TableText"/>
            </w:pPr>
            <w:r/>
            <w:r>
              <w:rPr>
                <w:b w:val="0"/>
              </w:rPr>
              <w:t>Build simulated ECUs, CAN/CAN-FD traffic, CPU workloads, vehicle contexts and OTA campaign.</w:t>
            </w:r>
          </w:p>
        </w:tc>
        <w:tc>
          <w:tcPr>
            <w:tcW w:type="dxa" w:w="2160"/>
            <w:vAlign w:val="center"/>
          </w:tcPr>
          <w:p>
            <w:pPr>
              <w:pStyle w:val="TableText"/>
            </w:pPr>
            <w:r/>
            <w:r>
              <w:rPr>
                <w:b w:val="0"/>
              </w:rPr>
              <w:t>Experimental testbed</w:t>
            </w:r>
          </w:p>
        </w:tc>
      </w:tr>
      <w:tr>
        <w:tc>
          <w:tcPr>
            <w:tcW w:type="dxa" w:w="1944"/>
            <w:vAlign w:val="center"/>
          </w:tcPr>
          <w:p>
            <w:pPr>
              <w:pStyle w:val="TableText"/>
            </w:pPr>
            <w:r/>
            <w:r>
              <w:rPr>
                <w:b w:val="0"/>
              </w:rPr>
              <w:t>Phase 6 — Fault scenarios</w:t>
            </w:r>
          </w:p>
        </w:tc>
        <w:tc>
          <w:tcPr>
            <w:tcW w:type="dxa" w:w="1152"/>
            <w:vAlign w:val="center"/>
          </w:tcPr>
          <w:p>
            <w:pPr>
              <w:pStyle w:val="TableText"/>
            </w:pPr>
            <w:r/>
            <w:r>
              <w:rPr>
                <w:b w:val="0"/>
              </w:rPr>
              <w:t>2–3 weeks</w:t>
            </w:r>
          </w:p>
        </w:tc>
        <w:tc>
          <w:tcPr>
            <w:tcW w:type="dxa" w:w="5760"/>
            <w:vAlign w:val="center"/>
          </w:tcPr>
          <w:p>
            <w:pPr>
              <w:pStyle w:val="TableText"/>
            </w:pPr>
            <w:r/>
            <w:r>
              <w:rPr>
                <w:b w:val="0"/>
              </w:rPr>
              <w:t>Inject timing, CPU, network, thermal and workload changes.</w:t>
            </w:r>
          </w:p>
        </w:tc>
        <w:tc>
          <w:tcPr>
            <w:tcW w:type="dxa" w:w="2160"/>
            <w:vAlign w:val="center"/>
          </w:tcPr>
          <w:p>
            <w:pPr>
              <w:pStyle w:val="TableText"/>
            </w:pPr>
            <w:r/>
            <w:r>
              <w:rPr>
                <w:b w:val="0"/>
              </w:rPr>
              <w:t>Fault dataset</w:t>
            </w:r>
          </w:p>
        </w:tc>
      </w:tr>
      <w:tr>
        <w:tc>
          <w:tcPr>
            <w:tcW w:type="dxa" w:w="1944"/>
            <w:vAlign w:val="center"/>
          </w:tcPr>
          <w:p>
            <w:pPr>
              <w:pStyle w:val="TableText"/>
            </w:pPr>
            <w:r/>
            <w:r>
              <w:rPr>
                <w:b w:val="0"/>
              </w:rPr>
              <w:t>Phase 7 — Evaluation</w:t>
            </w:r>
          </w:p>
        </w:tc>
        <w:tc>
          <w:tcPr>
            <w:tcW w:type="dxa" w:w="1152"/>
            <w:vAlign w:val="center"/>
          </w:tcPr>
          <w:p>
            <w:pPr>
              <w:pStyle w:val="TableText"/>
            </w:pPr>
            <w:r/>
            <w:r>
              <w:rPr>
                <w:b w:val="0"/>
              </w:rPr>
              <w:t>2–4 weeks</w:t>
            </w:r>
          </w:p>
        </w:tc>
        <w:tc>
          <w:tcPr>
            <w:tcW w:type="dxa" w:w="5760"/>
            <w:vAlign w:val="center"/>
          </w:tcPr>
          <w:p>
            <w:pPr>
              <w:pStyle w:val="TableText"/>
            </w:pPr>
            <w:r/>
            <w:r>
              <w:rPr>
                <w:b w:val="0"/>
              </w:rPr>
              <w:t>Compare static verification, thresholds, anomaly detection and RAVEN.</w:t>
            </w:r>
          </w:p>
        </w:tc>
        <w:tc>
          <w:tcPr>
            <w:tcW w:type="dxa" w:w="2160"/>
            <w:vAlign w:val="center"/>
          </w:tcPr>
          <w:p>
            <w:pPr>
              <w:pStyle w:val="TableText"/>
            </w:pPr>
            <w:r/>
            <w:r>
              <w:rPr>
                <w:b w:val="0"/>
              </w:rPr>
              <w:t>Results</w:t>
            </w:r>
          </w:p>
        </w:tc>
      </w:tr>
      <w:tr>
        <w:tc>
          <w:tcPr>
            <w:tcW w:type="dxa" w:w="1944"/>
            <w:vAlign w:val="center"/>
          </w:tcPr>
          <w:p>
            <w:pPr>
              <w:pStyle w:val="TableText"/>
            </w:pPr>
            <w:r/>
            <w:r>
              <w:rPr>
                <w:b w:val="0"/>
              </w:rPr>
              <w:t>Phase 8 — Paper</w:t>
            </w:r>
          </w:p>
        </w:tc>
        <w:tc>
          <w:tcPr>
            <w:tcW w:type="dxa" w:w="1152"/>
            <w:vAlign w:val="center"/>
          </w:tcPr>
          <w:p>
            <w:pPr>
              <w:pStyle w:val="TableText"/>
            </w:pPr>
            <w:r/>
            <w:r>
              <w:rPr>
                <w:b w:val="0"/>
              </w:rPr>
              <w:t>2–3 weeks</w:t>
            </w:r>
          </w:p>
        </w:tc>
        <w:tc>
          <w:tcPr>
            <w:tcW w:type="dxa" w:w="5760"/>
            <w:vAlign w:val="center"/>
          </w:tcPr>
          <w:p>
            <w:pPr>
              <w:pStyle w:val="TableText"/>
            </w:pPr>
            <w:r/>
            <w:r>
              <w:rPr>
                <w:b w:val="0"/>
              </w:rPr>
              <w:t>Write methodology, experiments, limitations and discussion.</w:t>
            </w:r>
          </w:p>
        </w:tc>
        <w:tc>
          <w:tcPr>
            <w:tcW w:type="dxa" w:w="2160"/>
            <w:vAlign w:val="center"/>
          </w:tcPr>
          <w:p>
            <w:pPr>
              <w:pStyle w:val="TableText"/>
            </w:pPr>
            <w:r/>
            <w:r>
              <w:rPr>
                <w:b w:val="0"/>
              </w:rPr>
              <w:t>Conference/journal manuscript</w:t>
            </w:r>
          </w:p>
        </w:tc>
      </w:tr>
      <w:tr>
        <w:tc>
          <w:tcPr>
            <w:tcW w:type="dxa" w:w="1944"/>
            <w:vAlign w:val="center"/>
          </w:tcPr>
          <w:p>
            <w:pPr>
              <w:pStyle w:val="TableText"/>
            </w:pPr>
            <w:r/>
            <w:r>
              <w:rPr>
                <w:b w:val="0"/>
              </w:rPr>
              <w:t>Phase 9 — Patent</w:t>
            </w:r>
          </w:p>
        </w:tc>
        <w:tc>
          <w:tcPr>
            <w:tcW w:type="dxa" w:w="1152"/>
            <w:vAlign w:val="center"/>
          </w:tcPr>
          <w:p>
            <w:pPr>
              <w:pStyle w:val="TableText"/>
            </w:pPr>
            <w:r/>
            <w:r>
              <w:rPr>
                <w:b w:val="0"/>
              </w:rPr>
              <w:t>Parallel, before public disclosure</w:t>
            </w:r>
          </w:p>
        </w:tc>
        <w:tc>
          <w:tcPr>
            <w:tcW w:type="dxa" w:w="5760"/>
            <w:vAlign w:val="center"/>
          </w:tcPr>
          <w:p>
            <w:pPr>
              <w:pStyle w:val="TableText"/>
            </w:pPr>
            <w:r/>
            <w:r>
              <w:rPr>
                <w:b w:val="0"/>
              </w:rPr>
              <w:t>Draft claims around the exact technical mechanism after prior-art search.</w:t>
            </w:r>
          </w:p>
        </w:tc>
        <w:tc>
          <w:tcPr>
            <w:tcW w:type="dxa" w:w="2160"/>
            <w:vAlign w:val="center"/>
          </w:tcPr>
          <w:p>
            <w:pPr>
              <w:pStyle w:val="TableText"/>
            </w:pPr>
            <w:r/>
            <w:r>
              <w:rPr>
                <w:b w:val="0"/>
              </w:rPr>
              <w:t>Patent draft/filing strategy</w:t>
            </w:r>
          </w:p>
        </w:tc>
      </w:tr>
    </w:tbl>
    <w:p/>
    <w:p>
      <w:pPr>
        <w:pStyle w:val="Heading1"/>
      </w:pPr>
      <w:r>
        <w:t>15. Recommended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AF7"/>
          </w:tcPr>
          <w:p>
            <w:pPr>
              <w:pStyle w:val="TableText"/>
            </w:pPr>
            <w:r/>
            <w:r>
              <w:rPr>
                <w:b/>
              </w:rPr>
              <w:t>Layer</w:t>
            </w:r>
          </w:p>
        </w:tc>
        <w:tc>
          <w:tcPr>
            <w:tcW w:type="dxa" w:w="4320"/>
            <w:vAlign w:val="center"/>
            <w:shd w:fill="D9EAF7"/>
          </w:tcPr>
          <w:p>
            <w:pPr>
              <w:pStyle w:val="TableText"/>
            </w:pPr>
            <w:r/>
            <w:r>
              <w:rPr>
                <w:b/>
              </w:rPr>
              <w:t>Recommended options</w:t>
            </w:r>
          </w:p>
        </w:tc>
        <w:tc>
          <w:tcPr>
            <w:tcW w:type="dxa" w:w="4320"/>
            <w:vAlign w:val="center"/>
            <w:shd w:fill="D9EAF7"/>
          </w:tcPr>
          <w:p>
            <w:pPr>
              <w:pStyle w:val="TableText"/>
            </w:pPr>
            <w:r/>
            <w:r>
              <w:rPr>
                <w:b/>
              </w:rPr>
              <w:t>Purpose</w:t>
            </w:r>
          </w:p>
        </w:tc>
      </w:tr>
      <w:tr>
        <w:tc>
          <w:tcPr>
            <w:tcW w:type="dxa" w:w="2160"/>
            <w:vAlign w:val="center"/>
          </w:tcPr>
          <w:p>
            <w:pPr>
              <w:pStyle w:val="TableText"/>
            </w:pPr>
            <w:r/>
            <w:r>
              <w:rPr>
                <w:b w:val="0"/>
              </w:rPr>
              <w:t>Vehicle simulation</w:t>
            </w:r>
          </w:p>
        </w:tc>
        <w:tc>
          <w:tcPr>
            <w:tcW w:type="dxa" w:w="4320"/>
            <w:vAlign w:val="center"/>
          </w:tcPr>
          <w:p>
            <w:pPr>
              <w:pStyle w:val="TableText"/>
            </w:pPr>
            <w:r/>
            <w:r>
              <w:rPr>
                <w:b w:val="0"/>
              </w:rPr>
              <w:t>CARLA or another reproducible vehicle simulator</w:t>
            </w:r>
          </w:p>
        </w:tc>
        <w:tc>
          <w:tcPr>
            <w:tcW w:type="dxa" w:w="4320"/>
            <w:vAlign w:val="center"/>
          </w:tcPr>
          <w:p>
            <w:pPr>
              <w:pStyle w:val="TableText"/>
            </w:pPr>
            <w:r/>
            <w:r>
              <w:rPr>
                <w:b w:val="0"/>
              </w:rPr>
              <w:t>Vehicle operating context and scenarios</w:t>
            </w:r>
          </w:p>
        </w:tc>
      </w:tr>
      <w:tr>
        <w:tc>
          <w:tcPr>
            <w:tcW w:type="dxa" w:w="2160"/>
            <w:vAlign w:val="center"/>
          </w:tcPr>
          <w:p>
            <w:pPr>
              <w:pStyle w:val="TableText"/>
            </w:pPr>
            <w:r/>
            <w:r>
              <w:rPr>
                <w:b w:val="0"/>
              </w:rPr>
              <w:t>ECU/software simulation</w:t>
            </w:r>
          </w:p>
        </w:tc>
        <w:tc>
          <w:tcPr>
            <w:tcW w:type="dxa" w:w="4320"/>
            <w:vAlign w:val="center"/>
          </w:tcPr>
          <w:p>
            <w:pPr>
              <w:pStyle w:val="TableText"/>
            </w:pPr>
            <w:r/>
            <w:r>
              <w:rPr>
                <w:b w:val="0"/>
              </w:rPr>
              <w:t>Docker/containers + Linux real-time workloads; optional AUTOSAR-compatible environment</w:t>
            </w:r>
          </w:p>
        </w:tc>
        <w:tc>
          <w:tcPr>
            <w:tcW w:type="dxa" w:w="4320"/>
            <w:vAlign w:val="center"/>
          </w:tcPr>
          <w:p>
            <w:pPr>
              <w:pStyle w:val="TableText"/>
            </w:pPr>
            <w:r/>
            <w:r>
              <w:rPr>
                <w:b w:val="0"/>
              </w:rPr>
              <w:t>Simulated ECU workloads and software versions</w:t>
            </w:r>
          </w:p>
        </w:tc>
      </w:tr>
      <w:tr>
        <w:tc>
          <w:tcPr>
            <w:tcW w:type="dxa" w:w="2160"/>
            <w:vAlign w:val="center"/>
          </w:tcPr>
          <w:p>
            <w:pPr>
              <w:pStyle w:val="TableText"/>
            </w:pPr>
            <w:r/>
            <w:r>
              <w:rPr>
                <w:b w:val="0"/>
              </w:rPr>
              <w:t>Network</w:t>
            </w:r>
          </w:p>
        </w:tc>
        <w:tc>
          <w:tcPr>
            <w:tcW w:type="dxa" w:w="4320"/>
            <w:vAlign w:val="center"/>
          </w:tcPr>
          <w:p>
            <w:pPr>
              <w:pStyle w:val="TableText"/>
            </w:pPr>
            <w:r/>
            <w:r>
              <w:rPr>
                <w:b w:val="0"/>
              </w:rPr>
              <w:t>CAN/CAN-FD simulator such as SocketCAN/CANoe if available</w:t>
            </w:r>
          </w:p>
        </w:tc>
        <w:tc>
          <w:tcPr>
            <w:tcW w:type="dxa" w:w="4320"/>
            <w:vAlign w:val="center"/>
          </w:tcPr>
          <w:p>
            <w:pPr>
              <w:pStyle w:val="TableText"/>
            </w:pPr>
            <w:r/>
            <w:r>
              <w:rPr>
                <w:b w:val="0"/>
              </w:rPr>
              <w:t>Bus traffic and timing experiments</w:t>
            </w:r>
          </w:p>
        </w:tc>
      </w:tr>
      <w:tr>
        <w:tc>
          <w:tcPr>
            <w:tcW w:type="dxa" w:w="2160"/>
            <w:vAlign w:val="center"/>
          </w:tcPr>
          <w:p>
            <w:pPr>
              <w:pStyle w:val="TableText"/>
            </w:pPr>
            <w:r/>
            <w:r>
              <w:rPr>
                <w:b w:val="0"/>
              </w:rPr>
              <w:t>OTA layer</w:t>
            </w:r>
          </w:p>
        </w:tc>
        <w:tc>
          <w:tcPr>
            <w:tcW w:type="dxa" w:w="4320"/>
            <w:vAlign w:val="center"/>
          </w:tcPr>
          <w:p>
            <w:pPr>
              <w:pStyle w:val="TableText"/>
            </w:pPr>
            <w:r/>
            <w:r>
              <w:rPr>
                <w:b w:val="0"/>
              </w:rPr>
              <w:t>Custom OTA campaign simulator or open update framework</w:t>
            </w:r>
          </w:p>
        </w:tc>
        <w:tc>
          <w:tcPr>
            <w:tcW w:type="dxa" w:w="4320"/>
            <w:vAlign w:val="center"/>
          </w:tcPr>
          <w:p>
            <w:pPr>
              <w:pStyle w:val="TableText"/>
            </w:pPr>
            <w:r/>
            <w:r>
              <w:rPr>
                <w:b w:val="0"/>
              </w:rPr>
              <w:t>Package/version/update lifecycle</w:t>
            </w:r>
          </w:p>
        </w:tc>
      </w:tr>
      <w:tr>
        <w:tc>
          <w:tcPr>
            <w:tcW w:type="dxa" w:w="2160"/>
            <w:vAlign w:val="center"/>
          </w:tcPr>
          <w:p>
            <w:pPr>
              <w:pStyle w:val="TableText"/>
            </w:pPr>
            <w:r/>
            <w:r>
              <w:rPr>
                <w:b w:val="0"/>
              </w:rPr>
              <w:t>Formal/constraint layer</w:t>
            </w:r>
          </w:p>
        </w:tc>
        <w:tc>
          <w:tcPr>
            <w:tcW w:type="dxa" w:w="4320"/>
            <w:vAlign w:val="center"/>
          </w:tcPr>
          <w:p>
            <w:pPr>
              <w:pStyle w:val="TableText"/>
            </w:pPr>
            <w:r/>
            <w:r>
              <w:rPr>
                <w:b w:val="0"/>
              </w:rPr>
              <w:t>Z3/SMT or equivalent</w:t>
            </w:r>
          </w:p>
        </w:tc>
        <w:tc>
          <w:tcPr>
            <w:tcW w:type="dxa" w:w="4320"/>
            <w:vAlign w:val="center"/>
          </w:tcPr>
          <w:p>
            <w:pPr>
              <w:pStyle w:val="TableText"/>
            </w:pPr>
            <w:r/>
            <w:r>
              <w:rPr>
                <w:b w:val="0"/>
              </w:rPr>
              <w:t>Envelope/constraint reasoning where appropriate</w:t>
            </w:r>
          </w:p>
        </w:tc>
      </w:tr>
      <w:tr>
        <w:tc>
          <w:tcPr>
            <w:tcW w:type="dxa" w:w="2160"/>
            <w:vAlign w:val="center"/>
          </w:tcPr>
          <w:p>
            <w:pPr>
              <w:pStyle w:val="TableText"/>
            </w:pPr>
            <w:r/>
            <w:r>
              <w:rPr>
                <w:b w:val="0"/>
              </w:rPr>
              <w:t>ML/prediction</w:t>
            </w:r>
          </w:p>
        </w:tc>
        <w:tc>
          <w:tcPr>
            <w:tcW w:type="dxa" w:w="4320"/>
            <w:vAlign w:val="center"/>
          </w:tcPr>
          <w:p>
            <w:pPr>
              <w:pStyle w:val="TableText"/>
            </w:pPr>
            <w:r/>
            <w:r>
              <w:rPr>
                <w:b w:val="0"/>
              </w:rPr>
              <w:t>Python, scikit-learn/PyTorch if justified</w:t>
            </w:r>
          </w:p>
        </w:tc>
        <w:tc>
          <w:tcPr>
            <w:tcW w:type="dxa" w:w="4320"/>
            <w:vAlign w:val="center"/>
          </w:tcPr>
          <w:p>
            <w:pPr>
              <w:pStyle w:val="TableText"/>
            </w:pPr>
            <w:r/>
            <w:r>
              <w:rPr>
                <w:b w:val="0"/>
              </w:rPr>
              <w:t>Trend prediction; keep ML optional rather than forcing AI</w:t>
            </w:r>
          </w:p>
        </w:tc>
      </w:tr>
      <w:tr>
        <w:tc>
          <w:tcPr>
            <w:tcW w:type="dxa" w:w="2160"/>
            <w:vAlign w:val="center"/>
          </w:tcPr>
          <w:p>
            <w:pPr>
              <w:pStyle w:val="TableText"/>
            </w:pPr>
            <w:r/>
            <w:r>
              <w:rPr>
                <w:b w:val="0"/>
              </w:rPr>
              <w:t>Data pipeline</w:t>
            </w:r>
          </w:p>
        </w:tc>
        <w:tc>
          <w:tcPr>
            <w:tcW w:type="dxa" w:w="4320"/>
            <w:vAlign w:val="center"/>
          </w:tcPr>
          <w:p>
            <w:pPr>
              <w:pStyle w:val="TableText"/>
            </w:pPr>
            <w:r/>
            <w:r>
              <w:rPr>
                <w:b w:val="0"/>
              </w:rPr>
              <w:t>Python + SQLite/Parquet</w:t>
            </w:r>
          </w:p>
        </w:tc>
        <w:tc>
          <w:tcPr>
            <w:tcW w:type="dxa" w:w="4320"/>
            <w:vAlign w:val="center"/>
          </w:tcPr>
          <w:p>
            <w:pPr>
              <w:pStyle w:val="TableText"/>
            </w:pPr>
            <w:r/>
            <w:r>
              <w:rPr>
                <w:b w:val="0"/>
              </w:rPr>
              <w:t>Experiment logging</w:t>
            </w:r>
          </w:p>
        </w:tc>
      </w:tr>
      <w:tr>
        <w:tc>
          <w:tcPr>
            <w:tcW w:type="dxa" w:w="2160"/>
            <w:vAlign w:val="center"/>
          </w:tcPr>
          <w:p>
            <w:pPr>
              <w:pStyle w:val="TableText"/>
            </w:pPr>
            <w:r/>
            <w:r>
              <w:rPr>
                <w:b w:val="0"/>
              </w:rPr>
              <w:t>Dashboard</w:t>
            </w:r>
          </w:p>
        </w:tc>
        <w:tc>
          <w:tcPr>
            <w:tcW w:type="dxa" w:w="4320"/>
            <w:vAlign w:val="center"/>
          </w:tcPr>
          <w:p>
            <w:pPr>
              <w:pStyle w:val="TableText"/>
            </w:pPr>
            <w:r/>
            <w:r>
              <w:rPr>
                <w:b w:val="0"/>
              </w:rPr>
              <w:t>FastAPI + React/HTML or Streamlit</w:t>
            </w:r>
          </w:p>
        </w:tc>
        <w:tc>
          <w:tcPr>
            <w:tcW w:type="dxa" w:w="4320"/>
            <w:vAlign w:val="center"/>
          </w:tcPr>
          <w:p>
            <w:pPr>
              <w:pStyle w:val="TableText"/>
            </w:pPr>
            <w:r/>
            <w:r>
              <w:rPr>
                <w:b w:val="0"/>
              </w:rPr>
              <w:t>Visualization</w:t>
            </w:r>
          </w:p>
        </w:tc>
      </w:tr>
      <w:tr>
        <w:tc>
          <w:tcPr>
            <w:tcW w:type="dxa" w:w="2160"/>
            <w:vAlign w:val="center"/>
          </w:tcPr>
          <w:p>
            <w:pPr>
              <w:pStyle w:val="TableText"/>
            </w:pPr>
            <w:r/>
            <w:r>
              <w:rPr>
                <w:b w:val="0"/>
              </w:rPr>
              <w:t>Reproducibility</w:t>
            </w:r>
          </w:p>
        </w:tc>
        <w:tc>
          <w:tcPr>
            <w:tcW w:type="dxa" w:w="4320"/>
            <w:vAlign w:val="center"/>
          </w:tcPr>
          <w:p>
            <w:pPr>
              <w:pStyle w:val="TableText"/>
            </w:pPr>
            <w:r/>
            <w:r>
              <w:rPr>
                <w:b w:val="0"/>
              </w:rPr>
              <w:t>Git + Docker + configuration files</w:t>
            </w:r>
          </w:p>
        </w:tc>
        <w:tc>
          <w:tcPr>
            <w:tcW w:type="dxa" w:w="4320"/>
            <w:vAlign w:val="center"/>
          </w:tcPr>
          <w:p>
            <w:pPr>
              <w:pStyle w:val="TableText"/>
            </w:pPr>
            <w:r/>
            <w:r>
              <w:rPr>
                <w:b w:val="0"/>
              </w:rPr>
              <w:t>Repeatable experiments</w:t>
            </w:r>
          </w:p>
        </w:tc>
      </w:tr>
    </w:tbl>
    <w:p/>
    <w:p>
      <w:pPr>
        <w:pStyle w:val="Heading1"/>
      </w:pPr>
      <w:r>
        <w:t>16. Experimental Design</w:t>
      </w:r>
    </w:p>
    <w:p>
      <w:r>
        <w:t>The evaluation should demonstrate that the system is useful, not merely that it can display telemetry.</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AF7"/>
          </w:tcPr>
          <w:p>
            <w:pPr>
              <w:pStyle w:val="TableText"/>
            </w:pPr>
            <w:r/>
            <w:r>
              <w:rPr>
                <w:b/>
              </w:rPr>
              <w:t>Scenario</w:t>
            </w:r>
          </w:p>
        </w:tc>
        <w:tc>
          <w:tcPr>
            <w:tcW w:type="dxa" w:w="4464"/>
            <w:vAlign w:val="center"/>
            <w:shd w:fill="D9EAF7"/>
          </w:tcPr>
          <w:p>
            <w:pPr>
              <w:pStyle w:val="TableText"/>
            </w:pPr>
            <w:r/>
            <w:r>
              <w:rPr>
                <w:b/>
              </w:rPr>
              <w:t>Injected condition</w:t>
            </w:r>
          </w:p>
        </w:tc>
        <w:tc>
          <w:tcPr>
            <w:tcW w:type="dxa" w:w="4320"/>
            <w:vAlign w:val="center"/>
            <w:shd w:fill="D9EAF7"/>
          </w:tcPr>
          <w:p>
            <w:pPr>
              <w:pStyle w:val="TableText"/>
            </w:pPr>
            <w:r/>
            <w:r>
              <w:rPr>
                <w:b/>
              </w:rPr>
              <w:t>Research objective</w:t>
            </w:r>
          </w:p>
        </w:tc>
      </w:tr>
      <w:tr>
        <w:tc>
          <w:tcPr>
            <w:tcW w:type="dxa" w:w="2160"/>
            <w:vAlign w:val="center"/>
          </w:tcPr>
          <w:p>
            <w:pPr>
              <w:pStyle w:val="TableText"/>
            </w:pPr>
            <w:r/>
            <w:r>
              <w:rPr>
                <w:b w:val="0"/>
              </w:rPr>
              <w:t>S1 Normal</w:t>
            </w:r>
          </w:p>
        </w:tc>
        <w:tc>
          <w:tcPr>
            <w:tcW w:type="dxa" w:w="4464"/>
            <w:vAlign w:val="center"/>
          </w:tcPr>
          <w:p>
            <w:pPr>
              <w:pStyle w:val="TableText"/>
            </w:pPr>
            <w:r/>
            <w:r>
              <w:rPr>
                <w:b w:val="0"/>
              </w:rPr>
              <w:t>No violation</w:t>
            </w:r>
          </w:p>
        </w:tc>
        <w:tc>
          <w:tcPr>
            <w:tcW w:type="dxa" w:w="4320"/>
            <w:vAlign w:val="center"/>
          </w:tcPr>
          <w:p>
            <w:pPr>
              <w:pStyle w:val="TableText"/>
            </w:pPr>
            <w:r/>
            <w:r>
              <w:rPr>
                <w:b w:val="0"/>
              </w:rPr>
              <w:t>Baseline false alarm rate</w:t>
            </w:r>
          </w:p>
        </w:tc>
      </w:tr>
      <w:tr>
        <w:tc>
          <w:tcPr>
            <w:tcW w:type="dxa" w:w="2160"/>
            <w:vAlign w:val="center"/>
          </w:tcPr>
          <w:p>
            <w:pPr>
              <w:pStyle w:val="TableText"/>
            </w:pPr>
            <w:r/>
            <w:r>
              <w:rPr>
                <w:b w:val="0"/>
              </w:rPr>
              <w:t>S2 CPU contention</w:t>
            </w:r>
          </w:p>
        </w:tc>
        <w:tc>
          <w:tcPr>
            <w:tcW w:type="dxa" w:w="4464"/>
            <w:vAlign w:val="center"/>
          </w:tcPr>
          <w:p>
            <w:pPr>
              <w:pStyle w:val="TableText"/>
            </w:pPr>
            <w:r/>
            <w:r>
              <w:rPr>
                <w:b w:val="0"/>
              </w:rPr>
              <w:t>Non-critical workload increases CPU use</w:t>
            </w:r>
          </w:p>
        </w:tc>
        <w:tc>
          <w:tcPr>
            <w:tcW w:type="dxa" w:w="4320"/>
            <w:vAlign w:val="center"/>
          </w:tcPr>
          <w:p>
            <w:pPr>
              <w:pStyle w:val="TableText"/>
            </w:pPr>
            <w:r/>
            <w:r>
              <w:rPr>
                <w:b w:val="0"/>
              </w:rPr>
              <w:t>Detect margin erosion without unnecessary rollback</w:t>
            </w:r>
          </w:p>
        </w:tc>
      </w:tr>
      <w:tr>
        <w:tc>
          <w:tcPr>
            <w:tcW w:type="dxa" w:w="2160"/>
            <w:vAlign w:val="center"/>
          </w:tcPr>
          <w:p>
            <w:pPr>
              <w:pStyle w:val="TableText"/>
            </w:pPr>
            <w:r/>
            <w:r>
              <w:rPr>
                <w:b w:val="0"/>
              </w:rPr>
              <w:t>S3 Network congestion</w:t>
            </w:r>
          </w:p>
        </w:tc>
        <w:tc>
          <w:tcPr>
            <w:tcW w:type="dxa" w:w="4464"/>
            <w:vAlign w:val="center"/>
          </w:tcPr>
          <w:p>
            <w:pPr>
              <w:pStyle w:val="TableText"/>
            </w:pPr>
            <w:r/>
            <w:r>
              <w:rPr>
                <w:b w:val="0"/>
              </w:rPr>
              <w:t>CAN/CAN-FD/Ethernet traffic increases</w:t>
            </w:r>
          </w:p>
        </w:tc>
        <w:tc>
          <w:tcPr>
            <w:tcW w:type="dxa" w:w="4320"/>
            <w:vAlign w:val="center"/>
          </w:tcPr>
          <w:p>
            <w:pPr>
              <w:pStyle w:val="TableText"/>
            </w:pPr>
            <w:r/>
            <w:r>
              <w:rPr>
                <w:b w:val="0"/>
              </w:rPr>
              <w:t>Detect communication/timing risk</w:t>
            </w:r>
          </w:p>
        </w:tc>
      </w:tr>
      <w:tr>
        <w:tc>
          <w:tcPr>
            <w:tcW w:type="dxa" w:w="2160"/>
            <w:vAlign w:val="center"/>
          </w:tcPr>
          <w:p>
            <w:pPr>
              <w:pStyle w:val="TableText"/>
            </w:pPr>
            <w:r/>
            <w:r>
              <w:rPr>
                <w:b w:val="0"/>
              </w:rPr>
              <w:t>S4 Timing degradation</w:t>
            </w:r>
          </w:p>
        </w:tc>
        <w:tc>
          <w:tcPr>
            <w:tcW w:type="dxa" w:w="4464"/>
            <w:vAlign w:val="center"/>
          </w:tcPr>
          <w:p>
            <w:pPr>
              <w:pStyle w:val="TableText"/>
            </w:pPr>
            <w:r/>
            <w:r>
              <w:rPr>
                <w:b w:val="0"/>
              </w:rPr>
              <w:t>Task jitter/WCET rises</w:t>
            </w:r>
          </w:p>
        </w:tc>
        <w:tc>
          <w:tcPr>
            <w:tcW w:type="dxa" w:w="4320"/>
            <w:vAlign w:val="center"/>
          </w:tcPr>
          <w:p>
            <w:pPr>
              <w:pStyle w:val="TableText"/>
            </w:pPr>
            <w:r/>
            <w:r>
              <w:rPr>
                <w:b w:val="0"/>
              </w:rPr>
              <w:t>Detect/predict deadline risk</w:t>
            </w:r>
          </w:p>
        </w:tc>
      </w:tr>
      <w:tr>
        <w:tc>
          <w:tcPr>
            <w:tcW w:type="dxa" w:w="2160"/>
            <w:vAlign w:val="center"/>
          </w:tcPr>
          <w:p>
            <w:pPr>
              <w:pStyle w:val="TableText"/>
            </w:pPr>
            <w:r/>
            <w:r>
              <w:rPr>
                <w:b w:val="0"/>
              </w:rPr>
              <w:t>S5 Thermal stress</w:t>
            </w:r>
          </w:p>
        </w:tc>
        <w:tc>
          <w:tcPr>
            <w:tcW w:type="dxa" w:w="4464"/>
            <w:vAlign w:val="center"/>
          </w:tcPr>
          <w:p>
            <w:pPr>
              <w:pStyle w:val="TableText"/>
            </w:pPr>
            <w:r/>
            <w:r>
              <w:rPr>
                <w:b w:val="0"/>
              </w:rPr>
              <w:t>Temperature increases</w:t>
            </w:r>
          </w:p>
        </w:tc>
        <w:tc>
          <w:tcPr>
            <w:tcW w:type="dxa" w:w="4320"/>
            <w:vAlign w:val="center"/>
          </w:tcPr>
          <w:p>
            <w:pPr>
              <w:pStyle w:val="TableText"/>
            </w:pPr>
            <w:r/>
            <w:r>
              <w:rPr>
                <w:b w:val="0"/>
              </w:rPr>
              <w:t>Evaluate context-aware assurance</w:t>
            </w:r>
          </w:p>
        </w:tc>
      </w:tr>
      <w:tr>
        <w:tc>
          <w:tcPr>
            <w:tcW w:type="dxa" w:w="2160"/>
            <w:vAlign w:val="center"/>
          </w:tcPr>
          <w:p>
            <w:pPr>
              <w:pStyle w:val="TableText"/>
            </w:pPr>
            <w:r/>
            <w:r>
              <w:rPr>
                <w:b w:val="0"/>
              </w:rPr>
              <w:t>S6 ADAS workload surge</w:t>
            </w:r>
          </w:p>
        </w:tc>
        <w:tc>
          <w:tcPr>
            <w:tcW w:type="dxa" w:w="4464"/>
            <w:vAlign w:val="center"/>
          </w:tcPr>
          <w:p>
            <w:pPr>
              <w:pStyle w:val="TableText"/>
            </w:pPr>
            <w:r/>
            <w:r>
              <w:rPr>
                <w:b w:val="0"/>
              </w:rPr>
              <w:t>Functional workload increases</w:t>
            </w:r>
          </w:p>
        </w:tc>
        <w:tc>
          <w:tcPr>
            <w:tcW w:type="dxa" w:w="4320"/>
            <w:vAlign w:val="center"/>
          </w:tcPr>
          <w:p>
            <w:pPr>
              <w:pStyle w:val="TableText"/>
            </w:pPr>
            <w:r/>
            <w:r>
              <w:rPr>
                <w:b w:val="0"/>
              </w:rPr>
              <w:t>Evaluate dynamic safety margin</w:t>
            </w:r>
          </w:p>
        </w:tc>
      </w:tr>
      <w:tr>
        <w:tc>
          <w:tcPr>
            <w:tcW w:type="dxa" w:w="2160"/>
            <w:vAlign w:val="center"/>
          </w:tcPr>
          <w:p>
            <w:pPr>
              <w:pStyle w:val="TableText"/>
            </w:pPr>
            <w:r/>
            <w:r>
              <w:rPr>
                <w:b w:val="0"/>
              </w:rPr>
              <w:t>S7 Combined stress</w:t>
            </w:r>
          </w:p>
        </w:tc>
        <w:tc>
          <w:tcPr>
            <w:tcW w:type="dxa" w:w="4464"/>
            <w:vAlign w:val="center"/>
          </w:tcPr>
          <w:p>
            <w:pPr>
              <w:pStyle w:val="TableText"/>
            </w:pPr>
            <w:r/>
            <w:r>
              <w:rPr>
                <w:b w:val="0"/>
              </w:rPr>
              <w:t>Multiple conditions simultaneously</w:t>
            </w:r>
          </w:p>
        </w:tc>
        <w:tc>
          <w:tcPr>
            <w:tcW w:type="dxa" w:w="4320"/>
            <w:vAlign w:val="center"/>
          </w:tcPr>
          <w:p>
            <w:pPr>
              <w:pStyle w:val="TableText"/>
            </w:pPr>
            <w:r/>
            <w:r>
              <w:rPr>
                <w:b w:val="0"/>
              </w:rPr>
              <w:t>Test system robustness</w:t>
            </w:r>
          </w:p>
        </w:tc>
      </w:tr>
      <w:tr>
        <w:tc>
          <w:tcPr>
            <w:tcW w:type="dxa" w:w="2160"/>
            <w:vAlign w:val="center"/>
          </w:tcPr>
          <w:p>
            <w:pPr>
              <w:pStyle w:val="TableText"/>
            </w:pPr>
            <w:r/>
            <w:r>
              <w:rPr>
                <w:b w:val="0"/>
              </w:rPr>
              <w:t>S8 Benign anomaly</w:t>
            </w:r>
          </w:p>
        </w:tc>
        <w:tc>
          <w:tcPr>
            <w:tcW w:type="dxa" w:w="4464"/>
            <w:vAlign w:val="center"/>
          </w:tcPr>
          <w:p>
            <w:pPr>
              <w:pStyle w:val="TableText"/>
            </w:pPr>
            <w:r/>
            <w:r>
              <w:rPr>
                <w:b w:val="0"/>
              </w:rPr>
              <w:t>Large but safe telemetry change</w:t>
            </w:r>
          </w:p>
        </w:tc>
        <w:tc>
          <w:tcPr>
            <w:tcW w:type="dxa" w:w="4320"/>
            <w:vAlign w:val="center"/>
          </w:tcPr>
          <w:p>
            <w:pPr>
              <w:pStyle w:val="TableText"/>
            </w:pPr>
            <w:r/>
            <w:r>
              <w:rPr>
                <w:b w:val="0"/>
              </w:rPr>
              <w:t>Measure false positives</w:t>
            </w:r>
          </w:p>
        </w:tc>
      </w:tr>
      <w:tr>
        <w:tc>
          <w:tcPr>
            <w:tcW w:type="dxa" w:w="2160"/>
            <w:vAlign w:val="center"/>
          </w:tcPr>
          <w:p>
            <w:pPr>
              <w:pStyle w:val="TableText"/>
            </w:pPr>
            <w:r/>
            <w:r>
              <w:rPr>
                <w:b w:val="0"/>
              </w:rPr>
              <w:t>S9 Persistent critical violation</w:t>
            </w:r>
          </w:p>
        </w:tc>
        <w:tc>
          <w:tcPr>
            <w:tcW w:type="dxa" w:w="4464"/>
            <w:vAlign w:val="center"/>
          </w:tcPr>
          <w:p>
            <w:pPr>
              <w:pStyle w:val="TableText"/>
            </w:pPr>
            <w:r/>
            <w:r>
              <w:rPr>
                <w:b w:val="0"/>
              </w:rPr>
              <w:t>Critical bound exceeded</w:t>
            </w:r>
          </w:p>
        </w:tc>
        <w:tc>
          <w:tcPr>
            <w:tcW w:type="dxa" w:w="4320"/>
            <w:vAlign w:val="center"/>
          </w:tcPr>
          <w:p>
            <w:pPr>
              <w:pStyle w:val="TableText"/>
            </w:pPr>
            <w:r/>
            <w:r>
              <w:rPr>
                <w:b w:val="0"/>
              </w:rPr>
              <w:t>Evaluate safe response</w:t>
            </w:r>
          </w:p>
        </w:tc>
      </w:tr>
      <w:tr>
        <w:tc>
          <w:tcPr>
            <w:tcW w:type="dxa" w:w="2160"/>
            <w:vAlign w:val="center"/>
          </w:tcPr>
          <w:p>
            <w:pPr>
              <w:pStyle w:val="TableText"/>
            </w:pPr>
            <w:r/>
            <w:r>
              <w:rPr>
                <w:b w:val="0"/>
              </w:rPr>
              <w:t>S10 OTA campaign pattern</w:t>
            </w:r>
          </w:p>
        </w:tc>
        <w:tc>
          <w:tcPr>
            <w:tcW w:type="dxa" w:w="4464"/>
            <w:vAlign w:val="center"/>
          </w:tcPr>
          <w:p>
            <w:pPr>
              <w:pStyle w:val="TableText"/>
            </w:pPr>
            <w:r/>
            <w:r>
              <w:rPr>
                <w:b w:val="0"/>
              </w:rPr>
              <w:t>Same software + context issue across many simulated vehicles</w:t>
            </w:r>
          </w:p>
        </w:tc>
        <w:tc>
          <w:tcPr>
            <w:tcW w:type="dxa" w:w="4320"/>
            <w:vAlign w:val="center"/>
          </w:tcPr>
          <w:p>
            <w:pPr>
              <w:pStyle w:val="TableText"/>
            </w:pPr>
            <w:r/>
            <w:r>
              <w:rPr>
                <w:b w:val="0"/>
              </w:rPr>
              <w:t>Test fleet feedback/campaign hold</w:t>
            </w:r>
          </w:p>
        </w:tc>
      </w:tr>
    </w:tbl>
    <w:p/>
    <w:p>
      <w:pPr>
        <w:pStyle w:val="Heading1"/>
      </w:pPr>
      <w:r>
        <w:t>17. Evaluation Metrics</w:t>
      </w:r>
    </w:p>
    <w:tbl>
      <w:tblPr>
        <w:tblStyle w:val="TableGrid"/>
        <w:tblW w:type="auto" w:w="0"/>
        <w:jc w:val="center"/>
        <w:tblLook w:firstColumn="1" w:firstRow="1" w:lastColumn="0" w:lastRow="0" w:noHBand="0" w:noVBand="1" w:val="04A0"/>
      </w:tblPr>
      <w:tblGrid>
        <w:gridCol w:w="5112"/>
        <w:gridCol w:w="5112"/>
      </w:tblGrid>
      <w:tr>
        <w:tc>
          <w:tcPr>
            <w:tcW w:type="dxa" w:w="3024"/>
            <w:vAlign w:val="center"/>
            <w:shd w:fill="D9EAF7"/>
          </w:tcPr>
          <w:p>
            <w:pPr>
              <w:pStyle w:val="TableText"/>
            </w:pPr>
            <w:r/>
            <w:r>
              <w:rPr>
                <w:b/>
              </w:rPr>
              <w:t>Metric</w:t>
            </w:r>
          </w:p>
        </w:tc>
        <w:tc>
          <w:tcPr>
            <w:tcW w:type="dxa" w:w="7776"/>
            <w:vAlign w:val="center"/>
            <w:shd w:fill="D9EAF7"/>
          </w:tcPr>
          <w:p>
            <w:pPr>
              <w:pStyle w:val="TableText"/>
            </w:pPr>
            <w:r/>
            <w:r>
              <w:rPr>
                <w:b/>
              </w:rPr>
              <w:t>Definition / purpose</w:t>
            </w:r>
          </w:p>
        </w:tc>
      </w:tr>
      <w:tr>
        <w:tc>
          <w:tcPr>
            <w:tcW w:type="dxa" w:w="3024"/>
            <w:vAlign w:val="center"/>
          </w:tcPr>
          <w:p>
            <w:pPr>
              <w:pStyle w:val="TableText"/>
            </w:pPr>
            <w:r/>
            <w:r>
              <w:rPr>
                <w:b w:val="0"/>
              </w:rPr>
              <w:t>Detection accuracy</w:t>
            </w:r>
          </w:p>
        </w:tc>
        <w:tc>
          <w:tcPr>
            <w:tcW w:type="dxa" w:w="7776"/>
            <w:vAlign w:val="center"/>
          </w:tcPr>
          <w:p>
            <w:pPr>
              <w:pStyle w:val="TableText"/>
            </w:pPr>
            <w:r/>
            <w:r>
              <w:rPr>
                <w:b w:val="0"/>
              </w:rPr>
              <w:t>Correct identification of envelope violations.</w:t>
            </w:r>
          </w:p>
        </w:tc>
      </w:tr>
      <w:tr>
        <w:tc>
          <w:tcPr>
            <w:tcW w:type="dxa" w:w="3024"/>
            <w:vAlign w:val="center"/>
          </w:tcPr>
          <w:p>
            <w:pPr>
              <w:pStyle w:val="TableText"/>
            </w:pPr>
            <w:r/>
            <w:r>
              <w:rPr>
                <w:b w:val="0"/>
              </w:rPr>
              <w:t>Prediction lead time</w:t>
            </w:r>
          </w:p>
        </w:tc>
        <w:tc>
          <w:tcPr>
            <w:tcW w:type="dxa" w:w="7776"/>
            <w:vAlign w:val="center"/>
          </w:tcPr>
          <w:p>
            <w:pPr>
              <w:pStyle w:val="TableText"/>
            </w:pPr>
            <w:r/>
            <w:r>
              <w:rPr>
                <w:b w:val="0"/>
              </w:rPr>
              <w:t>Time between warning and actual violation.</w:t>
            </w:r>
          </w:p>
        </w:tc>
      </w:tr>
      <w:tr>
        <w:tc>
          <w:tcPr>
            <w:tcW w:type="dxa" w:w="3024"/>
            <w:vAlign w:val="center"/>
          </w:tcPr>
          <w:p>
            <w:pPr>
              <w:pStyle w:val="TableText"/>
            </w:pPr>
            <w:r/>
            <w:r>
              <w:rPr>
                <w:b w:val="0"/>
              </w:rPr>
              <w:t>False-positive rate</w:t>
            </w:r>
          </w:p>
        </w:tc>
        <w:tc>
          <w:tcPr>
            <w:tcW w:type="dxa" w:w="7776"/>
            <w:vAlign w:val="center"/>
          </w:tcPr>
          <w:p>
            <w:pPr>
              <w:pStyle w:val="TableText"/>
            </w:pPr>
            <w:r/>
            <w:r>
              <w:rPr>
                <w:b w:val="0"/>
              </w:rPr>
              <w:t>Safe conditions incorrectly classified as unsafe/degraded.</w:t>
            </w:r>
          </w:p>
        </w:tc>
      </w:tr>
      <w:tr>
        <w:tc>
          <w:tcPr>
            <w:tcW w:type="dxa" w:w="3024"/>
            <w:vAlign w:val="center"/>
          </w:tcPr>
          <w:p>
            <w:pPr>
              <w:pStyle w:val="TableText"/>
            </w:pPr>
            <w:r/>
            <w:r>
              <w:rPr>
                <w:b w:val="0"/>
              </w:rPr>
              <w:t>False-negative rate</w:t>
            </w:r>
          </w:p>
        </w:tc>
        <w:tc>
          <w:tcPr>
            <w:tcW w:type="dxa" w:w="7776"/>
            <w:vAlign w:val="center"/>
          </w:tcPr>
          <w:p>
            <w:pPr>
              <w:pStyle w:val="TableText"/>
            </w:pPr>
            <w:r/>
            <w:r>
              <w:rPr>
                <w:b w:val="0"/>
              </w:rPr>
              <w:t>Unsafe conditions missed by the system.</w:t>
            </w:r>
          </w:p>
        </w:tc>
      </w:tr>
      <w:tr>
        <w:tc>
          <w:tcPr>
            <w:tcW w:type="dxa" w:w="3024"/>
            <w:vAlign w:val="center"/>
          </w:tcPr>
          <w:p>
            <w:pPr>
              <w:pStyle w:val="TableText"/>
            </w:pPr>
            <w:r/>
            <w:r>
              <w:rPr>
                <w:b w:val="0"/>
              </w:rPr>
              <w:t>Localization of violated constraint</w:t>
            </w:r>
          </w:p>
        </w:tc>
        <w:tc>
          <w:tcPr>
            <w:tcW w:type="dxa" w:w="7776"/>
            <w:vAlign w:val="center"/>
          </w:tcPr>
          <w:p>
            <w:pPr>
              <w:pStyle w:val="TableText"/>
            </w:pPr>
            <w:r/>
            <w:r>
              <w:rPr>
                <w:b w:val="0"/>
              </w:rPr>
              <w:t>Ability to identify which safety/timing envelope element is threatened.</w:t>
            </w:r>
          </w:p>
        </w:tc>
      </w:tr>
      <w:tr>
        <w:tc>
          <w:tcPr>
            <w:tcW w:type="dxa" w:w="3024"/>
            <w:vAlign w:val="center"/>
          </w:tcPr>
          <w:p>
            <w:pPr>
              <w:pStyle w:val="TableText"/>
            </w:pPr>
            <w:r/>
            <w:r>
              <w:rPr>
                <w:b w:val="0"/>
              </w:rPr>
              <w:t>Response latency</w:t>
            </w:r>
          </w:p>
        </w:tc>
        <w:tc>
          <w:tcPr>
            <w:tcW w:type="dxa" w:w="7776"/>
            <w:vAlign w:val="center"/>
          </w:tcPr>
          <w:p>
            <w:pPr>
              <w:pStyle w:val="TableText"/>
            </w:pPr>
            <w:r/>
            <w:r>
              <w:rPr>
                <w:b w:val="0"/>
              </w:rPr>
              <w:t>Time from evidence threshold to response decision.</w:t>
            </w:r>
          </w:p>
        </w:tc>
      </w:tr>
      <w:tr>
        <w:tc>
          <w:tcPr>
            <w:tcW w:type="dxa" w:w="3024"/>
            <w:vAlign w:val="center"/>
          </w:tcPr>
          <w:p>
            <w:pPr>
              <w:pStyle w:val="TableText"/>
            </w:pPr>
            <w:r/>
            <w:r>
              <w:rPr>
                <w:b w:val="0"/>
              </w:rPr>
              <w:t>Safety restoration rate</w:t>
            </w:r>
          </w:p>
        </w:tc>
        <w:tc>
          <w:tcPr>
            <w:tcW w:type="dxa" w:w="7776"/>
            <w:vAlign w:val="center"/>
          </w:tcPr>
          <w:p>
            <w:pPr>
              <w:pStyle w:val="TableText"/>
            </w:pPr>
            <w:r/>
            <w:r>
              <w:rPr>
                <w:b w:val="0"/>
              </w:rPr>
              <w:t>Fraction of critical scenarios returned to a safe state.</w:t>
            </w:r>
          </w:p>
        </w:tc>
      </w:tr>
      <w:tr>
        <w:tc>
          <w:tcPr>
            <w:tcW w:type="dxa" w:w="3024"/>
            <w:vAlign w:val="center"/>
          </w:tcPr>
          <w:p>
            <w:pPr>
              <w:pStyle w:val="TableText"/>
            </w:pPr>
            <w:r/>
            <w:r>
              <w:rPr>
                <w:b w:val="0"/>
              </w:rPr>
              <w:t>Unnecessary rollback rate</w:t>
            </w:r>
          </w:p>
        </w:tc>
        <w:tc>
          <w:tcPr>
            <w:tcW w:type="dxa" w:w="7776"/>
            <w:vAlign w:val="center"/>
          </w:tcPr>
          <w:p>
            <w:pPr>
              <w:pStyle w:val="TableText"/>
            </w:pPr>
            <w:r/>
            <w:r>
              <w:rPr>
                <w:b w:val="0"/>
              </w:rPr>
              <w:t>Cases where rollback was triggered although a less disruptive safe action was sufficient.</w:t>
            </w:r>
          </w:p>
        </w:tc>
      </w:tr>
      <w:tr>
        <w:tc>
          <w:tcPr>
            <w:tcW w:type="dxa" w:w="3024"/>
            <w:vAlign w:val="center"/>
          </w:tcPr>
          <w:p>
            <w:pPr>
              <w:pStyle w:val="TableText"/>
            </w:pPr>
            <w:r/>
            <w:r>
              <w:rPr>
                <w:b w:val="0"/>
              </w:rPr>
              <w:t>Runtime overhead</w:t>
            </w:r>
          </w:p>
        </w:tc>
        <w:tc>
          <w:tcPr>
            <w:tcW w:type="dxa" w:w="7776"/>
            <w:vAlign w:val="center"/>
          </w:tcPr>
          <w:p>
            <w:pPr>
              <w:pStyle w:val="TableText"/>
            </w:pPr>
            <w:r/>
            <w:r>
              <w:rPr>
                <w:b w:val="0"/>
              </w:rPr>
              <w:t>CPU, memory and network overhead added by RAVEN.</w:t>
            </w:r>
          </w:p>
        </w:tc>
      </w:tr>
      <w:tr>
        <w:tc>
          <w:tcPr>
            <w:tcW w:type="dxa" w:w="3024"/>
            <w:vAlign w:val="center"/>
          </w:tcPr>
          <w:p>
            <w:pPr>
              <w:pStyle w:val="TableText"/>
            </w:pPr>
            <w:r/>
            <w:r>
              <w:rPr>
                <w:b w:val="0"/>
              </w:rPr>
              <w:t>Availability</w:t>
            </w:r>
          </w:p>
        </w:tc>
        <w:tc>
          <w:tcPr>
            <w:tcW w:type="dxa" w:w="7776"/>
            <w:vAlign w:val="center"/>
          </w:tcPr>
          <w:p>
            <w:pPr>
              <w:pStyle w:val="TableText"/>
            </w:pPr>
            <w:r/>
            <w:r>
              <w:rPr>
                <w:b w:val="0"/>
              </w:rPr>
              <w:t>Vehicle time retained in usable/safe operation.</w:t>
            </w:r>
          </w:p>
        </w:tc>
      </w:tr>
      <w:tr>
        <w:tc>
          <w:tcPr>
            <w:tcW w:type="dxa" w:w="3024"/>
            <w:vAlign w:val="center"/>
          </w:tcPr>
          <w:p>
            <w:pPr>
              <w:pStyle w:val="TableText"/>
            </w:pPr>
            <w:r/>
            <w:r>
              <w:rPr>
                <w:b w:val="0"/>
              </w:rPr>
              <w:t>Reproducibility</w:t>
            </w:r>
          </w:p>
        </w:tc>
        <w:tc>
          <w:tcPr>
            <w:tcW w:type="dxa" w:w="7776"/>
            <w:vAlign w:val="center"/>
          </w:tcPr>
          <w:p>
            <w:pPr>
              <w:pStyle w:val="TableText"/>
            </w:pPr>
            <w:r/>
            <w:r>
              <w:rPr>
                <w:b w:val="0"/>
              </w:rPr>
              <w:t>Whether identical scenarios produce consistent decisions.</w:t>
            </w:r>
          </w:p>
        </w:tc>
      </w:tr>
    </w:tbl>
    <w:p/>
    <w:p>
      <w:pPr>
        <w:pStyle w:val="Heading1"/>
      </w:pPr>
      <w:r>
        <w:t>18. Baselines and Ablation Study</w:t>
      </w:r>
    </w:p>
    <w:p>
      <w:pPr>
        <w:pStyle w:val="ListBullet"/>
        <w:spacing w:after="40"/>
      </w:pPr>
      <w:r>
        <w:t>Baseline A: static pre-deployment verification only.</w:t>
      </w:r>
    </w:p>
    <w:p>
      <w:pPr>
        <w:pStyle w:val="ListBullet"/>
        <w:spacing w:after="40"/>
      </w:pPr>
      <w:r>
        <w:t>Baseline B: fixed threshold monitoring.</w:t>
      </w:r>
    </w:p>
    <w:p>
      <w:pPr>
        <w:pStyle w:val="ListBullet"/>
        <w:spacing w:after="40"/>
      </w:pPr>
      <w:r>
        <w:t>Baseline C: generic anomaly detector without verified-envelope information.</w:t>
      </w:r>
    </w:p>
    <w:p>
      <w:pPr>
        <w:pStyle w:val="ListBullet"/>
        <w:spacing w:after="40"/>
      </w:pPr>
      <w:r>
        <w:t>Baseline D: monitoring + immediate rollback on critical anomaly.</w:t>
      </w:r>
    </w:p>
    <w:p>
      <w:pPr>
        <w:pStyle w:val="ListBullet"/>
        <w:spacing w:after="40"/>
      </w:pPr>
      <w:r>
        <w:t>Proposed: RAVEN with verified Runtime Safety Envelope + context + prediction + graduated response.</w:t>
      </w:r>
    </w:p>
    <w:p>
      <w:pPr>
        <w:pStyle w:val="ListBullet"/>
        <w:spacing w:after="40"/>
      </w:pPr>
      <w:r>
        <w:t>Ablation 1: remove prediction.</w:t>
      </w:r>
    </w:p>
    <w:p>
      <w:pPr>
        <w:pStyle w:val="ListBullet"/>
        <w:spacing w:after="40"/>
      </w:pPr>
      <w:r>
        <w:t>Ablation 2: remove context.</w:t>
      </w:r>
    </w:p>
    <w:p>
      <w:pPr>
        <w:pStyle w:val="ListBullet"/>
        <w:spacing w:after="40"/>
      </w:pPr>
      <w:r>
        <w:t>Ablation 3: remove timing information.</w:t>
      </w:r>
    </w:p>
    <w:p>
      <w:pPr>
        <w:pStyle w:val="ListBullet"/>
        <w:spacing w:after="40"/>
      </w:pPr>
      <w:r>
        <w:t>Ablation 4: remove verified-envelope linkage.</w:t>
      </w:r>
    </w:p>
    <w:p>
      <w:r>
        <w:t>The ablation study is important because it demonstrates which part of RAVEN actually contributes to performance. Without ablation, reviewers may argue that the system is simply a conventional anomaly detector.</w:t>
      </w:r>
    </w:p>
    <w:p>
      <w:pPr>
        <w:pStyle w:val="Heading1"/>
      </w:pPr>
      <w:r>
        <w:t>19. Expected Benefits: Safety, Money, Operations</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D9EAF7"/>
          </w:tcPr>
          <w:p>
            <w:pPr>
              <w:pStyle w:val="TableText"/>
            </w:pPr>
            <w:r/>
            <w:r>
              <w:rPr>
                <w:b/>
              </w:rPr>
              <w:t>Stakeholder</w:t>
            </w:r>
          </w:p>
        </w:tc>
        <w:tc>
          <w:tcPr>
            <w:tcW w:type="dxa" w:w="3744"/>
            <w:vAlign w:val="center"/>
            <w:shd w:fill="D9EAF7"/>
          </w:tcPr>
          <w:p>
            <w:pPr>
              <w:pStyle w:val="TableText"/>
            </w:pPr>
            <w:r/>
            <w:r>
              <w:rPr>
                <w:b/>
              </w:rPr>
              <w:t>Potential benefit</w:t>
            </w:r>
          </w:p>
        </w:tc>
        <w:tc>
          <w:tcPr>
            <w:tcW w:type="dxa" w:w="5184"/>
            <w:vAlign w:val="center"/>
            <w:shd w:fill="D9EAF7"/>
          </w:tcPr>
          <w:p>
            <w:pPr>
              <w:pStyle w:val="TableText"/>
            </w:pPr>
            <w:r/>
            <w:r>
              <w:rPr>
                <w:b/>
              </w:rPr>
              <w:t>How benefit is created</w:t>
            </w:r>
          </w:p>
        </w:tc>
      </w:tr>
      <w:tr>
        <w:tc>
          <w:tcPr>
            <w:tcW w:type="dxa" w:w="1872"/>
            <w:vAlign w:val="center"/>
          </w:tcPr>
          <w:p>
            <w:pPr>
              <w:pStyle w:val="TableText"/>
            </w:pPr>
            <w:r/>
            <w:r>
              <w:rPr>
                <w:b w:val="0"/>
              </w:rPr>
              <w:t>Vehicle occupants</w:t>
            </w:r>
          </w:p>
        </w:tc>
        <w:tc>
          <w:tcPr>
            <w:tcW w:type="dxa" w:w="3744"/>
            <w:vAlign w:val="center"/>
          </w:tcPr>
          <w:p>
            <w:pPr>
              <w:pStyle w:val="TableText"/>
            </w:pPr>
            <w:r/>
            <w:r>
              <w:rPr>
                <w:b w:val="0"/>
              </w:rPr>
              <w:t>Reduced exposure to software-induced safety degradation</w:t>
            </w:r>
          </w:p>
        </w:tc>
        <w:tc>
          <w:tcPr>
            <w:tcW w:type="dxa" w:w="5184"/>
            <w:vAlign w:val="center"/>
          </w:tcPr>
          <w:p>
            <w:pPr>
              <w:pStyle w:val="TableText"/>
            </w:pPr>
            <w:r/>
            <w:r>
              <w:rPr>
                <w:b w:val="0"/>
              </w:rPr>
              <w:t>Earlier detection/prediction of safety-envelope erosion and controlled safe response.</w:t>
            </w:r>
          </w:p>
        </w:tc>
      </w:tr>
      <w:tr>
        <w:tc>
          <w:tcPr>
            <w:tcW w:type="dxa" w:w="1872"/>
            <w:vAlign w:val="center"/>
          </w:tcPr>
          <w:p>
            <w:pPr>
              <w:pStyle w:val="TableText"/>
            </w:pPr>
            <w:r/>
            <w:r>
              <w:rPr>
                <w:b w:val="0"/>
              </w:rPr>
              <w:t>OEM</w:t>
            </w:r>
          </w:p>
        </w:tc>
        <w:tc>
          <w:tcPr>
            <w:tcW w:type="dxa" w:w="3744"/>
            <w:vAlign w:val="center"/>
          </w:tcPr>
          <w:p>
            <w:pPr>
              <w:pStyle w:val="TableText"/>
            </w:pPr>
            <w:r/>
            <w:r>
              <w:rPr>
                <w:b w:val="0"/>
              </w:rPr>
              <w:t>Lower software campaign risk and faster diagnosis</w:t>
            </w:r>
          </w:p>
        </w:tc>
        <w:tc>
          <w:tcPr>
            <w:tcW w:type="dxa" w:w="5184"/>
            <w:vAlign w:val="center"/>
          </w:tcPr>
          <w:p>
            <w:pPr>
              <w:pStyle w:val="TableText"/>
            </w:pPr>
            <w:r/>
            <w:r>
              <w:rPr>
                <w:b w:val="0"/>
              </w:rPr>
              <w:t>Runtime evidence connects software version, vehicle context and violated safety margin.</w:t>
            </w:r>
          </w:p>
        </w:tc>
      </w:tr>
      <w:tr>
        <w:tc>
          <w:tcPr>
            <w:tcW w:type="dxa" w:w="1872"/>
            <w:vAlign w:val="center"/>
          </w:tcPr>
          <w:p>
            <w:pPr>
              <w:pStyle w:val="TableText"/>
            </w:pPr>
            <w:r/>
            <w:r>
              <w:rPr>
                <w:b w:val="0"/>
              </w:rPr>
              <w:t>OTA operations team</w:t>
            </w:r>
          </w:p>
        </w:tc>
        <w:tc>
          <w:tcPr>
            <w:tcW w:type="dxa" w:w="3744"/>
            <w:vAlign w:val="center"/>
          </w:tcPr>
          <w:p>
            <w:pPr>
              <w:pStyle w:val="TableText"/>
            </w:pPr>
            <w:r/>
            <w:r>
              <w:rPr>
                <w:b w:val="0"/>
              </w:rPr>
              <w:t>Better campaign control</w:t>
            </w:r>
          </w:p>
        </w:tc>
        <w:tc>
          <w:tcPr>
            <w:tcW w:type="dxa" w:w="5184"/>
            <w:vAlign w:val="center"/>
          </w:tcPr>
          <w:p>
            <w:pPr>
              <w:pStyle w:val="TableText"/>
            </w:pPr>
            <w:r/>
            <w:r>
              <w:rPr>
                <w:b w:val="0"/>
              </w:rPr>
              <w:t>Fleet-level aggregation can identify repeated update/context patterns.</w:t>
            </w:r>
          </w:p>
        </w:tc>
      </w:tr>
      <w:tr>
        <w:tc>
          <w:tcPr>
            <w:tcW w:type="dxa" w:w="1872"/>
            <w:vAlign w:val="center"/>
          </w:tcPr>
          <w:p>
            <w:pPr>
              <w:pStyle w:val="TableText"/>
            </w:pPr>
            <w:r/>
            <w:r>
              <w:rPr>
                <w:b w:val="0"/>
              </w:rPr>
              <w:t>Functional safety team</w:t>
            </w:r>
          </w:p>
        </w:tc>
        <w:tc>
          <w:tcPr>
            <w:tcW w:type="dxa" w:w="3744"/>
            <w:vAlign w:val="center"/>
          </w:tcPr>
          <w:p>
            <w:pPr>
              <w:pStyle w:val="TableText"/>
            </w:pPr>
            <w:r/>
            <w:r>
              <w:rPr>
                <w:b w:val="0"/>
              </w:rPr>
              <w:t>Traceable post-deployment assurance evidence</w:t>
            </w:r>
          </w:p>
        </w:tc>
        <w:tc>
          <w:tcPr>
            <w:tcW w:type="dxa" w:w="5184"/>
            <w:vAlign w:val="center"/>
          </w:tcPr>
          <w:p>
            <w:pPr>
              <w:pStyle w:val="TableText"/>
            </w:pPr>
            <w:r/>
            <w:r>
              <w:rPr>
                <w:b w:val="0"/>
              </w:rPr>
              <w:t>Runtime evidence can be tied back to verified assumptions and requirements.</w:t>
            </w:r>
          </w:p>
        </w:tc>
      </w:tr>
      <w:tr>
        <w:tc>
          <w:tcPr>
            <w:tcW w:type="dxa" w:w="1872"/>
            <w:vAlign w:val="center"/>
          </w:tcPr>
          <w:p>
            <w:pPr>
              <w:pStyle w:val="TableText"/>
            </w:pPr>
            <w:r/>
            <w:r>
              <w:rPr>
                <w:b w:val="0"/>
              </w:rPr>
              <w:t>Service organization</w:t>
            </w:r>
          </w:p>
        </w:tc>
        <w:tc>
          <w:tcPr>
            <w:tcW w:type="dxa" w:w="3744"/>
            <w:vAlign w:val="center"/>
          </w:tcPr>
          <w:p>
            <w:pPr>
              <w:pStyle w:val="TableText"/>
            </w:pPr>
            <w:r/>
            <w:r>
              <w:rPr>
                <w:b w:val="0"/>
              </w:rPr>
              <w:t>Fewer unnecessary workshop visits for software issues</w:t>
            </w:r>
          </w:p>
        </w:tc>
        <w:tc>
          <w:tcPr>
            <w:tcW w:type="dxa" w:w="5184"/>
            <w:vAlign w:val="center"/>
          </w:tcPr>
          <w:p>
            <w:pPr>
              <w:pStyle w:val="TableText"/>
            </w:pPr>
            <w:r/>
            <w:r>
              <w:rPr>
                <w:b w:val="0"/>
              </w:rPr>
              <w:t>Remote software assurance and targeted response can reduce avoidable physical intervention.</w:t>
            </w:r>
          </w:p>
        </w:tc>
      </w:tr>
      <w:tr>
        <w:tc>
          <w:tcPr>
            <w:tcW w:type="dxa" w:w="1872"/>
            <w:vAlign w:val="center"/>
          </w:tcPr>
          <w:p>
            <w:pPr>
              <w:pStyle w:val="TableText"/>
            </w:pPr>
            <w:r/>
            <w:r>
              <w:rPr>
                <w:b w:val="0"/>
              </w:rPr>
              <w:t>Fleet operator</w:t>
            </w:r>
          </w:p>
        </w:tc>
        <w:tc>
          <w:tcPr>
            <w:tcW w:type="dxa" w:w="3744"/>
            <w:vAlign w:val="center"/>
          </w:tcPr>
          <w:p>
            <w:pPr>
              <w:pStyle w:val="TableText"/>
            </w:pPr>
            <w:r/>
            <w:r>
              <w:rPr>
                <w:b w:val="0"/>
              </w:rPr>
              <w:t>Higher availability</w:t>
            </w:r>
          </w:p>
        </w:tc>
        <w:tc>
          <w:tcPr>
            <w:tcW w:type="dxa" w:w="5184"/>
            <w:vAlign w:val="center"/>
          </w:tcPr>
          <w:p>
            <w:pPr>
              <w:pStyle w:val="TableText"/>
            </w:pPr>
            <w:r/>
            <w:r>
              <w:rPr>
                <w:b w:val="0"/>
              </w:rPr>
              <w:t>Graduated mitigation can avoid unnecessary full rollback or vehicle downtime.</w:t>
            </w:r>
          </w:p>
        </w:tc>
      </w:tr>
      <w:tr>
        <w:tc>
          <w:tcPr>
            <w:tcW w:type="dxa" w:w="1872"/>
            <w:vAlign w:val="center"/>
          </w:tcPr>
          <w:p>
            <w:pPr>
              <w:pStyle w:val="TableText"/>
            </w:pPr>
            <w:r/>
            <w:r>
              <w:rPr>
                <w:b w:val="0"/>
              </w:rPr>
              <w:t>Regulator / safety authority</w:t>
            </w:r>
          </w:p>
        </w:tc>
        <w:tc>
          <w:tcPr>
            <w:tcW w:type="dxa" w:w="3744"/>
            <w:vAlign w:val="center"/>
          </w:tcPr>
          <w:p>
            <w:pPr>
              <w:pStyle w:val="TableText"/>
            </w:pPr>
            <w:r/>
            <w:r>
              <w:rPr>
                <w:b w:val="0"/>
              </w:rPr>
              <w:t>Better traceability</w:t>
            </w:r>
          </w:p>
        </w:tc>
        <w:tc>
          <w:tcPr>
            <w:tcW w:type="dxa" w:w="5184"/>
            <w:vAlign w:val="center"/>
          </w:tcPr>
          <w:p>
            <w:pPr>
              <w:pStyle w:val="TableText"/>
            </w:pPr>
            <w:r/>
            <w:r>
              <w:rPr>
                <w:b w:val="0"/>
              </w:rPr>
              <w:t>Structured evidence of software version, safety condition and response can support investigations.</w:t>
            </w:r>
          </w:p>
        </w:tc>
      </w:tr>
      <w:tr>
        <w:tc>
          <w:tcPr>
            <w:tcW w:type="dxa" w:w="1872"/>
            <w:vAlign w:val="center"/>
          </w:tcPr>
          <w:p>
            <w:pPr>
              <w:pStyle w:val="TableText"/>
            </w:pPr>
            <w:r/>
            <w:r>
              <w:rPr>
                <w:b w:val="0"/>
              </w:rPr>
              <w:t>Business</w:t>
            </w:r>
          </w:p>
        </w:tc>
        <w:tc>
          <w:tcPr>
            <w:tcW w:type="dxa" w:w="3744"/>
            <w:vAlign w:val="center"/>
          </w:tcPr>
          <w:p>
            <w:pPr>
              <w:pStyle w:val="TableText"/>
            </w:pPr>
            <w:r/>
            <w:r>
              <w:rPr>
                <w:b w:val="0"/>
              </w:rPr>
              <w:t>Potential cost reduction</w:t>
            </w:r>
          </w:p>
        </w:tc>
        <w:tc>
          <w:tcPr>
            <w:tcW w:type="dxa" w:w="5184"/>
            <w:vAlign w:val="center"/>
          </w:tcPr>
          <w:p>
            <w:pPr>
              <w:pStyle w:val="TableText"/>
            </w:pPr>
            <w:r/>
            <w:r>
              <w:rPr>
                <w:b w:val="0"/>
              </w:rPr>
              <w:t>Avoided downtime, reduced unnecessary recalls/field actions and faster root-cause analysis; actual monetary savings require fleet-specific economic modelling.</w:t>
            </w:r>
          </w:p>
        </w:tc>
      </w:tr>
    </w:tbl>
    <w:p/>
    <w:p>
      <w:r>
        <w:t>Important: monetary and casualty reductions must be measured or modeled in a separate cost-benefit study. The project should not claim that it 'saves X million' or 'prevents Y deaths' without evidence.</w:t>
      </w:r>
    </w:p>
    <w:p>
      <w:pPr>
        <w:pStyle w:val="Heading1"/>
      </w:pPr>
      <w:r>
        <w:t>20. Is RAVEN-OTA a Product, Website or Research Prototype?</w:t>
      </w:r>
    </w:p>
    <w:p>
      <w:r>
        <w:t>For the academic project, RAVEN-OTA is a software research prototype, not a consumer website. The core component is onboard software. A web dashboard is optional and is primarily for OEM/fleet visualization.</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D9EAF7"/>
          </w:tcPr>
          <w:p>
            <w:pPr>
              <w:pStyle w:val="TableText"/>
            </w:pPr>
            <w:r/>
            <w:r>
              <w:rPr>
                <w:b/>
              </w:rPr>
              <w:t>Part</w:t>
            </w:r>
          </w:p>
        </w:tc>
        <w:tc>
          <w:tcPr>
            <w:tcW w:type="dxa" w:w="7632"/>
            <w:vAlign w:val="center"/>
            <w:shd w:fill="D9EAF7"/>
          </w:tcPr>
          <w:p>
            <w:pPr>
              <w:pStyle w:val="TableText"/>
            </w:pPr>
            <w:r/>
            <w:r>
              <w:rPr>
                <w:b/>
              </w:rPr>
              <w:t>Purpose</w:t>
            </w:r>
          </w:p>
        </w:tc>
      </w:tr>
      <w:tr>
        <w:tc>
          <w:tcPr>
            <w:tcW w:type="dxa" w:w="3168"/>
            <w:vAlign w:val="center"/>
          </w:tcPr>
          <w:p>
            <w:pPr>
              <w:pStyle w:val="TableText"/>
            </w:pPr>
            <w:r/>
            <w:r>
              <w:rPr>
                <w:b w:val="0"/>
              </w:rPr>
              <w:t>Onboard RAVEN agent</w:t>
            </w:r>
          </w:p>
        </w:tc>
        <w:tc>
          <w:tcPr>
            <w:tcW w:type="dxa" w:w="7632"/>
            <w:vAlign w:val="center"/>
          </w:tcPr>
          <w:p>
            <w:pPr>
              <w:pStyle w:val="TableText"/>
            </w:pPr>
            <w:r/>
            <w:r>
              <w:rPr>
                <w:b w:val="0"/>
              </w:rPr>
              <w:t>Core invention/research mechanism; monitors runtime and evaluates safety envelope.</w:t>
            </w:r>
          </w:p>
        </w:tc>
      </w:tr>
      <w:tr>
        <w:tc>
          <w:tcPr>
            <w:tcW w:type="dxa" w:w="3168"/>
            <w:vAlign w:val="center"/>
          </w:tcPr>
          <w:p>
            <w:pPr>
              <w:pStyle w:val="TableText"/>
            </w:pPr>
            <w:r/>
            <w:r>
              <w:rPr>
                <w:b w:val="0"/>
              </w:rPr>
              <w:t>OTA adapter</w:t>
            </w:r>
          </w:p>
        </w:tc>
        <w:tc>
          <w:tcPr>
            <w:tcW w:type="dxa" w:w="7632"/>
            <w:vAlign w:val="center"/>
          </w:tcPr>
          <w:p>
            <w:pPr>
              <w:pStyle w:val="TableText"/>
            </w:pPr>
            <w:r/>
            <w:r>
              <w:rPr>
                <w:b w:val="0"/>
              </w:rPr>
              <w:t>Connects update metadata and verification results to RAVEN.</w:t>
            </w:r>
          </w:p>
        </w:tc>
      </w:tr>
      <w:tr>
        <w:tc>
          <w:tcPr>
            <w:tcW w:type="dxa" w:w="3168"/>
            <w:vAlign w:val="center"/>
          </w:tcPr>
          <w:p>
            <w:pPr>
              <w:pStyle w:val="TableText"/>
            </w:pPr>
            <w:r/>
            <w:r>
              <w:rPr>
                <w:b w:val="0"/>
              </w:rPr>
              <w:t>Safety-envelope store</w:t>
            </w:r>
          </w:p>
        </w:tc>
        <w:tc>
          <w:tcPr>
            <w:tcW w:type="dxa" w:w="7632"/>
            <w:vAlign w:val="center"/>
          </w:tcPr>
          <w:p>
            <w:pPr>
              <w:pStyle w:val="TableText"/>
            </w:pPr>
            <w:r/>
            <w:r>
              <w:rPr>
                <w:b w:val="0"/>
              </w:rPr>
              <w:t>Stores verified limits/assumptions for the installed software version.</w:t>
            </w:r>
          </w:p>
        </w:tc>
      </w:tr>
      <w:tr>
        <w:tc>
          <w:tcPr>
            <w:tcW w:type="dxa" w:w="3168"/>
            <w:vAlign w:val="center"/>
          </w:tcPr>
          <w:p>
            <w:pPr>
              <w:pStyle w:val="TableText"/>
            </w:pPr>
            <w:r/>
            <w:r>
              <w:rPr>
                <w:b w:val="0"/>
              </w:rPr>
              <w:t>Runtime telemetry service</w:t>
            </w:r>
          </w:p>
        </w:tc>
        <w:tc>
          <w:tcPr>
            <w:tcW w:type="dxa" w:w="7632"/>
            <w:vAlign w:val="center"/>
          </w:tcPr>
          <w:p>
            <w:pPr>
              <w:pStyle w:val="TableText"/>
            </w:pPr>
            <w:r/>
            <w:r>
              <w:rPr>
                <w:b w:val="0"/>
              </w:rPr>
              <w:t>Collects live state.</w:t>
            </w:r>
          </w:p>
        </w:tc>
      </w:tr>
      <w:tr>
        <w:tc>
          <w:tcPr>
            <w:tcW w:type="dxa" w:w="3168"/>
            <w:vAlign w:val="center"/>
          </w:tcPr>
          <w:p>
            <w:pPr>
              <w:pStyle w:val="TableText"/>
            </w:pPr>
            <w:r/>
            <w:r>
              <w:rPr>
                <w:b w:val="0"/>
              </w:rPr>
              <w:t>Decision engine</w:t>
            </w:r>
          </w:p>
        </w:tc>
        <w:tc>
          <w:tcPr>
            <w:tcW w:type="dxa" w:w="7632"/>
            <w:vAlign w:val="center"/>
          </w:tcPr>
          <w:p>
            <w:pPr>
              <w:pStyle w:val="TableText"/>
            </w:pPr>
            <w:r/>
            <w:r>
              <w:rPr>
                <w:b w:val="0"/>
              </w:rPr>
              <w:t>Computes assurance state and response.</w:t>
            </w:r>
          </w:p>
        </w:tc>
      </w:tr>
      <w:tr>
        <w:tc>
          <w:tcPr>
            <w:tcW w:type="dxa" w:w="3168"/>
            <w:vAlign w:val="center"/>
          </w:tcPr>
          <w:p>
            <w:pPr>
              <w:pStyle w:val="TableText"/>
            </w:pPr>
            <w:r/>
            <w:r>
              <w:rPr>
                <w:b w:val="0"/>
              </w:rPr>
              <w:t>OEM dashboard</w:t>
            </w:r>
          </w:p>
        </w:tc>
        <w:tc>
          <w:tcPr>
            <w:tcW w:type="dxa" w:w="7632"/>
            <w:vAlign w:val="center"/>
          </w:tcPr>
          <w:p>
            <w:pPr>
              <w:pStyle w:val="TableText"/>
            </w:pPr>
            <w:r/>
            <w:r>
              <w:rPr>
                <w:b w:val="0"/>
              </w:rPr>
              <w:t>Optional visualization of vehicle/campaign status.</w:t>
            </w:r>
          </w:p>
        </w:tc>
      </w:tr>
      <w:tr>
        <w:tc>
          <w:tcPr>
            <w:tcW w:type="dxa" w:w="3168"/>
            <w:vAlign w:val="center"/>
          </w:tcPr>
          <w:p>
            <w:pPr>
              <w:pStyle w:val="TableText"/>
            </w:pPr>
            <w:r/>
            <w:r>
              <w:rPr>
                <w:b w:val="0"/>
              </w:rPr>
              <w:t>Fleet analytics</w:t>
            </w:r>
          </w:p>
        </w:tc>
        <w:tc>
          <w:tcPr>
            <w:tcW w:type="dxa" w:w="7632"/>
            <w:vAlign w:val="center"/>
          </w:tcPr>
          <w:p>
            <w:pPr>
              <w:pStyle w:val="TableText"/>
            </w:pPr>
            <w:r/>
            <w:r>
              <w:rPr>
                <w:b w:val="0"/>
              </w:rPr>
              <w:t>Optional aggregation of repeated patterns across vehicles.</w:t>
            </w:r>
          </w:p>
        </w:tc>
      </w:tr>
    </w:tbl>
    <w:p/>
    <w:p>
      <w:pPr>
        <w:pStyle w:val="Heading1"/>
      </w:pPr>
      <w:r>
        <w:t>21. What the Finished Project Should Demonstrate</w:t>
      </w:r>
    </w:p>
    <w:p>
      <w:pPr>
        <w:pStyle w:val="ListNumber"/>
        <w:spacing w:after="40"/>
      </w:pPr>
      <w:r>
        <w:t>A simulated EV/SDV receives an OTA update.</w:t>
      </w:r>
    </w:p>
    <w:p>
      <w:pPr>
        <w:pStyle w:val="ListNumber"/>
        <w:spacing w:after="40"/>
      </w:pPr>
      <w:r>
        <w:t>The update passes the selected pre-deployment checks.</w:t>
      </w:r>
    </w:p>
    <w:p>
      <w:pPr>
        <w:pStyle w:val="ListNumber"/>
        <w:spacing w:after="40"/>
      </w:pPr>
      <w:r>
        <w:t>The system creates the Runtime Safety Envelope.</w:t>
      </w:r>
    </w:p>
    <w:p>
      <w:pPr>
        <w:pStyle w:val="ListNumber"/>
        <w:spacing w:after="40"/>
      </w:pPr>
      <w:r>
        <w:t>The vehicle starts normal operation.</w:t>
      </w:r>
    </w:p>
    <w:p>
      <w:pPr>
        <w:pStyle w:val="ListNumber"/>
        <w:spacing w:after="40"/>
      </w:pPr>
      <w:r>
        <w:t>Runtime conditions are changed through controlled scenarios.</w:t>
      </w:r>
    </w:p>
    <w:p>
      <w:pPr>
        <w:pStyle w:val="ListNumber"/>
        <w:spacing w:after="40"/>
      </w:pPr>
      <w:r>
        <w:t>RAVEN identifies the relevant safety/timing margin change.</w:t>
      </w:r>
    </w:p>
    <w:p>
      <w:pPr>
        <w:pStyle w:val="ListNumber"/>
        <w:spacing w:after="40"/>
      </w:pPr>
      <w:r>
        <w:t>RAVEN predicts or detects an envelope violation.</w:t>
      </w:r>
    </w:p>
    <w:p>
      <w:pPr>
        <w:pStyle w:val="ListNumber"/>
        <w:spacing w:after="40"/>
      </w:pPr>
      <w:r>
        <w:t>RAVEN chooses an appropriate response instead of blindly rolling back.</w:t>
      </w:r>
    </w:p>
    <w:p>
      <w:pPr>
        <w:pStyle w:val="ListNumber"/>
        <w:spacing w:after="40"/>
      </w:pPr>
      <w:r>
        <w:t>The response restores/preserves the required safety condition.</w:t>
      </w:r>
    </w:p>
    <w:p>
      <w:pPr>
        <w:pStyle w:val="ListNumber"/>
        <w:spacing w:after="40"/>
      </w:pPr>
      <w:r>
        <w:t>The dashboard/log records the complete evidence trail.</w:t>
      </w:r>
    </w:p>
    <w:p>
      <w:pPr>
        <w:pStyle w:val="ListNumber"/>
        <w:spacing w:after="40"/>
      </w:pPr>
      <w:r>
        <w:t>The same experiment is repeated for baselines and ablations.</w:t>
      </w:r>
    </w:p>
    <w:p>
      <w:pPr>
        <w:pStyle w:val="ListNumber"/>
        <w:spacing w:after="40"/>
      </w:pPr>
      <w:r>
        <w:t>Results are statistically summarized and discussed.</w:t>
      </w:r>
    </w:p>
    <w:p>
      <w:pPr>
        <w:pStyle w:val="Heading1"/>
      </w:pPr>
      <w:r>
        <w:t>22. Target Research Paper Structure</w:t>
      </w:r>
    </w:p>
    <w:p>
      <w:pPr>
        <w:pStyle w:val="ListNumber"/>
        <w:spacing w:after="40"/>
      </w:pPr>
      <w:r>
        <w:t>Introduction and motivation</w:t>
      </w:r>
    </w:p>
    <w:p>
      <w:pPr>
        <w:pStyle w:val="ListNumber"/>
        <w:spacing w:after="40"/>
      </w:pPr>
      <w:r>
        <w:t>Real-world problem and recent safety evidence</w:t>
      </w:r>
    </w:p>
    <w:p>
      <w:pPr>
        <w:pStyle w:val="ListNumber"/>
        <w:spacing w:after="40"/>
      </w:pPr>
      <w:r>
        <w:t>System and OTA background</w:t>
      </w:r>
    </w:p>
    <w:p>
      <w:pPr>
        <w:pStyle w:val="ListNumber"/>
        <w:spacing w:after="40"/>
      </w:pPr>
      <w:r>
        <w:t>Systematic/recent literature review</w:t>
      </w:r>
    </w:p>
    <w:p>
      <w:pPr>
        <w:pStyle w:val="ListNumber"/>
        <w:spacing w:after="40"/>
      </w:pPr>
      <w:r>
        <w:t>Gap analysis</w:t>
      </w:r>
    </w:p>
    <w:p>
      <w:pPr>
        <w:pStyle w:val="ListNumber"/>
        <w:spacing w:after="40"/>
      </w:pPr>
      <w:r>
        <w:t>Problem formulation</w:t>
      </w:r>
    </w:p>
    <w:p>
      <w:pPr>
        <w:pStyle w:val="ListNumber"/>
        <w:spacing w:after="40"/>
      </w:pPr>
      <w:r>
        <w:t>Threats/assumptions and scope</w:t>
      </w:r>
    </w:p>
    <w:p>
      <w:pPr>
        <w:pStyle w:val="ListNumber"/>
        <w:spacing w:after="40"/>
      </w:pPr>
      <w:r>
        <w:t>RAVEN-OTA architecture</w:t>
      </w:r>
    </w:p>
    <w:p>
      <w:pPr>
        <w:pStyle w:val="ListNumber"/>
        <w:spacing w:after="40"/>
      </w:pPr>
      <w:r>
        <w:t>Runtime Safety Envelope formulation</w:t>
      </w:r>
    </w:p>
    <w:p>
      <w:pPr>
        <w:pStyle w:val="ListNumber"/>
        <w:spacing w:after="40"/>
      </w:pPr>
      <w:r>
        <w:t>Assurance-state and response algorithm</w:t>
      </w:r>
    </w:p>
    <w:p>
      <w:pPr>
        <w:pStyle w:val="ListNumber"/>
        <w:spacing w:after="40"/>
      </w:pPr>
      <w:r>
        <w:t>Experimental platform</w:t>
      </w:r>
    </w:p>
    <w:p>
      <w:pPr>
        <w:pStyle w:val="ListNumber"/>
        <w:spacing w:after="40"/>
      </w:pPr>
      <w:r>
        <w:t>Scenarios and datasets</w:t>
      </w:r>
    </w:p>
    <w:p>
      <w:pPr>
        <w:pStyle w:val="ListNumber"/>
        <w:spacing w:after="40"/>
      </w:pPr>
      <w:r>
        <w:t>Baselines and ablation study</w:t>
      </w:r>
    </w:p>
    <w:p>
      <w:pPr>
        <w:pStyle w:val="ListNumber"/>
        <w:spacing w:after="40"/>
      </w:pPr>
      <w:r>
        <w:t>Results</w:t>
      </w:r>
    </w:p>
    <w:p>
      <w:pPr>
        <w:pStyle w:val="ListNumber"/>
        <w:spacing w:after="40"/>
      </w:pPr>
      <w:r>
        <w:t>Discussion and comparison with related work</w:t>
      </w:r>
    </w:p>
    <w:p>
      <w:pPr>
        <w:pStyle w:val="ListNumber"/>
        <w:spacing w:after="40"/>
      </w:pPr>
      <w:r>
        <w:t>Limitations</w:t>
      </w:r>
    </w:p>
    <w:p>
      <w:pPr>
        <w:pStyle w:val="ListNumber"/>
        <w:spacing w:after="40"/>
      </w:pPr>
      <w:r>
        <w:t>Safety and ethical considerations</w:t>
      </w:r>
    </w:p>
    <w:p>
      <w:pPr>
        <w:pStyle w:val="ListNumber"/>
        <w:spacing w:after="40"/>
      </w:pPr>
      <w:r>
        <w:t>Conclusion and future work</w:t>
      </w:r>
    </w:p>
    <w:p>
      <w:pPr>
        <w:pStyle w:val="Heading1"/>
      </w:pPr>
      <w:r>
        <w:t>23. Patent Strategy</w:t>
      </w:r>
    </w:p>
    <w:p>
      <w:r>
        <w:t>If patent protection is desired, the patent should be filed before public disclosure of the detailed invention where possible, after professional patent advice. Do not attempt to patent generic OTA, generic anomaly detection, generic rollback or generic safety monitoring.</w:t>
      </w:r>
    </w:p>
    <w:p>
      <w:r>
        <w:t>Potential claim territory to investigate:</w:t>
      </w:r>
    </w:p>
    <w:p>
      <w:pPr>
        <w:pStyle w:val="ListBullet"/>
        <w:spacing w:after="40"/>
      </w:pPr>
      <w:r>
        <w:t>Transformation of verified OTA safety/timing assumptions into a runtime-checkable envelope tied to a software version/configuration.</w:t>
      </w:r>
    </w:p>
    <w:p>
      <w:pPr>
        <w:pStyle w:val="ListBullet"/>
        <w:spacing w:after="40"/>
      </w:pPr>
      <w:r>
        <w:t>Continuous evaluation of that envelope against live cyber-physical state and operating context.</w:t>
      </w:r>
    </w:p>
    <w:p>
      <w:pPr>
        <w:pStyle w:val="ListBullet"/>
        <w:spacing w:after="40"/>
      </w:pPr>
      <w:r>
        <w:t>Prediction of envelope violation using a combination of verified limits, current state and trajectory.</w:t>
      </w:r>
    </w:p>
    <w:p>
      <w:pPr>
        <w:pStyle w:val="ListBullet"/>
        <w:spacing w:after="40"/>
      </w:pPr>
      <w:r>
        <w:t>A graduated response policy that selects the least disruptive validated safe action based on safety criticality and assurance state.</w:t>
      </w:r>
    </w:p>
    <w:p>
      <w:pPr>
        <w:pStyle w:val="ListBullet"/>
        <w:spacing w:after="40"/>
      </w:pPr>
      <w:r>
        <w:t>Evidence linkage between OTA version, verification artifact, runtime condition, violated assumption and response.</w:t>
      </w:r>
    </w:p>
    <w:p>
      <w:r>
        <w:t>These are candidate claim themes only. A patent attorney must compare them against prior art before filing.</w:t>
      </w:r>
    </w:p>
    <w:p>
      <w:pPr>
        <w:pStyle w:val="Heading1"/>
      </w:pPr>
      <w:r>
        <w:t>24. Research Risks and How to Control Them</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D9EAF7"/>
          </w:tcPr>
          <w:p>
            <w:pPr>
              <w:pStyle w:val="TableText"/>
            </w:pPr>
            <w:r/>
            <w:r>
              <w:rPr>
                <w:b/>
              </w:rPr>
              <w:t>Risk</w:t>
            </w:r>
          </w:p>
        </w:tc>
        <w:tc>
          <w:tcPr>
            <w:tcW w:type="dxa" w:w="3744"/>
            <w:vAlign w:val="center"/>
            <w:shd w:fill="D9EAF7"/>
          </w:tcPr>
          <w:p>
            <w:pPr>
              <w:pStyle w:val="TableText"/>
            </w:pPr>
            <w:r/>
            <w:r>
              <w:rPr>
                <w:b/>
              </w:rPr>
              <w:t>Why it matters</w:t>
            </w:r>
          </w:p>
        </w:tc>
        <w:tc>
          <w:tcPr>
            <w:tcW w:type="dxa" w:w="4032"/>
            <w:vAlign w:val="center"/>
            <w:shd w:fill="D9EAF7"/>
          </w:tcPr>
          <w:p>
            <w:pPr>
              <w:pStyle w:val="TableText"/>
            </w:pPr>
            <w:r/>
            <w:r>
              <w:rPr>
                <w:b/>
              </w:rPr>
              <w:t>Mitigation</w:t>
            </w:r>
          </w:p>
        </w:tc>
      </w:tr>
      <w:tr>
        <w:tc>
          <w:tcPr>
            <w:tcW w:type="dxa" w:w="2592"/>
            <w:vAlign w:val="center"/>
          </w:tcPr>
          <w:p>
            <w:pPr>
              <w:pStyle w:val="TableText"/>
            </w:pPr>
            <w:r/>
            <w:r>
              <w:rPr>
                <w:b w:val="0"/>
              </w:rPr>
              <w:t>The exact gap already exists in an unreviewed paper/patent</w:t>
            </w:r>
          </w:p>
        </w:tc>
        <w:tc>
          <w:tcPr>
            <w:tcW w:type="dxa" w:w="3744"/>
            <w:vAlign w:val="center"/>
          </w:tcPr>
          <w:p>
            <w:pPr>
              <w:pStyle w:val="TableText"/>
            </w:pPr>
            <w:r/>
            <w:r>
              <w:rPr>
                <w:b w:val="0"/>
              </w:rPr>
              <w:t>Could invalidate novelty claim.</w:t>
            </w:r>
          </w:p>
        </w:tc>
        <w:tc>
          <w:tcPr>
            <w:tcW w:type="dxa" w:w="4032"/>
            <w:vAlign w:val="center"/>
          </w:tcPr>
          <w:p>
            <w:pPr>
              <w:pStyle w:val="TableText"/>
            </w:pPr>
            <w:r/>
            <w:r>
              <w:rPr>
                <w:b w:val="0"/>
              </w:rPr>
              <w:t>Perform targeted patent and literature search before locking claims.</w:t>
            </w:r>
          </w:p>
        </w:tc>
      </w:tr>
      <w:tr>
        <w:tc>
          <w:tcPr>
            <w:tcW w:type="dxa" w:w="2592"/>
            <w:vAlign w:val="center"/>
          </w:tcPr>
          <w:p>
            <w:pPr>
              <w:pStyle w:val="TableText"/>
            </w:pPr>
            <w:r/>
            <w:r>
              <w:rPr>
                <w:b w:val="0"/>
              </w:rPr>
              <w:t>RAVEN becomes just anomaly detection</w:t>
            </w:r>
          </w:p>
        </w:tc>
        <w:tc>
          <w:tcPr>
            <w:tcW w:type="dxa" w:w="3744"/>
            <w:vAlign w:val="center"/>
          </w:tcPr>
          <w:p>
            <w:pPr>
              <w:pStyle w:val="TableText"/>
            </w:pPr>
            <w:r/>
            <w:r>
              <w:rPr>
                <w:b w:val="0"/>
              </w:rPr>
              <w:t>Weak contribution.</w:t>
            </w:r>
          </w:p>
        </w:tc>
        <w:tc>
          <w:tcPr>
            <w:tcW w:type="dxa" w:w="4032"/>
            <w:vAlign w:val="center"/>
          </w:tcPr>
          <w:p>
            <w:pPr>
              <w:pStyle w:val="TableText"/>
            </w:pPr>
            <w:r/>
            <w:r>
              <w:rPr>
                <w:b w:val="0"/>
              </w:rPr>
              <w:t>Make the verified-envelope linkage central and prove it with ablation.</w:t>
            </w:r>
          </w:p>
        </w:tc>
      </w:tr>
      <w:tr>
        <w:tc>
          <w:tcPr>
            <w:tcW w:type="dxa" w:w="2592"/>
            <w:vAlign w:val="center"/>
          </w:tcPr>
          <w:p>
            <w:pPr>
              <w:pStyle w:val="TableText"/>
            </w:pPr>
            <w:r/>
            <w:r>
              <w:rPr>
                <w:b w:val="0"/>
              </w:rPr>
              <w:t>No real vehicle access</w:t>
            </w:r>
          </w:p>
        </w:tc>
        <w:tc>
          <w:tcPr>
            <w:tcW w:type="dxa" w:w="3744"/>
            <w:vAlign w:val="center"/>
          </w:tcPr>
          <w:p>
            <w:pPr>
              <w:pStyle w:val="TableText"/>
            </w:pPr>
            <w:r/>
            <w:r>
              <w:rPr>
                <w:b w:val="0"/>
              </w:rPr>
              <w:t>Hard to validate in production.</w:t>
            </w:r>
          </w:p>
        </w:tc>
        <w:tc>
          <w:tcPr>
            <w:tcW w:type="dxa" w:w="4032"/>
            <w:vAlign w:val="center"/>
          </w:tcPr>
          <w:p>
            <w:pPr>
              <w:pStyle w:val="TableText"/>
            </w:pPr>
            <w:r/>
            <w:r>
              <w:rPr>
                <w:b w:val="0"/>
              </w:rPr>
              <w:t>Use reproducible simulation/HIL/containerized ECU testbed and clearly state limits.</w:t>
            </w:r>
          </w:p>
        </w:tc>
      </w:tr>
      <w:tr>
        <w:tc>
          <w:tcPr>
            <w:tcW w:type="dxa" w:w="2592"/>
            <w:vAlign w:val="center"/>
          </w:tcPr>
          <w:p>
            <w:pPr>
              <w:pStyle w:val="TableText"/>
            </w:pPr>
            <w:r/>
            <w:r>
              <w:rPr>
                <w:b w:val="0"/>
              </w:rPr>
              <w:t>Too many sensors/features</w:t>
            </w:r>
          </w:p>
        </w:tc>
        <w:tc>
          <w:tcPr>
            <w:tcW w:type="dxa" w:w="3744"/>
            <w:vAlign w:val="center"/>
          </w:tcPr>
          <w:p>
            <w:pPr>
              <w:pStyle w:val="TableText"/>
            </w:pPr>
            <w:r/>
            <w:r>
              <w:rPr>
                <w:b w:val="0"/>
              </w:rPr>
              <w:t>System becomes unmanageable.</w:t>
            </w:r>
          </w:p>
        </w:tc>
        <w:tc>
          <w:tcPr>
            <w:tcW w:type="dxa" w:w="4032"/>
            <w:vAlign w:val="center"/>
          </w:tcPr>
          <w:p>
            <w:pPr>
              <w:pStyle w:val="TableText"/>
            </w:pPr>
            <w:r/>
            <w:r>
              <w:rPr>
                <w:b w:val="0"/>
              </w:rPr>
              <w:t>Start with CPU, task timing, CAN load, temperature and vehicle mode.</w:t>
            </w:r>
          </w:p>
        </w:tc>
      </w:tr>
      <w:tr>
        <w:tc>
          <w:tcPr>
            <w:tcW w:type="dxa" w:w="2592"/>
            <w:vAlign w:val="center"/>
          </w:tcPr>
          <w:p>
            <w:pPr>
              <w:pStyle w:val="TableText"/>
            </w:pPr>
            <w:r/>
            <w:r>
              <w:rPr>
                <w:b w:val="0"/>
              </w:rPr>
              <w:t>ML over-complexity</w:t>
            </w:r>
          </w:p>
        </w:tc>
        <w:tc>
          <w:tcPr>
            <w:tcW w:type="dxa" w:w="3744"/>
            <w:vAlign w:val="center"/>
          </w:tcPr>
          <w:p>
            <w:pPr>
              <w:pStyle w:val="TableText"/>
            </w:pPr>
            <w:r/>
            <w:r>
              <w:rPr>
                <w:b w:val="0"/>
              </w:rPr>
              <w:t>Can obscure safety argument.</w:t>
            </w:r>
          </w:p>
        </w:tc>
        <w:tc>
          <w:tcPr>
            <w:tcW w:type="dxa" w:w="4032"/>
            <w:vAlign w:val="center"/>
          </w:tcPr>
          <w:p>
            <w:pPr>
              <w:pStyle w:val="TableText"/>
            </w:pPr>
            <w:r/>
            <w:r>
              <w:rPr>
                <w:b w:val="0"/>
              </w:rPr>
              <w:t>Use interpretable prediction first; add ML only if it improves measurable performance.</w:t>
            </w:r>
          </w:p>
        </w:tc>
      </w:tr>
      <w:tr>
        <w:tc>
          <w:tcPr>
            <w:tcW w:type="dxa" w:w="2592"/>
            <w:vAlign w:val="center"/>
          </w:tcPr>
          <w:p>
            <w:pPr>
              <w:pStyle w:val="TableText"/>
            </w:pPr>
            <w:r/>
            <w:r>
              <w:rPr>
                <w:b w:val="0"/>
              </w:rPr>
              <w:t>No safety proof of response</w:t>
            </w:r>
          </w:p>
        </w:tc>
        <w:tc>
          <w:tcPr>
            <w:tcW w:type="dxa" w:w="3744"/>
            <w:vAlign w:val="center"/>
          </w:tcPr>
          <w:p>
            <w:pPr>
              <w:pStyle w:val="TableText"/>
            </w:pPr>
            <w:r/>
            <w:r>
              <w:rPr>
                <w:b w:val="0"/>
              </w:rPr>
              <w:t>Automatic actions can be risky.</w:t>
            </w:r>
          </w:p>
        </w:tc>
        <w:tc>
          <w:tcPr>
            <w:tcW w:type="dxa" w:w="4032"/>
            <w:vAlign w:val="center"/>
          </w:tcPr>
          <w:p>
            <w:pPr>
              <w:pStyle w:val="TableText"/>
            </w:pPr>
            <w:r/>
            <w:r>
              <w:rPr>
                <w:b w:val="0"/>
              </w:rPr>
              <w:t>Define response policies from prevalidated safe states; never allow unconstrained autonomous actuation.</w:t>
            </w:r>
          </w:p>
        </w:tc>
      </w:tr>
      <w:tr>
        <w:tc>
          <w:tcPr>
            <w:tcW w:type="dxa" w:w="2592"/>
            <w:vAlign w:val="center"/>
          </w:tcPr>
          <w:p>
            <w:pPr>
              <w:pStyle w:val="TableText"/>
            </w:pPr>
            <w:r/>
            <w:r>
              <w:rPr>
                <w:b w:val="0"/>
              </w:rPr>
              <w:t>Overclaiming benefits</w:t>
            </w:r>
          </w:p>
        </w:tc>
        <w:tc>
          <w:tcPr>
            <w:tcW w:type="dxa" w:w="3744"/>
            <w:vAlign w:val="center"/>
          </w:tcPr>
          <w:p>
            <w:pPr>
              <w:pStyle w:val="TableText"/>
            </w:pPr>
            <w:r/>
            <w:r>
              <w:rPr>
                <w:b w:val="0"/>
              </w:rPr>
              <w:t>Reviewers may reject unsupported claims.</w:t>
            </w:r>
          </w:p>
        </w:tc>
        <w:tc>
          <w:tcPr>
            <w:tcW w:type="dxa" w:w="4032"/>
            <w:vAlign w:val="center"/>
          </w:tcPr>
          <w:p>
            <w:pPr>
              <w:pStyle w:val="TableText"/>
            </w:pPr>
            <w:r/>
            <w:r>
              <w:rPr>
                <w:b w:val="0"/>
              </w:rPr>
              <w:t>Report measured metrics and scenario-specific evidence only.</w:t>
            </w:r>
          </w:p>
        </w:tc>
      </w:tr>
    </w:tbl>
    <w:p/>
    <w:p>
      <w:pPr>
        <w:pStyle w:val="Heading1"/>
      </w:pPr>
      <w:r>
        <w:t>25. Scope and Non-Scope</w:t>
      </w:r>
    </w:p>
    <w:tbl>
      <w:tblPr>
        <w:tblStyle w:val="TableGrid"/>
        <w:tblW w:type="auto" w:w="0"/>
        <w:jc w:val="center"/>
        <w:tblLook w:firstColumn="1" w:firstRow="1" w:lastColumn="0" w:lastRow="0" w:noHBand="0" w:noVBand="1" w:val="04A0"/>
      </w:tblPr>
      <w:tblGrid>
        <w:gridCol w:w="5112"/>
        <w:gridCol w:w="5112"/>
      </w:tblGrid>
      <w:tr>
        <w:tc>
          <w:tcPr>
            <w:tcW w:type="dxa" w:w="5328"/>
            <w:vAlign w:val="center"/>
            <w:shd w:fill="D9EAF7"/>
          </w:tcPr>
          <w:p>
            <w:pPr>
              <w:pStyle w:val="TableText"/>
            </w:pPr>
            <w:r/>
            <w:r>
              <w:rPr>
                <w:b/>
              </w:rPr>
              <w:t>In scope</w:t>
            </w:r>
          </w:p>
        </w:tc>
        <w:tc>
          <w:tcPr>
            <w:tcW w:type="dxa" w:w="5328"/>
            <w:vAlign w:val="center"/>
            <w:shd w:fill="D9EAF7"/>
          </w:tcPr>
          <w:p>
            <w:pPr>
              <w:pStyle w:val="TableText"/>
            </w:pPr>
            <w:r/>
            <w:r>
              <w:rPr>
                <w:b/>
              </w:rPr>
              <w:t>Out of scope for first prototype</w:t>
            </w:r>
          </w:p>
        </w:tc>
      </w:tr>
      <w:tr>
        <w:tc>
          <w:tcPr>
            <w:tcW w:type="dxa" w:w="5328"/>
            <w:vAlign w:val="center"/>
          </w:tcPr>
          <w:p>
            <w:pPr>
              <w:pStyle w:val="TableText"/>
            </w:pPr>
            <w:r/>
            <w:r>
              <w:rPr>
                <w:b w:val="0"/>
              </w:rPr>
              <w:t>EV/SDV OTA software lifecycle</w:t>
            </w:r>
          </w:p>
        </w:tc>
        <w:tc>
          <w:tcPr>
            <w:tcW w:type="dxa" w:w="5328"/>
            <w:vAlign w:val="center"/>
          </w:tcPr>
          <w:p>
            <w:pPr>
              <w:pStyle w:val="TableText"/>
            </w:pPr>
            <w:r/>
            <w:r>
              <w:rPr>
                <w:b w:val="0"/>
              </w:rPr>
              <w:t>Complete production-grade OEM OTA infrastructure</w:t>
            </w:r>
          </w:p>
        </w:tc>
      </w:tr>
      <w:tr>
        <w:tc>
          <w:tcPr>
            <w:tcW w:type="dxa" w:w="5328"/>
            <w:vAlign w:val="center"/>
          </w:tcPr>
          <w:p>
            <w:pPr>
              <w:pStyle w:val="TableText"/>
            </w:pPr>
            <w:r/>
            <w:r>
              <w:rPr>
                <w:b w:val="0"/>
              </w:rPr>
              <w:t>Runtime safety/timing assurance</w:t>
            </w:r>
          </w:p>
        </w:tc>
        <w:tc>
          <w:tcPr>
            <w:tcW w:type="dxa" w:w="5328"/>
            <w:vAlign w:val="center"/>
          </w:tcPr>
          <w:p>
            <w:pPr>
              <w:pStyle w:val="TableText"/>
            </w:pPr>
            <w:r/>
            <w:r>
              <w:rPr>
                <w:b w:val="0"/>
              </w:rPr>
              <w:t>Full certification of an actual production vehicle</w:t>
            </w:r>
          </w:p>
        </w:tc>
      </w:tr>
      <w:tr>
        <w:tc>
          <w:tcPr>
            <w:tcW w:type="dxa" w:w="5328"/>
            <w:vAlign w:val="center"/>
          </w:tcPr>
          <w:p>
            <w:pPr>
              <w:pStyle w:val="TableText"/>
            </w:pPr>
            <w:r/>
            <w:r>
              <w:rPr>
                <w:b w:val="0"/>
              </w:rPr>
              <w:t>CPU/network/timing/thermal/context monitoring</w:t>
            </w:r>
          </w:p>
        </w:tc>
        <w:tc>
          <w:tcPr>
            <w:tcW w:type="dxa" w:w="5328"/>
            <w:vAlign w:val="center"/>
          </w:tcPr>
          <w:p>
            <w:pPr>
              <w:pStyle w:val="TableText"/>
            </w:pPr>
            <w:r/>
            <w:r>
              <w:rPr>
                <w:b w:val="0"/>
              </w:rPr>
              <w:t>Every possible vehicle sensor</w:t>
            </w:r>
          </w:p>
        </w:tc>
      </w:tr>
      <w:tr>
        <w:tc>
          <w:tcPr>
            <w:tcW w:type="dxa" w:w="5328"/>
            <w:vAlign w:val="center"/>
          </w:tcPr>
          <w:p>
            <w:pPr>
              <w:pStyle w:val="TableText"/>
            </w:pPr>
            <w:r/>
            <w:r>
              <w:rPr>
                <w:b w:val="0"/>
              </w:rPr>
              <w:t>Predictive assurance</w:t>
            </w:r>
          </w:p>
        </w:tc>
        <w:tc>
          <w:tcPr>
            <w:tcW w:type="dxa" w:w="5328"/>
            <w:vAlign w:val="center"/>
          </w:tcPr>
          <w:p>
            <w:pPr>
              <w:pStyle w:val="TableText"/>
            </w:pPr>
            <w:r/>
            <w:r>
              <w:rPr>
                <w:b w:val="0"/>
              </w:rPr>
              <w:t>Unrestricted black-box AI controlling vehicle actuators</w:t>
            </w:r>
          </w:p>
        </w:tc>
      </w:tr>
      <w:tr>
        <w:tc>
          <w:tcPr>
            <w:tcW w:type="dxa" w:w="5328"/>
            <w:vAlign w:val="center"/>
          </w:tcPr>
          <w:p>
            <w:pPr>
              <w:pStyle w:val="TableText"/>
            </w:pPr>
            <w:r/>
            <w:r>
              <w:rPr>
                <w:b w:val="0"/>
              </w:rPr>
              <w:t>Safe-state/degraded/rollback decision support</w:t>
            </w:r>
          </w:p>
        </w:tc>
        <w:tc>
          <w:tcPr>
            <w:tcW w:type="dxa" w:w="5328"/>
            <w:vAlign w:val="center"/>
          </w:tcPr>
          <w:p>
            <w:pPr>
              <w:pStyle w:val="TableText"/>
            </w:pPr>
            <w:r/>
            <w:r>
              <w:rPr>
                <w:b w:val="0"/>
              </w:rPr>
              <w:t>Unvalidated autonomous braking/steering commands</w:t>
            </w:r>
          </w:p>
        </w:tc>
      </w:tr>
      <w:tr>
        <w:tc>
          <w:tcPr>
            <w:tcW w:type="dxa" w:w="5328"/>
            <w:vAlign w:val="center"/>
          </w:tcPr>
          <w:p>
            <w:pPr>
              <w:pStyle w:val="TableText"/>
            </w:pPr>
            <w:r/>
            <w:r>
              <w:rPr>
                <w:b w:val="0"/>
              </w:rPr>
              <w:t>Simulation/HIL/containerized prototype</w:t>
            </w:r>
          </w:p>
        </w:tc>
        <w:tc>
          <w:tcPr>
            <w:tcW w:type="dxa" w:w="5328"/>
            <w:vAlign w:val="center"/>
          </w:tcPr>
          <w:p>
            <w:pPr>
              <w:pStyle w:val="TableText"/>
            </w:pPr>
            <w:r/>
            <w:r>
              <w:rPr>
                <w:b w:val="0"/>
              </w:rPr>
              <w:t>Claiming production deployment readiness</w:t>
            </w:r>
          </w:p>
        </w:tc>
      </w:tr>
    </w:tbl>
    <w:p/>
    <w:p>
      <w:pPr>
        <w:pStyle w:val="Heading1"/>
      </w:pPr>
      <w:r>
        <w:t>26. Current Novelty Assessment</w:t>
      </w:r>
    </w:p>
    <w:tbl>
      <w:tblPr>
        <w:tblStyle w:val="TableGrid"/>
        <w:tblW w:type="auto" w:w="0"/>
        <w:tblLook w:firstColumn="1" w:firstRow="1" w:lastColumn="0" w:lastRow="0" w:noHBand="0" w:noVBand="1" w:val="04A0"/>
      </w:tblPr>
      <w:tblGrid>
        <w:gridCol w:w="10224"/>
      </w:tblGrid>
      <w:tr>
        <w:tc>
          <w:tcPr>
            <w:tcW w:type="dxa" w:w="10224"/>
            <w:shd w:fill="EEF5FB"/>
          </w:tcPr>
          <w:p>
            <w:r>
              <w:rPr>
                <w:b/>
                <w:sz w:val="20"/>
              </w:rPr>
              <w:t>Status: promising research gap, not a guaranteed novelty claim</w:t>
              <w:br/>
            </w:r>
            <w:r>
              <w:rPr>
                <w:sz w:val="18"/>
              </w:rPr>
              <w:t>The reviewed 2026 core literature strongly occupies secure OTA, formal security verification, contract-driven safety analysis, dependency-aware orchestration, dependency-aware execution planning and HIL validation. The proposed lifecycle bridge—continuous assurance that post-deployment runtime conditions still satisfy the assumptions used to justify an OTA update—is a strong candidate gap. However, a dedicated search of patents and papers specifically combining runtime safety envelopes, post-OTA assurance, changing operating context, predictive envelope violation and adaptive response is still required.</w:t>
            </w:r>
          </w:p>
        </w:tc>
      </w:tr>
    </w:tbl>
    <w:p/>
    <w:tbl>
      <w:tblPr>
        <w:tblStyle w:val="TableGrid"/>
        <w:tblW w:type="auto" w:w="0"/>
        <w:jc w:val="center"/>
        <w:tblLook w:firstColumn="1" w:firstRow="1" w:lastColumn="0" w:lastRow="0" w:noHBand="0" w:noVBand="1" w:val="04A0"/>
      </w:tblPr>
      <w:tblGrid>
        <w:gridCol w:w="5112"/>
        <w:gridCol w:w="5112"/>
      </w:tblGrid>
      <w:tr>
        <w:tc>
          <w:tcPr>
            <w:tcW w:type="dxa" w:w="5040"/>
            <w:vAlign w:val="center"/>
            <w:shd w:fill="D9EAF7"/>
          </w:tcPr>
          <w:p>
            <w:pPr>
              <w:pStyle w:val="TableText"/>
            </w:pPr>
            <w:r/>
            <w:r>
              <w:rPr>
                <w:b/>
              </w:rPr>
              <w:t>Feature</w:t>
            </w:r>
          </w:p>
        </w:tc>
        <w:tc>
          <w:tcPr>
            <w:tcW w:type="dxa" w:w="5760"/>
            <w:vAlign w:val="center"/>
            <w:shd w:fill="D9EAF7"/>
          </w:tcPr>
          <w:p>
            <w:pPr>
              <w:pStyle w:val="TableText"/>
            </w:pPr>
            <w:r/>
            <w:r>
              <w:rPr>
                <w:b/>
              </w:rPr>
              <w:t>Prior-art status from this review</w:t>
            </w:r>
          </w:p>
        </w:tc>
      </w:tr>
      <w:tr>
        <w:tc>
          <w:tcPr>
            <w:tcW w:type="dxa" w:w="5040"/>
            <w:vAlign w:val="center"/>
          </w:tcPr>
          <w:p>
            <w:pPr>
              <w:pStyle w:val="TableText"/>
            </w:pPr>
            <w:r/>
            <w:r>
              <w:rPr>
                <w:b w:val="0"/>
              </w:rPr>
              <w:t>Secure OTA</w:t>
            </w:r>
          </w:p>
        </w:tc>
        <w:tc>
          <w:tcPr>
            <w:tcW w:type="dxa" w:w="5760"/>
            <w:vAlign w:val="center"/>
          </w:tcPr>
          <w:p>
            <w:pPr>
              <w:pStyle w:val="TableText"/>
            </w:pPr>
            <w:r/>
            <w:r>
              <w:rPr>
                <w:b w:val="0"/>
              </w:rPr>
              <w:t>Existing</w:t>
            </w:r>
          </w:p>
        </w:tc>
      </w:tr>
      <w:tr>
        <w:tc>
          <w:tcPr>
            <w:tcW w:type="dxa" w:w="5040"/>
            <w:vAlign w:val="center"/>
          </w:tcPr>
          <w:p>
            <w:pPr>
              <w:pStyle w:val="TableText"/>
            </w:pPr>
            <w:r/>
            <w:r>
              <w:rPr>
                <w:b w:val="0"/>
              </w:rPr>
              <w:t>Formal OTA security</w:t>
            </w:r>
          </w:p>
        </w:tc>
        <w:tc>
          <w:tcPr>
            <w:tcW w:type="dxa" w:w="5760"/>
            <w:vAlign w:val="center"/>
          </w:tcPr>
          <w:p>
            <w:pPr>
              <w:pStyle w:val="TableText"/>
            </w:pPr>
            <w:r/>
            <w:r>
              <w:rPr>
                <w:b w:val="0"/>
              </w:rPr>
              <w:t>Existing</w:t>
            </w:r>
          </w:p>
        </w:tc>
      </w:tr>
      <w:tr>
        <w:tc>
          <w:tcPr>
            <w:tcW w:type="dxa" w:w="5040"/>
            <w:vAlign w:val="center"/>
          </w:tcPr>
          <w:p>
            <w:pPr>
              <w:pStyle w:val="TableText"/>
            </w:pPr>
            <w:r/>
            <w:r>
              <w:rPr>
                <w:b w:val="0"/>
              </w:rPr>
              <w:t>Contract-based OTA safety</w:t>
            </w:r>
          </w:p>
        </w:tc>
        <w:tc>
          <w:tcPr>
            <w:tcW w:type="dxa" w:w="5760"/>
            <w:vAlign w:val="center"/>
          </w:tcPr>
          <w:p>
            <w:pPr>
              <w:pStyle w:val="TableText"/>
            </w:pPr>
            <w:r/>
            <w:r>
              <w:rPr>
                <w:b w:val="0"/>
              </w:rPr>
              <w:t>Existing in IEEE TSE 2026</w:t>
            </w:r>
          </w:p>
        </w:tc>
      </w:tr>
      <w:tr>
        <w:tc>
          <w:tcPr>
            <w:tcW w:type="dxa" w:w="5040"/>
            <w:vAlign w:val="center"/>
          </w:tcPr>
          <w:p>
            <w:pPr>
              <w:pStyle w:val="TableText"/>
            </w:pPr>
            <w:r/>
            <w:r>
              <w:rPr>
                <w:b w:val="0"/>
              </w:rPr>
              <w:t>Dependency-aware OTA</w:t>
            </w:r>
          </w:p>
        </w:tc>
        <w:tc>
          <w:tcPr>
            <w:tcW w:type="dxa" w:w="5760"/>
            <w:vAlign w:val="center"/>
          </w:tcPr>
          <w:p>
            <w:pPr>
              <w:pStyle w:val="TableText"/>
            </w:pPr>
            <w:r/>
            <w:r>
              <w:rPr>
                <w:b w:val="0"/>
              </w:rPr>
              <w:t>Existing in ACM FSE 2026</w:t>
            </w:r>
          </w:p>
        </w:tc>
      </w:tr>
      <w:tr>
        <w:tc>
          <w:tcPr>
            <w:tcW w:type="dxa" w:w="5040"/>
            <w:vAlign w:val="center"/>
          </w:tcPr>
          <w:p>
            <w:pPr>
              <w:pStyle w:val="TableText"/>
            </w:pPr>
            <w:r/>
            <w:r>
              <w:rPr>
                <w:b w:val="0"/>
              </w:rPr>
              <w:t>OTA execution planning</w:t>
            </w:r>
          </w:p>
        </w:tc>
        <w:tc>
          <w:tcPr>
            <w:tcW w:type="dxa" w:w="5760"/>
            <w:vAlign w:val="center"/>
          </w:tcPr>
          <w:p>
            <w:pPr>
              <w:pStyle w:val="TableText"/>
            </w:pPr>
            <w:r/>
            <w:r>
              <w:rPr>
                <w:b w:val="0"/>
              </w:rPr>
              <w:t>Existing in JSA 2026</w:t>
            </w:r>
          </w:p>
        </w:tc>
      </w:tr>
      <w:tr>
        <w:tc>
          <w:tcPr>
            <w:tcW w:type="dxa" w:w="5040"/>
            <w:vAlign w:val="center"/>
          </w:tcPr>
          <w:p>
            <w:pPr>
              <w:pStyle w:val="TableText"/>
            </w:pPr>
            <w:r/>
            <w:r>
              <w:rPr>
                <w:b w:val="0"/>
              </w:rPr>
              <w:t>HIL OTA validation</w:t>
            </w:r>
          </w:p>
        </w:tc>
        <w:tc>
          <w:tcPr>
            <w:tcW w:type="dxa" w:w="5760"/>
            <w:vAlign w:val="center"/>
          </w:tcPr>
          <w:p>
            <w:pPr>
              <w:pStyle w:val="TableText"/>
            </w:pPr>
            <w:r/>
            <w:r>
              <w:rPr>
                <w:b w:val="0"/>
              </w:rPr>
              <w:t>Existing in SAE 2026</w:t>
            </w:r>
          </w:p>
        </w:tc>
      </w:tr>
      <w:tr>
        <w:tc>
          <w:tcPr>
            <w:tcW w:type="dxa" w:w="5040"/>
            <w:vAlign w:val="center"/>
          </w:tcPr>
          <w:p>
            <w:pPr>
              <w:pStyle w:val="TableText"/>
            </w:pPr>
            <w:r/>
            <w:r>
              <w:rPr>
                <w:b w:val="0"/>
              </w:rPr>
              <w:t>Post-OTA monitoring</w:t>
            </w:r>
          </w:p>
        </w:tc>
        <w:tc>
          <w:tcPr>
            <w:tcW w:type="dxa" w:w="5760"/>
            <w:vAlign w:val="center"/>
          </w:tcPr>
          <w:p>
            <w:pPr>
              <w:pStyle w:val="TableText"/>
            </w:pPr>
            <w:r/>
            <w:r>
              <w:rPr>
                <w:b w:val="0"/>
              </w:rPr>
              <w:t>Existing broadly</w:t>
            </w:r>
          </w:p>
        </w:tc>
      </w:tr>
      <w:tr>
        <w:tc>
          <w:tcPr>
            <w:tcW w:type="dxa" w:w="5040"/>
            <w:vAlign w:val="center"/>
          </w:tcPr>
          <w:p>
            <w:pPr>
              <w:pStyle w:val="TableText"/>
            </w:pPr>
            <w:r/>
            <w:r>
              <w:rPr>
                <w:b w:val="0"/>
              </w:rPr>
              <w:t>Generic anomaly detection</w:t>
            </w:r>
          </w:p>
        </w:tc>
        <w:tc>
          <w:tcPr>
            <w:tcW w:type="dxa" w:w="5760"/>
            <w:vAlign w:val="center"/>
          </w:tcPr>
          <w:p>
            <w:pPr>
              <w:pStyle w:val="TableText"/>
            </w:pPr>
            <w:r/>
            <w:r>
              <w:rPr>
                <w:b w:val="0"/>
              </w:rPr>
              <w:t>Existing broadly</w:t>
            </w:r>
          </w:p>
        </w:tc>
      </w:tr>
      <w:tr>
        <w:tc>
          <w:tcPr>
            <w:tcW w:type="dxa" w:w="5040"/>
            <w:vAlign w:val="center"/>
          </w:tcPr>
          <w:p>
            <w:pPr>
              <w:pStyle w:val="TableText"/>
            </w:pPr>
            <w:r/>
            <w:r>
              <w:rPr>
                <w:b w:val="0"/>
              </w:rPr>
              <w:t>Continuous post-deployment assurance against verified runtime envelope</w:t>
            </w:r>
          </w:p>
        </w:tc>
        <w:tc>
          <w:tcPr>
            <w:tcW w:type="dxa" w:w="5760"/>
            <w:vAlign w:val="center"/>
          </w:tcPr>
          <w:p>
            <w:pPr>
              <w:pStyle w:val="TableText"/>
            </w:pPr>
            <w:r/>
            <w:r>
              <w:rPr>
                <w:b w:val="0"/>
              </w:rPr>
              <w:t>Strong gap candidate; requires final targeted prior-art validation</w:t>
            </w:r>
          </w:p>
        </w:tc>
      </w:tr>
      <w:tr>
        <w:tc>
          <w:tcPr>
            <w:tcW w:type="dxa" w:w="5040"/>
            <w:vAlign w:val="center"/>
          </w:tcPr>
          <w:p>
            <w:pPr>
              <w:pStyle w:val="TableText"/>
            </w:pPr>
            <w:r/>
            <w:r>
              <w:rPr>
                <w:b w:val="0"/>
              </w:rPr>
              <w:t>Predictive assurance + graduated safe response tied to verified envelope</w:t>
            </w:r>
          </w:p>
        </w:tc>
        <w:tc>
          <w:tcPr>
            <w:tcW w:type="dxa" w:w="5760"/>
            <w:vAlign w:val="center"/>
          </w:tcPr>
          <w:p>
            <w:pPr>
              <w:pStyle w:val="TableText"/>
            </w:pPr>
            <w:r/>
            <w:r>
              <w:rPr>
                <w:b w:val="0"/>
              </w:rPr>
              <w:t>Promising; requires claim-level validation</w:t>
            </w:r>
          </w:p>
        </w:tc>
      </w:tr>
    </w:tbl>
    <w:p/>
    <w:p>
      <w:pPr>
        <w:pStyle w:val="Heading1"/>
      </w:pPr>
      <w:r>
        <w:t>27. Key References Used</w:t>
      </w:r>
    </w:p>
    <w:p>
      <w:r>
        <w:t>[R1] Bisceglia, N. M., Zanenga, A. F., Askarpour, M., Kokaly, S., Ramesh, S., Chechik, M., &amp; Menghi, C. (2026). Safety Analysis of Over-the-Air Updates for CPS: A Contract-Driven Approach. IEEE Transactions on Software Engineering, 52(3), 889–907. DOI: 10.1109/TSE.2026.3654819.</w:t>
      </w:r>
    </w:p>
    <w:p>
      <w:r>
        <w:t>[R2] Park, J., &amp; Ko, I. Y. (2026). Dependency-Aware Over-the-Air Framework for Reliable Software-Defined Vehicle Updates. Proceedings of the 34th ACM International Conference on the Foundations of Software Engineering (FSE Companion 2026), 743–750. DOI: 10.1145/3803437.3805246.</w:t>
      </w:r>
    </w:p>
    <w:p>
      <w:r>
        <w:t>[R3] Hong, J., &amp; Hong, D. (2026). Dependency-aware OTA execution planning with path reuse for software-defined vehicles. Journal of Systems Architecture, 180, 103952. DOI: 10.1016/j.sysarc.2026.103952.</w:t>
      </w:r>
    </w:p>
    <w:p>
      <w:r>
        <w:t>[R4] Hagen, M. S., Lundqvist, E., Phu, A., Wang, Y., Strandberg, K., &amp; Schiller, E. M. (2026). Towards a formal verification of secure vehicle software updates. Computers &amp; Security, 161, 104751. DOI: 10.1016/j.cose.2025.104751.</w:t>
      </w:r>
    </w:p>
    <w:p>
      <w:r>
        <w:t>[R5] Khare, S., Karle, U., &amp; Subramaniam, A. (2026). Development of HIL Based Methodology for Over-The-Air Updates Validation. Symposium on International Automotive Technology (SIAT 2026), DOI: 10.4271/2026-26-0480.</w:t>
      </w:r>
    </w:p>
    <w:p>
      <w:r>
        <w:t>[R6] OTA Updates for Intelligent Vehicles: Challenges for a Safe and Secure Strategy. (2026). 2026 Brazilian Conference on Robotics (CROS), IEEE. DOI: 10.1109/CROS69211.2026.11565614.</w:t>
      </w:r>
    </w:p>
    <w:p>
      <w:r>
        <w:t>[R7] NHTSA. (2025). Urgent brake failure warning for select Volvo vehicles; OTA safety recall evidence.</w:t>
      </w:r>
    </w:p>
    <w:p>
      <w:r>
        <w:t>[R8] NHTSA. (2025). Rivian recall 25V585: Hands-Free Highway Assist software may incorrectly identify other vehicles; OTA remedy.</w:t>
      </w:r>
    </w:p>
    <w:p>
      <w:r>
        <w:t>[R9] NHTSA. (2025). Tesla recall 25V-002: rear visibility / rearview camera software remedy.</w:t>
      </w:r>
    </w:p>
    <w:p>
      <w:r>
        <w:t>[R10] NHTSA. (2025). Annual Recalls Report: recalls partially or fully remedied using OTA updates.</w:t>
      </w:r>
    </w:p>
    <w:p>
      <w:pPr>
        <w:pStyle w:val="Heading1"/>
      </w:pPr>
      <w:r>
        <w:t>28. Primary Online Sources</w:t>
      </w:r>
    </w:p>
    <w:p>
      <w:r>
        <w:t>IEEE CROS 2026: https://doi.org/10.1109/CROS69211.2026.11565614</w:t>
      </w:r>
    </w:p>
    <w:p>
      <w:r>
        <w:t>IEEE TSE 2026 paper record: https://www.researchgate.net/publication/399855542_Safety_Analysis_of_Over-the-air_Updates_for_CPS_A_Contract-Driven_Approach</w:t>
      </w:r>
    </w:p>
    <w:p>
      <w:r>
        <w:t>ACM FSE 2026 / KAIST record: https://pure.kaist.ac.kr/en/publications/dependency-aware-over-the-air-framework-for-reliable-software-def/</w:t>
      </w:r>
    </w:p>
    <w:p>
      <w:r>
        <w:t>JSA 2026: https://www.sciencedirect.com/science/article/pii/S1383762126002705</w:t>
      </w:r>
    </w:p>
    <w:p>
      <w:r>
        <w:t>Computers &amp; Security 2026: https://www.sciencedirect.com/science/article/pii/S0167404825004407</w:t>
      </w:r>
    </w:p>
    <w:p>
      <w:r>
        <w:t>SAE 2026 HIL OTA validation: https://saemobilus.sae.org/papers/development-hil-based-methodology-air-updates-validation-2026-26-0480</w:t>
      </w:r>
    </w:p>
    <w:p>
      <w:r>
        <w:t>NHTSA Volvo 2025 warning: https://www.nhtsa.gov/press-releases/volvo-recall-urgent-brake-failure-warning-select-vehicles</w:t>
      </w:r>
    </w:p>
    <w:p>
      <w:r>
        <w:t>NHTSA Rivian 25V585: https://static.nhtsa.gov/odi/rcl/2025/RCAK-25V585-7198.pdf</w:t>
      </w:r>
    </w:p>
    <w:p>
      <w:r>
        <w:t>NHTSA Tesla 25V002: https://static.nhtsa.gov/odi/rcl/2025/RCONL-25V002-8417.pdf</w:t>
      </w:r>
    </w:p>
    <w:p>
      <w:r>
        <w:t>NHTSA 2025 Annual Recalls Report: https://www.nhtsa.gov/document/2025-annual-recalls-report</w:t>
      </w:r>
    </w:p>
    <w:p>
      <w:pPr>
        <w:pStyle w:val="Heading1"/>
      </w:pPr>
      <w:r>
        <w:t>29. Immediate Next Steps</w:t>
      </w:r>
    </w:p>
    <w:p>
      <w:pPr>
        <w:pStyle w:val="ListNumber"/>
        <w:spacing w:after="40"/>
      </w:pPr>
      <w:r>
        <w:t>Freeze the literature matrix and save PDFs/metadata for every core paper.</w:t>
      </w:r>
    </w:p>
    <w:p>
      <w:pPr>
        <w:pStyle w:val="ListNumber"/>
        <w:spacing w:after="40"/>
      </w:pPr>
      <w:r>
        <w:t>Run a dedicated prior-art search specifically for runtime safety envelopes and post-OTA continuous assurance.</w:t>
      </w:r>
    </w:p>
    <w:p>
      <w:pPr>
        <w:pStyle w:val="ListNumber"/>
        <w:spacing w:after="40"/>
      </w:pPr>
      <w:r>
        <w:t>Build the requirements table for the Runtime Safety Envelope.</w:t>
      </w:r>
    </w:p>
    <w:p>
      <w:pPr>
        <w:pStyle w:val="ListNumber"/>
        <w:spacing w:after="40"/>
      </w:pPr>
      <w:r>
        <w:t>Select 4–6 measurable runtime variables for the first prototype.</w:t>
      </w:r>
    </w:p>
    <w:p>
      <w:pPr>
        <w:pStyle w:val="ListNumber"/>
        <w:spacing w:after="40"/>
      </w:pPr>
      <w:r>
        <w:t>Implement the simulator/testbed before adding advanced ML.</w:t>
      </w:r>
    </w:p>
    <w:p>
      <w:pPr>
        <w:pStyle w:val="ListNumber"/>
        <w:spacing w:after="40"/>
      </w:pPr>
      <w:r>
        <w:t>Create 8–10 reproducible fault/context scenarios.</w:t>
      </w:r>
    </w:p>
    <w:p>
      <w:pPr>
        <w:pStyle w:val="ListNumber"/>
        <w:spacing w:after="40"/>
      </w:pPr>
      <w:r>
        <w:t>Implement three baselines and the proposed method.</w:t>
      </w:r>
    </w:p>
    <w:p>
      <w:pPr>
        <w:pStyle w:val="ListNumber"/>
        <w:spacing w:after="40"/>
      </w:pPr>
      <w:r>
        <w:t>Run ablation studies.</w:t>
      </w:r>
    </w:p>
    <w:p>
      <w:pPr>
        <w:pStyle w:val="ListNumber"/>
        <w:spacing w:after="40"/>
      </w:pPr>
      <w:r>
        <w:t>Perform statistical analysis and document limitations.</w:t>
      </w:r>
    </w:p>
    <w:p>
      <w:pPr>
        <w:pStyle w:val="ListNumber"/>
        <w:spacing w:after="40"/>
      </w:pPr>
      <w:r>
        <w:t>Only after the novelty search is clean, finalize the patent claim strategy.</w:t>
      </w:r>
    </w:p>
    <w:p>
      <w:pPr>
        <w:pStyle w:val="ListNumber"/>
        <w:spacing w:after="40"/>
      </w:pPr>
      <w:r>
        <w:t>Write the conference paper using the evidence chain: real problem → strong literature → limitations → gap → problem → solution → experiments → results.</w:t>
      </w:r>
    </w:p>
    <w:p>
      <w:pPr>
        <w:pStyle w:val="Heading1"/>
      </w:pPr>
      <w:r>
        <w:t>30. Final Project Definition</w:t>
      </w:r>
    </w:p>
    <w:tbl>
      <w:tblPr>
        <w:tblStyle w:val="TableGrid"/>
        <w:tblW w:type="auto" w:w="0"/>
        <w:tblLook w:firstColumn="1" w:firstRow="1" w:lastColumn="0" w:lastRow="0" w:noHBand="0" w:noVBand="1" w:val="04A0"/>
      </w:tblPr>
      <w:tblGrid>
        <w:gridCol w:w="10224"/>
      </w:tblGrid>
      <w:tr>
        <w:tc>
          <w:tcPr>
            <w:tcW w:type="dxa" w:w="10224"/>
            <w:shd w:fill="EEF5FB"/>
          </w:tcPr>
          <w:p>
            <w:r>
              <w:rPr>
                <w:b/>
                <w:sz w:val="20"/>
              </w:rPr>
              <w:t>Project in one paragraph</w:t>
              <w:br/>
            </w:r>
            <w:r>
              <w:rPr>
                <w:sz w:val="18"/>
              </w:rPr>
              <w:t>RAVEN-OTA is a proposed runtime-assurance framework for software-defined electric vehicles that bridges pre-deployment OTA verification and post-deployment operation. It converts verified safety/timing assumptions into a Runtime Safety Envelope, continuously checks live vehicle conditions and operating context against that envelope, predicts approaching violations, and selects a graduated safe response. The research is motivated by the increasing use of OTA for vehicle software and by recent literature showing strong progress in secure updates, contract-based safety, dependency-aware orchestration, execution planning and HIL validation, while leaving a candidate lifecycle gap around continuous post-deployment assurance under changing real-world conditions.</w:t>
            </w:r>
          </w:p>
        </w:tc>
      </w:tr>
    </w:tbl>
    <w:p/>
    <w:p/>
    <w:p>
      <w:pPr>
        <w:jc w:val="center"/>
      </w:pPr>
      <w:r>
        <w:rPr>
          <w:b/>
        </w:rPr>
        <w:t>End of research planning document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RAVEN-OTA Research Project | Evidence reviewed through 6 September 2026 | Draft research planning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6"/>
    </w:rPr>
  </w:style>
  <w:style w:type="paragraph" w:customStyle="1" w:styleId="TableText">
    <w:name w:val="Table Text"/>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