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68"/>
        </w:rPr>
        <w:t>RAVEN-OTA</w:t>
      </w:r>
    </w:p>
    <w:p>
      <w:pPr>
        <w:jc w:val="center"/>
      </w:pPr>
      <w:r>
        <w:rPr>
          <w:b/>
          <w:sz w:val="34"/>
        </w:rPr>
        <w:t>Runtime Assurance and Verification for Evolving OTA Software</w:t>
      </w:r>
    </w:p>
    <w:p/>
    <w:p>
      <w:pPr>
        <w:spacing w:after="100"/>
      </w:pPr>
      <w:r>
        <w:rPr>
          <w:b/>
        </w:rPr>
        <w:t>FULL RESEARCH PROJECT DOCUMENT</w:t>
      </w:r>
      <w:r/>
    </w:p>
    <w:p>
      <w:pPr>
        <w:spacing w:after="100"/>
      </w:pPr>
      <w:r>
        <w:t>Literature Review • Gap Analysis • Problem Identification • Solution • 5Ws+1H • Architecture • Implementation • Experiments • Benefits • Paper Strategy • Patent Strategy</w:t>
      </w:r>
    </w:p>
    <w:p/>
    <w:p>
      <w:pPr>
        <w:spacing w:after="100"/>
      </w:pPr>
      <w:r>
        <w:t>Scope: Software-defined / connected electric vehicles and Over-the-Air software updates</w:t>
      </w:r>
    </w:p>
    <w:p>
      <w:pPr>
        <w:spacing w:after="100"/>
      </w:pPr>
      <w:r>
        <w:t>Evidence focus: 2026, then 2025 and 2024, with selected foundational and prior-art sources.</w:t>
      </w:r>
    </w:p>
    <w:p>
      <w:pPr>
        <w:spacing w:after="100"/>
      </w:pPr>
      <w:r>
        <w:t>Prepared: 6 September 2026</w:t>
      </w:r>
    </w:p>
    <w:p/>
    <w:p>
      <w:pPr>
        <w:spacing w:after="100"/>
      </w:pPr>
      <w:r>
        <w:t>IMPORTANT EVIDENCE NOTE: This document is a research-planning and design document. It does not guarantee paper acceptance, patentability, or absolute novelty. Patent and publication decisions require a fresh claim-level prior-art search and expert review.</w:t>
      </w:r>
    </w:p>
    <w:p>
      <w:r>
        <w:br w:type="page"/>
      </w:r>
    </w:p>
    <w:p>
      <w:pPr>
        <w:pStyle w:val="Heading1"/>
      </w:pPr>
      <w:r>
        <w:t>1. Executive Summary</w:t>
      </w:r>
    </w:p>
    <w:p>
      <w:pPr>
        <w:spacing w:after="100"/>
      </w:pPr>
      <w:r>
        <w:t>Modern software-defined vehicles can receive software updates without a workshop visit. This creates a major engineering advantage, but it also creates a safety question: an update can be verified before deployment and still operate later under conditions that were not present during verification.</w:t>
      </w:r>
    </w:p>
    <w:p>
      <w:pPr>
        <w:spacing w:after="100"/>
      </w:pPr>
      <w:r>
        <w:t>RAVEN-OTA is proposed as a lifecycle bridge. The central idea is to carry selected safety, timing and resource assumptions from pre-deployment verification into the vehicle as a Runtime Safety Envelope (RSE). After installation, the vehicle continuously checks live cyber-physical conditions against that envelope, estimates safety margin, detects or predicts violation, classifies assurance state, and selects a graduated response.</w:t>
      </w:r>
    </w:p>
    <w:p>
      <w:pPr>
        <w:spacing w:after="100"/>
      </w:pPr>
      <w:r>
        <w:t>The proposed contribution is deliberately narrower than generic OTA security, generic anomaly detection, generic rollback, or generic dependency management. Those areas already have substantial literature and patent coverage. The research focus is the continuous validity of the assumptions and margins used to justify an OTA deployment after the software is exposed to changing real-world operating conditions.</w:t>
      </w:r>
    </w:p>
    <w:p>
      <w:pPr>
        <w:pStyle w:val="Heading2"/>
      </w:pPr>
      <w:r>
        <w:t>What is already well studied?</w:t>
      </w:r>
    </w:p>
    <w:p>
      <w:pPr>
        <w:pStyle w:val="ListBullet"/>
        <w:spacing w:after="40"/>
      </w:pPr>
      <w:r>
        <w:t>Secure OTA delivery: authentication, integrity, confidentiality, freshness, replay/order/liveness and secure update protocols.</w:t>
      </w:r>
    </w:p>
    <w:p>
      <w:pPr>
        <w:pStyle w:val="ListBullet"/>
        <w:spacing w:after="40"/>
      </w:pPr>
      <w:r>
        <w:t>Pre-deployment safety reasoning: contracts, dependency checks, compatibility, formal verification and HIL validation.</w:t>
      </w:r>
    </w:p>
    <w:p>
      <w:pPr>
        <w:pStyle w:val="ListBullet"/>
        <w:spacing w:after="40"/>
      </w:pPr>
      <w:r>
        <w:t>Update orchestration: ECU dependency graphs, update sequencing, resource-aware flashing and execution planning.</w:t>
      </w:r>
    </w:p>
    <w:p>
      <w:pPr>
        <w:pStyle w:val="ListBullet"/>
        <w:spacing w:after="40"/>
      </w:pPr>
      <w:r>
        <w:t>Post-update monitoring: telemetry, anomaly detection and rollback/recovery mechanisms.</w:t>
      </w:r>
    </w:p>
    <w:p>
      <w:pPr>
        <w:pStyle w:val="ListBullet"/>
        <w:spacing w:after="40"/>
      </w:pPr>
      <w:r>
        <w:t>Causal software-update analysis and selective recovery also have relevant prior art.</w:t>
      </w:r>
    </w:p>
    <w:p>
      <w:pPr>
        <w:pStyle w:val="Heading2"/>
      </w:pPr>
      <w:r>
        <w:t>What remains a candidate gap?</w:t>
      </w:r>
    </w:p>
    <w:p>
      <w:pPr>
        <w:spacing w:after="100"/>
      </w:pPr>
      <w:r>
        <w:t>A defensible candidate gap is a unified lifecycle mechanism that explicitly links the verified assumptions/timing margins of an OTA update to a continuously evaluated runtime safety envelope, accounts for changing context, predicts loss of assurance, and chooses a graduated safe response. This is a candidate gap—not a guaranteed first-of-kind claim.</w:t>
      </w:r>
    </w:p>
    <w:p>
      <w:pPr>
        <w:pStyle w:val="Heading2"/>
      </w:pPr>
      <w:r>
        <w:t>Expected research outputs</w:t>
      </w:r>
    </w:p>
    <w:p>
      <w:pPr>
        <w:pStyle w:val="ListBullet"/>
        <w:spacing w:after="40"/>
      </w:pPr>
      <w:r>
        <w:t>A formal definition of an OTA Runtime Safety Envelope.</w:t>
      </w:r>
    </w:p>
    <w:p>
      <w:pPr>
        <w:pStyle w:val="ListBullet"/>
        <w:spacing w:after="40"/>
      </w:pPr>
      <w:r>
        <w:t>A runtime assurance algorithm and state machine.</w:t>
      </w:r>
    </w:p>
    <w:p>
      <w:pPr>
        <w:pStyle w:val="ListBullet"/>
        <w:spacing w:after="40"/>
      </w:pPr>
      <w:r>
        <w:t>A prototype integrated with a simulated SDV/EV testbed.</w:t>
      </w:r>
    </w:p>
    <w:p>
      <w:pPr>
        <w:pStyle w:val="ListBullet"/>
        <w:spacing w:after="40"/>
      </w:pPr>
      <w:r>
        <w:t>A reproducible fault-injection benchmark.</w:t>
      </w:r>
    </w:p>
    <w:p>
      <w:pPr>
        <w:pStyle w:val="ListBullet"/>
        <w:spacing w:after="40"/>
      </w:pPr>
      <w:r>
        <w:t>Quantitative comparison against static verification, threshold monitoring and anomaly-only baselines.</w:t>
      </w:r>
    </w:p>
    <w:p>
      <w:pPr>
        <w:pStyle w:val="ListBullet"/>
        <w:spacing w:after="40"/>
      </w:pPr>
      <w:r>
        <w:t>A publication-ready evaluation and a patent-oriented invention disclosure if claim-level search supports novelty.</w:t>
      </w:r>
    </w:p>
    <w:p>
      <w:r>
        <w:br w:type="page"/>
      </w:r>
    </w:p>
    <w:p>
      <w:pPr>
        <w:pStyle w:val="Heading1"/>
      </w:pPr>
      <w:r>
        <w:t>2. The Project in Simple Language — 5Ws + 1H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40"/>
            </w:pPr>
            <w:r>
              <w:rPr>
                <w:b/>
                <w:sz w:val="16"/>
              </w:rPr>
              <w:t>Question</w:t>
            </w:r>
          </w:p>
        </w:tc>
        <w:tc>
          <w:tcPr>
            <w:tcW w:type="dxa" w:w="5112"/>
            <w:vAlign w:val="center"/>
          </w:tcPr>
          <w:p>
            <w:pPr>
              <w:spacing w:after="40"/>
            </w:pPr>
            <w:r>
              <w:rPr>
                <w:b/>
                <w:sz w:val="16"/>
              </w:rPr>
              <w:t>Answer</w:t>
            </w:r>
          </w:p>
        </w:tc>
      </w:tr>
      <w:tr>
        <w:tc>
          <w:tcPr>
            <w:tcW w:type="dxa" w:w="5112"/>
            <w:vAlign w:val="top"/>
          </w:tcPr>
          <w:p>
            <w:pPr>
              <w:spacing w:after="40"/>
            </w:pPr>
            <w:r>
              <w:rPr>
                <w:sz w:val="16"/>
              </w:rPr>
              <w:t>What?</w:t>
            </w:r>
          </w:p>
        </w:tc>
        <w:tc>
          <w:tcPr>
            <w:tcW w:type="dxa" w:w="5112"/>
            <w:vAlign w:val="top"/>
          </w:tcPr>
          <w:p>
            <w:pPr>
              <w:spacing w:after="40"/>
            </w:pPr>
            <w:r>
              <w:rPr>
                <w:sz w:val="16"/>
              </w:rPr>
              <w:t>A runtime assurance layer that checks whether the safety/timing/resource assumptions used to approve an OTA software update remain valid after deployment.</w:t>
            </w:r>
          </w:p>
        </w:tc>
      </w:tr>
      <w:tr>
        <w:tc>
          <w:tcPr>
            <w:tcW w:type="dxa" w:w="5112"/>
            <w:vAlign w:val="top"/>
          </w:tcPr>
          <w:p>
            <w:pPr>
              <w:spacing w:after="40"/>
            </w:pPr>
            <w:r>
              <w:rPr>
                <w:sz w:val="16"/>
              </w:rPr>
              <w:t>Why?</w:t>
            </w:r>
          </w:p>
        </w:tc>
        <w:tc>
          <w:tcPr>
            <w:tcW w:type="dxa" w:w="5112"/>
            <w:vAlign w:val="top"/>
          </w:tcPr>
          <w:p>
            <w:pPr>
              <w:spacing w:after="40"/>
            </w:pPr>
            <w:r>
              <w:rPr>
                <w:sz w:val="16"/>
              </w:rPr>
              <w:t>Because pre-deployment testing cannot reproduce every combination of workload, network load, thermal state, vehicle mode, battery condition and interacting ECU behavior that may occur later.</w:t>
            </w:r>
          </w:p>
        </w:tc>
      </w:tr>
      <w:tr>
        <w:tc>
          <w:tcPr>
            <w:tcW w:type="dxa" w:w="5112"/>
            <w:vAlign w:val="top"/>
          </w:tcPr>
          <w:p>
            <w:pPr>
              <w:spacing w:after="40"/>
            </w:pPr>
            <w:r>
              <w:rPr>
                <w:sz w:val="16"/>
              </w:rPr>
              <w:t>Who?</w:t>
            </w:r>
          </w:p>
        </w:tc>
        <w:tc>
          <w:tcPr>
            <w:tcW w:type="dxa" w:w="5112"/>
            <w:vAlign w:val="top"/>
          </w:tcPr>
          <w:p>
            <w:pPr>
              <w:spacing w:after="40"/>
            </w:pPr>
            <w:r>
              <w:rPr>
                <w:sz w:val="16"/>
              </w:rPr>
              <w:t>Vehicle occupants, OEM software teams, functional-safety teams, OTA/campaign operators, fleet operators, service organizations and regulators.</w:t>
            </w:r>
          </w:p>
        </w:tc>
      </w:tr>
      <w:tr>
        <w:tc>
          <w:tcPr>
            <w:tcW w:type="dxa" w:w="5112"/>
            <w:vAlign w:val="top"/>
          </w:tcPr>
          <w:p>
            <w:pPr>
              <w:spacing w:after="40"/>
            </w:pPr>
            <w:r>
              <w:rPr>
                <w:sz w:val="16"/>
              </w:rPr>
              <w:t>Where?</w:t>
            </w:r>
          </w:p>
        </w:tc>
        <w:tc>
          <w:tcPr>
            <w:tcW w:type="dxa" w:w="5112"/>
            <w:vAlign w:val="top"/>
          </w:tcPr>
          <w:p>
            <w:pPr>
              <w:spacing w:after="40"/>
            </w:pPr>
            <w:r>
              <w:rPr>
                <w:sz w:val="16"/>
              </w:rPr>
              <w:t>Primarily inside the vehicle/central compute platform as an onboard assurance agent, with an optional cloud/fleet analytics layer.</w:t>
            </w:r>
          </w:p>
        </w:tc>
      </w:tr>
      <w:tr>
        <w:tc>
          <w:tcPr>
            <w:tcW w:type="dxa" w:w="5112"/>
            <w:vAlign w:val="top"/>
          </w:tcPr>
          <w:p>
            <w:pPr>
              <w:spacing w:after="40"/>
            </w:pPr>
            <w:r>
              <w:rPr>
                <w:sz w:val="16"/>
              </w:rPr>
              <w:t>When?</w:t>
            </w:r>
          </w:p>
        </w:tc>
        <w:tc>
          <w:tcPr>
            <w:tcW w:type="dxa" w:w="5112"/>
            <w:vAlign w:val="top"/>
          </w:tcPr>
          <w:p>
            <w:pPr>
              <w:spacing w:after="40"/>
            </w:pPr>
            <w:r>
              <w:rPr>
                <w:sz w:val="16"/>
              </w:rPr>
              <w:t>Before installation for envelope construction; during installation for safe activation; continuously after deployment for runtime assurance; during campaign analysis for fleet learning.</w:t>
            </w:r>
          </w:p>
        </w:tc>
      </w:tr>
      <w:tr>
        <w:tc>
          <w:tcPr>
            <w:tcW w:type="dxa" w:w="5112"/>
            <w:vAlign w:val="top"/>
          </w:tcPr>
          <w:p>
            <w:pPr>
              <w:spacing w:after="40"/>
            </w:pPr>
            <w:r>
              <w:rPr>
                <w:sz w:val="16"/>
              </w:rPr>
              <w:t>How?</w:t>
            </w:r>
          </w:p>
        </w:tc>
        <w:tc>
          <w:tcPr>
            <w:tcW w:type="dxa" w:w="5112"/>
            <w:vAlign w:val="top"/>
          </w:tcPr>
          <w:p>
            <w:pPr>
              <w:spacing w:after="40"/>
            </w:pPr>
            <w:r>
              <w:rPr>
                <w:sz w:val="16"/>
              </w:rPr>
              <w:t>Import verified assumptions → construct RSE → collect telemetry/context → compute margins → predict violations → classify assurance → apply graduated safe response → record evidence.</w:t>
            </w:r>
          </w:p>
        </w:tc>
      </w:tr>
    </w:tbl>
    <w:p>
      <w:pPr>
        <w:pStyle w:val="Heading2"/>
      </w:pPr>
      <w:r>
        <w:t>Simple example</w:t>
      </w:r>
    </w:p>
    <w:p>
      <w:pPr>
        <w:spacing w:after="100"/>
      </w:pPr>
      <w:r>
        <w:t>Suppose an updated ADAS component was verified under CPU utilization below 70%, communication load below 60%, timing jitter below 2 ms and temperature below 45°C. After installation, a new workload causes CPU use to rise to 76% while timing jitter starts increasing. A simple OTA system may consider the update successfully installed. RAVEN-OTA treats installation success as only the beginning: it checks whether the verified operating envelope still holds, predicts whether the timing margin is being consumed, and can move the system to warning/degraded action before a critical deadline failure.</w:t>
      </w:r>
    </w:p>
    <w:p>
      <w:pPr>
        <w:pStyle w:val="Heading2"/>
      </w:pPr>
      <w:r>
        <w:t>The research question</w:t>
      </w:r>
    </w:p>
    <w:p>
      <w:pPr>
        <w:spacing w:after="100"/>
      </w:pPr>
      <w:r>
        <w:t>How can a software-defined vehicle continuously determine whether the safety and timing guarantees established during OTA verification remain valid under changing runtime conditions after deployment?</w:t>
      </w:r>
    </w:p>
    <w:p>
      <w:r>
        <w:br w:type="page"/>
      </w:r>
    </w:p>
    <w:p>
      <w:pPr>
        <w:pStyle w:val="Heading1"/>
      </w:pPr>
      <w:r>
        <w:t>3. Why This Problem Is Real</w:t>
      </w:r>
    </w:p>
    <w:p>
      <w:pPr>
        <w:pStyle w:val="Heading2"/>
      </w:pPr>
      <w:r>
        <w:t>Volvo — 2025</w:t>
      </w:r>
    </w:p>
    <w:p>
      <w:pPr>
        <w:spacing w:after="100"/>
      </w:pPr>
      <w:r>
        <w:t>NHTSA documented a 2025 Volvo hybrid/EV recall involving a software condition associated with potential complete loss of braking capability while going downhill. NHTSA reported 11,469 affected vehicles and described an OTA software remedy. The incident demonstrates that vehicle software defects can become physical safety consequences and that OTA can be part of the safety-remediation path.</w:t>
      </w:r>
    </w:p>
    <w:p>
      <w:pPr>
        <w:pStyle w:val="Heading2"/>
      </w:pPr>
      <w:r>
        <w:t>Rivian — 2025</w:t>
      </w:r>
    </w:p>
    <w:p>
      <w:pPr>
        <w:spacing w:after="100"/>
      </w:pPr>
      <w:r>
        <w:t>NHTSA recall 25V585 covered 2025 R1S/R1T vehicles because Hands-Free Highway Assist could fail to correctly identify a lead vehicle. The filing describes a low-speed collision in May 2025 and an OTA software remedy. This illustrates the need to reason about software behavior in actual driving contexts, not only package delivery.</w:t>
      </w:r>
    </w:p>
    <w:p>
      <w:pPr>
        <w:pStyle w:val="Heading2"/>
      </w:pPr>
      <w:r>
        <w:t>Tesla — 2025</w:t>
      </w:r>
    </w:p>
    <w:p>
      <w:pPr>
        <w:spacing w:after="100"/>
      </w:pPr>
      <w:r>
        <w:t>NHTSA recall 25V-002 involved certain Model 3/Y and Model S/X vehicles where reverse current could cause a shorting failure on a car computer board, affecting rearview-camera functionality. Tesla used an OTA software remedy that changed the power-up sequence, while some vehicles could require hardware replacement if prior stress had occurred.</w:t>
      </w:r>
    </w:p>
    <w:p>
      <w:pPr>
        <w:pStyle w:val="Heading2"/>
      </w:pPr>
      <w:r>
        <w:t>Volkswagen ID.4 — 2024/2025 remedy</w:t>
      </w:r>
    </w:p>
    <w:p>
      <w:pPr>
        <w:spacing w:after="100"/>
      </w:pPr>
      <w:r>
        <w:t>A Volkswagen ID.4 software issue could cause displays not to boot or reset, potentially affecting the speedometer or rearview-camera image. NHTSA materials describe OTA availability for eligible customer vehicles. This reinforces that software state can affect safety-relevant driver information.</w:t>
      </w:r>
    </w:p>
    <w:p>
      <w:pPr>
        <w:pStyle w:val="Heading2"/>
      </w:pPr>
      <w:r>
        <w:t>Lesson for the research</w:t>
      </w:r>
    </w:p>
    <w:p>
      <w:pPr>
        <w:spacing w:after="100"/>
      </w:pPr>
      <w:r>
        <w:t>These cases do not prove that RAVEN-OTA is the solution to those specific recalls. They demonstrate the real operational context: software updates can be safety-critical, can require rapid fleet-scale deployment, and can interact with hardware, workload, driver state and vehicle conditions.</w:t>
      </w:r>
    </w:p>
    <w:p>
      <w:r>
        <w:br w:type="page"/>
      </w:r>
    </w:p>
    <w:p>
      <w:pPr>
        <w:pStyle w:val="Heading1"/>
      </w:pPr>
      <w:r>
        <w:t>4. Literature Review Method</w:t>
      </w:r>
    </w:p>
    <w:p>
      <w:pPr>
        <w:pStyle w:val="Heading2"/>
      </w:pPr>
      <w:r>
        <w:t>Search priority</w:t>
      </w:r>
    </w:p>
    <w:p>
      <w:pPr>
        <w:pStyle w:val="ListBullet"/>
        <w:spacing w:after="40"/>
      </w:pPr>
      <w:r>
        <w:t>Primary: 2026 publications.</w:t>
      </w:r>
    </w:p>
    <w:p>
      <w:pPr>
        <w:pStyle w:val="ListBullet"/>
        <w:spacing w:after="40"/>
      </w:pPr>
      <w:r>
        <w:t>Secondary: 2025 publications.</w:t>
      </w:r>
    </w:p>
    <w:p>
      <w:pPr>
        <w:pStyle w:val="ListBullet"/>
        <w:spacing w:after="40"/>
      </w:pPr>
      <w:r>
        <w:t>Then: 2024 publications and foundational works needed to establish the technical lineage.</w:t>
      </w:r>
    </w:p>
    <w:p>
      <w:pPr>
        <w:pStyle w:val="ListBullet"/>
        <w:spacing w:after="40"/>
      </w:pPr>
      <w:r>
        <w:t>Prioritize IEEE Transactions, IEEE conferences, ACM, Elsevier, Springer and high-quality automotive/SAE venues.</w:t>
      </w:r>
    </w:p>
    <w:p>
      <w:pPr>
        <w:pStyle w:val="ListBullet"/>
        <w:spacing w:after="40"/>
      </w:pPr>
      <w:r>
        <w:t>Separately search patents because patent literature often covers industrial OTA implementations not fully represented in academic papers.</w:t>
      </w:r>
    </w:p>
    <w:p>
      <w:pPr>
        <w:pStyle w:val="Heading2"/>
      </w:pPr>
      <w:r>
        <w:t>Review dimensions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40"/>
            </w:pPr>
            <w:r>
              <w:rPr>
                <w:b/>
                <w:sz w:val="16"/>
              </w:rPr>
              <w:t>Dimension</w:t>
            </w:r>
          </w:p>
        </w:tc>
        <w:tc>
          <w:tcPr>
            <w:tcW w:type="dxa" w:w="5112"/>
            <w:vAlign w:val="center"/>
          </w:tcPr>
          <w:p>
            <w:pPr>
              <w:spacing w:after="40"/>
            </w:pPr>
            <w:r>
              <w:rPr>
                <w:b/>
                <w:sz w:val="16"/>
              </w:rPr>
              <w:t>Question</w:t>
            </w:r>
          </w:p>
        </w:tc>
      </w:tr>
      <w:tr>
        <w:tc>
          <w:tcPr>
            <w:tcW w:type="dxa" w:w="5112"/>
            <w:vAlign w:val="top"/>
          </w:tcPr>
          <w:p>
            <w:pPr>
              <w:spacing w:after="40"/>
            </w:pPr>
            <w:r>
              <w:rPr>
                <w:sz w:val="16"/>
              </w:rPr>
              <w:t>Security</w:t>
            </w:r>
          </w:p>
        </w:tc>
        <w:tc>
          <w:tcPr>
            <w:tcW w:type="dxa" w:w="5112"/>
            <w:vAlign w:val="top"/>
          </w:tcPr>
          <w:p>
            <w:pPr>
              <w:spacing w:after="40"/>
            </w:pPr>
            <w:r>
              <w:rPr>
                <w:sz w:val="16"/>
              </w:rPr>
              <w:t>Can the system prove/update confidentiality, integrity, authenticity, freshness, order and liveness?</w:t>
            </w:r>
          </w:p>
        </w:tc>
      </w:tr>
      <w:tr>
        <w:tc>
          <w:tcPr>
            <w:tcW w:type="dxa" w:w="5112"/>
            <w:vAlign w:val="top"/>
          </w:tcPr>
          <w:p>
            <w:pPr>
              <w:spacing w:after="40"/>
            </w:pPr>
            <w:r>
              <w:rPr>
                <w:sz w:val="16"/>
              </w:rPr>
              <w:t>Safety</w:t>
            </w:r>
          </w:p>
        </w:tc>
        <w:tc>
          <w:tcPr>
            <w:tcW w:type="dxa" w:w="5112"/>
            <w:vAlign w:val="top"/>
          </w:tcPr>
          <w:p>
            <w:pPr>
              <w:spacing w:after="40"/>
            </w:pPr>
            <w:r>
              <w:rPr>
                <w:sz w:val="16"/>
              </w:rPr>
              <w:t>Can it establish that the update is safe before deployment?</w:t>
            </w:r>
          </w:p>
        </w:tc>
      </w:tr>
      <w:tr>
        <w:tc>
          <w:tcPr>
            <w:tcW w:type="dxa" w:w="5112"/>
            <w:vAlign w:val="top"/>
          </w:tcPr>
          <w:p>
            <w:pPr>
              <w:spacing w:after="40"/>
            </w:pPr>
            <w:r>
              <w:rPr>
                <w:sz w:val="16"/>
              </w:rPr>
              <w:t>Dependencies</w:t>
            </w:r>
          </w:p>
        </w:tc>
        <w:tc>
          <w:tcPr>
            <w:tcW w:type="dxa" w:w="5112"/>
            <w:vAlign w:val="top"/>
          </w:tcPr>
          <w:p>
            <w:pPr>
              <w:spacing w:after="40"/>
            </w:pPr>
            <w:r>
              <w:rPr>
                <w:sz w:val="16"/>
              </w:rPr>
              <w:t>Can it handle cross-ECU/software dependencies and compatibility?</w:t>
            </w:r>
          </w:p>
        </w:tc>
      </w:tr>
      <w:tr>
        <w:tc>
          <w:tcPr>
            <w:tcW w:type="dxa" w:w="5112"/>
            <w:vAlign w:val="top"/>
          </w:tcPr>
          <w:p>
            <w:pPr>
              <w:spacing w:after="40"/>
            </w:pPr>
            <w:r>
              <w:rPr>
                <w:sz w:val="16"/>
              </w:rPr>
              <w:t>Execution</w:t>
            </w:r>
          </w:p>
        </w:tc>
        <w:tc>
          <w:tcPr>
            <w:tcW w:type="dxa" w:w="5112"/>
            <w:vAlign w:val="top"/>
          </w:tcPr>
          <w:p>
            <w:pPr>
              <w:spacing w:after="40"/>
            </w:pPr>
            <w:r>
              <w:rPr>
                <w:sz w:val="16"/>
              </w:rPr>
              <w:t>Can it plan resource-aware update sequencing?</w:t>
            </w:r>
          </w:p>
        </w:tc>
      </w:tr>
      <w:tr>
        <w:tc>
          <w:tcPr>
            <w:tcW w:type="dxa" w:w="5112"/>
            <w:vAlign w:val="top"/>
          </w:tcPr>
          <w:p>
            <w:pPr>
              <w:spacing w:after="40"/>
            </w:pPr>
            <w:r>
              <w:rPr>
                <w:sz w:val="16"/>
              </w:rPr>
              <w:t>Validation</w:t>
            </w:r>
          </w:p>
        </w:tc>
        <w:tc>
          <w:tcPr>
            <w:tcW w:type="dxa" w:w="5112"/>
            <w:vAlign w:val="top"/>
          </w:tcPr>
          <w:p>
            <w:pPr>
              <w:spacing w:after="40"/>
            </w:pPr>
            <w:r>
              <w:rPr>
                <w:sz w:val="16"/>
              </w:rPr>
              <w:t>Can it test update behavior in HIL or simulation?</w:t>
            </w:r>
          </w:p>
        </w:tc>
      </w:tr>
      <w:tr>
        <w:tc>
          <w:tcPr>
            <w:tcW w:type="dxa" w:w="5112"/>
            <w:vAlign w:val="top"/>
          </w:tcPr>
          <w:p>
            <w:pPr>
              <w:spacing w:after="40"/>
            </w:pPr>
            <w:r>
              <w:rPr>
                <w:sz w:val="16"/>
              </w:rPr>
              <w:t>Runtime</w:t>
            </w:r>
          </w:p>
        </w:tc>
        <w:tc>
          <w:tcPr>
            <w:tcW w:type="dxa" w:w="5112"/>
            <w:vAlign w:val="top"/>
          </w:tcPr>
          <w:p>
            <w:pPr>
              <w:spacing w:after="40"/>
            </w:pPr>
            <w:r>
              <w:rPr>
                <w:sz w:val="16"/>
              </w:rPr>
              <w:t>Can it continuously verify that the deployed system remains within its justified safety/timing assumptions?</w:t>
            </w:r>
          </w:p>
        </w:tc>
      </w:tr>
      <w:tr>
        <w:tc>
          <w:tcPr>
            <w:tcW w:type="dxa" w:w="5112"/>
            <w:vAlign w:val="top"/>
          </w:tcPr>
          <w:p>
            <w:pPr>
              <w:spacing w:after="40"/>
            </w:pPr>
            <w:r>
              <w:rPr>
                <w:sz w:val="16"/>
              </w:rPr>
              <w:t>Response</w:t>
            </w:r>
          </w:p>
        </w:tc>
        <w:tc>
          <w:tcPr>
            <w:tcW w:type="dxa" w:w="5112"/>
            <w:vAlign w:val="top"/>
          </w:tcPr>
          <w:p>
            <w:pPr>
              <w:spacing w:after="40"/>
            </w:pPr>
            <w:r>
              <w:rPr>
                <w:sz w:val="16"/>
              </w:rPr>
              <w:t>Can it predict violations and select a graded safe action?</w:t>
            </w:r>
          </w:p>
        </w:tc>
      </w:tr>
      <w:tr>
        <w:tc>
          <w:tcPr>
            <w:tcW w:type="dxa" w:w="5112"/>
            <w:vAlign w:val="top"/>
          </w:tcPr>
          <w:p>
            <w:pPr>
              <w:spacing w:after="40"/>
            </w:pPr>
            <w:r>
              <w:rPr>
                <w:sz w:val="16"/>
              </w:rPr>
              <w:t>Fleet</w:t>
            </w:r>
          </w:p>
        </w:tc>
        <w:tc>
          <w:tcPr>
            <w:tcW w:type="dxa" w:w="5112"/>
            <w:vAlign w:val="top"/>
          </w:tcPr>
          <w:p>
            <w:pPr>
              <w:spacing w:after="40"/>
            </w:pPr>
            <w:r>
              <w:rPr>
                <w:sz w:val="16"/>
              </w:rPr>
              <w:t>Can it provide traceable evidence across versions and vehicles?</w:t>
            </w:r>
          </w:p>
        </w:tc>
      </w:tr>
    </w:tbl>
    <w:p>
      <w:pPr>
        <w:spacing w:after="100"/>
      </w:pPr>
      <w:r>
        <w:t>Evidence discipline: a paper's stated scope is separated from the proposed interpretation. The gap is not claimed merely because a paper does not mention a feature; the cross-paper pattern is what matters.</w:t>
      </w:r>
    </w:p>
    <w:p>
      <w:r>
        <w:br w:type="page"/>
      </w:r>
    </w:p>
    <w:p>
      <w:pPr>
        <w:pStyle w:val="Heading1"/>
      </w:pPr>
      <w:r>
        <w:t>5. Core 2026 Literature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pPr>
              <w:spacing w:after="40"/>
            </w:pPr>
            <w:r>
              <w:rPr>
                <w:b/>
                <w:sz w:val="16"/>
              </w:rPr>
              <w:t>Paper</w:t>
            </w:r>
          </w:p>
        </w:tc>
        <w:tc>
          <w:tcPr>
            <w:tcW w:type="dxa" w:w="2045"/>
            <w:vAlign w:val="center"/>
          </w:tcPr>
          <w:p>
            <w:pPr>
              <w:spacing w:after="40"/>
            </w:pPr>
            <w:r>
              <w:rPr>
                <w:b/>
                <w:sz w:val="16"/>
              </w:rPr>
              <w:t>Year</w:t>
            </w:r>
          </w:p>
        </w:tc>
        <w:tc>
          <w:tcPr>
            <w:tcW w:type="dxa" w:w="2045"/>
            <w:vAlign w:val="center"/>
          </w:tcPr>
          <w:p>
            <w:pPr>
              <w:spacing w:after="40"/>
            </w:pPr>
            <w:r>
              <w:rPr>
                <w:b/>
                <w:sz w:val="16"/>
              </w:rPr>
              <w:t>Venue</w:t>
            </w:r>
          </w:p>
        </w:tc>
        <w:tc>
          <w:tcPr>
            <w:tcW w:type="dxa" w:w="2045"/>
            <w:vAlign w:val="center"/>
          </w:tcPr>
          <w:p>
            <w:pPr>
              <w:spacing w:after="40"/>
            </w:pPr>
            <w:r>
              <w:rPr>
                <w:b/>
                <w:sz w:val="16"/>
              </w:rPr>
              <w:t>DOI</w:t>
            </w:r>
          </w:p>
        </w:tc>
        <w:tc>
          <w:tcPr>
            <w:tcW w:type="dxa" w:w="2045"/>
            <w:vAlign w:val="center"/>
          </w:tcPr>
          <w:p>
            <w:pPr>
              <w:spacing w:after="40"/>
            </w:pPr>
            <w:r>
              <w:rPr>
                <w:b/>
                <w:sz w:val="16"/>
              </w:rPr>
              <w:t>Main contribution</w:t>
            </w:r>
          </w:p>
        </w:tc>
      </w:tr>
      <w:tr>
        <w:tc>
          <w:tcPr>
            <w:tcW w:type="dxa" w:w="2045"/>
            <w:vAlign w:val="top"/>
          </w:tcPr>
          <w:p>
            <w:pPr>
              <w:spacing w:after="40"/>
            </w:pPr>
            <w:r>
              <w:rPr>
                <w:sz w:val="16"/>
              </w:rPr>
              <w:t>Safety Analysis of Over-the-Air Updates for CPS: A Contract-Driven Approach</w:t>
            </w:r>
          </w:p>
        </w:tc>
        <w:tc>
          <w:tcPr>
            <w:tcW w:type="dxa" w:w="2045"/>
            <w:vAlign w:val="top"/>
          </w:tcPr>
          <w:p>
            <w:pPr>
              <w:spacing w:after="40"/>
            </w:pPr>
            <w:r>
              <w:rPr>
                <w:sz w:val="16"/>
              </w:rPr>
              <w:t>2026</w:t>
            </w:r>
          </w:p>
        </w:tc>
        <w:tc>
          <w:tcPr>
            <w:tcW w:type="dxa" w:w="2045"/>
            <w:vAlign w:val="top"/>
          </w:tcPr>
          <w:p>
            <w:pPr>
              <w:spacing w:after="40"/>
            </w:pPr>
            <w:r>
              <w:rPr>
                <w:sz w:val="16"/>
              </w:rPr>
              <w:t>IEEE Transactions on Software Engineering</w:t>
            </w:r>
          </w:p>
        </w:tc>
        <w:tc>
          <w:tcPr>
            <w:tcW w:type="dxa" w:w="2045"/>
            <w:vAlign w:val="top"/>
          </w:tcPr>
          <w:p>
            <w:pPr>
              <w:spacing w:after="40"/>
            </w:pPr>
            <w:r>
              <w:rPr>
                <w:sz w:val="16"/>
              </w:rPr>
              <w:t>10.1109/TSE.2026.3654819</w:t>
            </w:r>
          </w:p>
        </w:tc>
        <w:tc>
          <w:tcPr>
            <w:tcW w:type="dxa" w:w="2045"/>
            <w:vAlign w:val="top"/>
          </w:tcPr>
          <w:p>
            <w:pPr>
              <w:spacing w:after="40"/>
            </w:pPr>
            <w:r>
              <w:rPr>
                <w:sz w:val="16"/>
              </w:rPr>
              <w:t>Formal contract composition, component substitutability and safety reasoning for OTA updates; T HEANO prototype; 20 scenarios.</w:t>
            </w:r>
          </w:p>
        </w:tc>
      </w:tr>
      <w:tr>
        <w:tc>
          <w:tcPr>
            <w:tcW w:type="dxa" w:w="2045"/>
            <w:vAlign w:val="top"/>
          </w:tcPr>
          <w:p>
            <w:pPr>
              <w:spacing w:after="40"/>
            </w:pPr>
            <w:r>
              <w:rPr>
                <w:sz w:val="16"/>
              </w:rPr>
              <w:t>Dependency-Aware Over-the-Air Framework for Reliable Software-Defined Vehicle Updates</w:t>
            </w:r>
          </w:p>
        </w:tc>
        <w:tc>
          <w:tcPr>
            <w:tcW w:type="dxa" w:w="2045"/>
            <w:vAlign w:val="top"/>
          </w:tcPr>
          <w:p>
            <w:pPr>
              <w:spacing w:after="40"/>
            </w:pPr>
            <w:r>
              <w:rPr>
                <w:sz w:val="16"/>
              </w:rPr>
              <w:t>2026</w:t>
            </w:r>
          </w:p>
        </w:tc>
        <w:tc>
          <w:tcPr>
            <w:tcW w:type="dxa" w:w="2045"/>
            <w:vAlign w:val="top"/>
          </w:tcPr>
          <w:p>
            <w:pPr>
              <w:spacing w:after="40"/>
            </w:pPr>
            <w:r>
              <w:rPr>
                <w:sz w:val="16"/>
              </w:rPr>
              <w:t>ACM FSE Companion</w:t>
            </w:r>
          </w:p>
        </w:tc>
        <w:tc>
          <w:tcPr>
            <w:tcW w:type="dxa" w:w="2045"/>
            <w:vAlign w:val="top"/>
          </w:tcPr>
          <w:p>
            <w:pPr>
              <w:spacing w:after="40"/>
            </w:pPr>
            <w:r>
              <w:rPr>
                <w:sz w:val="16"/>
              </w:rPr>
              <w:t>10.1145/3803437.3805246</w:t>
            </w:r>
          </w:p>
        </w:tc>
        <w:tc>
          <w:tcPr>
            <w:tcW w:type="dxa" w:w="2045"/>
            <w:vAlign w:val="top"/>
          </w:tcPr>
          <w:p>
            <w:pPr>
              <w:spacing w:after="40"/>
            </w:pPr>
            <w:r>
              <w:rPr>
                <w:sz w:val="16"/>
              </w:rPr>
              <w:t>Graph-based OTA orchestration using dependency, safety, sensitivity and governance information across ECUs.</w:t>
            </w:r>
          </w:p>
        </w:tc>
      </w:tr>
      <w:tr>
        <w:tc>
          <w:tcPr>
            <w:tcW w:type="dxa" w:w="2045"/>
            <w:vAlign w:val="top"/>
          </w:tcPr>
          <w:p>
            <w:pPr>
              <w:spacing w:after="40"/>
            </w:pPr>
            <w:r>
              <w:rPr>
                <w:sz w:val="16"/>
              </w:rPr>
              <w:t>Towards a formal verification of secure vehicle software updates</w:t>
            </w:r>
          </w:p>
        </w:tc>
        <w:tc>
          <w:tcPr>
            <w:tcW w:type="dxa" w:w="2045"/>
            <w:vAlign w:val="top"/>
          </w:tcPr>
          <w:p>
            <w:pPr>
              <w:spacing w:after="40"/>
            </w:pPr>
            <w:r>
              <w:rPr>
                <w:sz w:val="16"/>
              </w:rPr>
              <w:t>2026</w:t>
            </w:r>
          </w:p>
        </w:tc>
        <w:tc>
          <w:tcPr>
            <w:tcW w:type="dxa" w:w="2045"/>
            <w:vAlign w:val="top"/>
          </w:tcPr>
          <w:p>
            <w:pPr>
              <w:spacing w:after="40"/>
            </w:pPr>
            <w:r>
              <w:rPr>
                <w:sz w:val="16"/>
              </w:rPr>
              <w:t>Computers &amp; Security</w:t>
            </w:r>
          </w:p>
        </w:tc>
        <w:tc>
          <w:tcPr>
            <w:tcW w:type="dxa" w:w="2045"/>
            <w:vAlign w:val="top"/>
          </w:tcPr>
          <w:p>
            <w:pPr>
              <w:spacing w:after="40"/>
            </w:pPr>
            <w:r>
              <w:rPr>
                <w:sz w:val="16"/>
              </w:rPr>
              <w:t>10.1016/j.cose.2025.104751</w:t>
            </w:r>
          </w:p>
        </w:tc>
        <w:tc>
          <w:tcPr>
            <w:tcW w:type="dxa" w:w="2045"/>
            <w:vAlign w:val="top"/>
          </w:tcPr>
          <w:p>
            <w:pPr>
              <w:spacing w:after="40"/>
            </w:pPr>
            <w:r>
              <w:rPr>
                <w:sz w:val="16"/>
              </w:rPr>
              <w:t>Formal ProVerif analysis of secure vehicle update protocol properties including confidentiality, integrity, authenticity, freshness, order and liveness.</w:t>
            </w:r>
          </w:p>
        </w:tc>
      </w:tr>
      <w:tr>
        <w:tc>
          <w:tcPr>
            <w:tcW w:type="dxa" w:w="2045"/>
            <w:vAlign w:val="top"/>
          </w:tcPr>
          <w:p>
            <w:pPr>
              <w:spacing w:after="40"/>
            </w:pPr>
            <w:r>
              <w:rPr>
                <w:sz w:val="16"/>
              </w:rPr>
              <w:t>Development of HIL Based Methodology for Over-The-Air Updates Validation</w:t>
            </w:r>
          </w:p>
        </w:tc>
        <w:tc>
          <w:tcPr>
            <w:tcW w:type="dxa" w:w="2045"/>
            <w:vAlign w:val="top"/>
          </w:tcPr>
          <w:p>
            <w:pPr>
              <w:spacing w:after="40"/>
            </w:pPr>
            <w:r>
              <w:rPr>
                <w:sz w:val="16"/>
              </w:rPr>
              <w:t>2026</w:t>
            </w:r>
          </w:p>
        </w:tc>
        <w:tc>
          <w:tcPr>
            <w:tcW w:type="dxa" w:w="2045"/>
            <w:vAlign w:val="top"/>
          </w:tcPr>
          <w:p>
            <w:pPr>
              <w:spacing w:after="40"/>
            </w:pPr>
            <w:r>
              <w:rPr>
                <w:sz w:val="16"/>
              </w:rPr>
              <w:t>SAE / SIAT 2026</w:t>
            </w:r>
          </w:p>
        </w:tc>
        <w:tc>
          <w:tcPr>
            <w:tcW w:type="dxa" w:w="2045"/>
            <w:vAlign w:val="top"/>
          </w:tcPr>
          <w:p>
            <w:pPr>
              <w:spacing w:after="40"/>
            </w:pPr>
            <w:r>
              <w:rPr>
                <w:sz w:val="16"/>
              </w:rPr>
              <w:t>10.4271/2026-26-0480</w:t>
            </w:r>
          </w:p>
        </w:tc>
        <w:tc>
          <w:tcPr>
            <w:tcW w:type="dxa" w:w="2045"/>
            <w:vAlign w:val="top"/>
          </w:tcPr>
          <w:p>
            <w:pPr>
              <w:spacing w:after="40"/>
            </w:pPr>
            <w:r>
              <w:rPr>
                <w:sz w:val="16"/>
              </w:rPr>
              <w:t>HIL methodology for OTA validation of EV powertrain components, including MCU/BMS/VCU, fault injection and rollback validation.</w:t>
            </w:r>
          </w:p>
        </w:tc>
      </w:tr>
      <w:tr>
        <w:tc>
          <w:tcPr>
            <w:tcW w:type="dxa" w:w="2045"/>
            <w:vAlign w:val="top"/>
          </w:tcPr>
          <w:p>
            <w:pPr>
              <w:spacing w:after="40"/>
            </w:pPr>
            <w:r>
              <w:rPr>
                <w:sz w:val="16"/>
              </w:rPr>
              <w:t>OTA Updates for Intelligent Vehicles: Challenges for a Safe and Secure Strategy</w:t>
            </w:r>
          </w:p>
        </w:tc>
        <w:tc>
          <w:tcPr>
            <w:tcW w:type="dxa" w:w="2045"/>
            <w:vAlign w:val="top"/>
          </w:tcPr>
          <w:p>
            <w:pPr>
              <w:spacing w:after="40"/>
            </w:pPr>
            <w:r>
              <w:rPr>
                <w:sz w:val="16"/>
              </w:rPr>
              <w:t>2026</w:t>
            </w:r>
          </w:p>
        </w:tc>
        <w:tc>
          <w:tcPr>
            <w:tcW w:type="dxa" w:w="2045"/>
            <w:vAlign w:val="top"/>
          </w:tcPr>
          <w:p>
            <w:pPr>
              <w:spacing w:after="40"/>
            </w:pPr>
            <w:r>
              <w:rPr>
                <w:sz w:val="16"/>
              </w:rPr>
              <w:t>IEEE CROS 2026</w:t>
            </w:r>
          </w:p>
        </w:tc>
        <w:tc>
          <w:tcPr>
            <w:tcW w:type="dxa" w:w="2045"/>
            <w:vAlign w:val="top"/>
          </w:tcPr>
          <w:p>
            <w:pPr>
              <w:spacing w:after="40"/>
            </w:pPr>
            <w:r>
              <w:rPr>
                <w:sz w:val="16"/>
              </w:rPr>
              <w:t>10.1109/CROS69211.2026.11565614</w:t>
            </w:r>
          </w:p>
        </w:tc>
        <w:tc>
          <w:tcPr>
            <w:tcW w:type="dxa" w:w="2045"/>
            <w:vAlign w:val="top"/>
          </w:tcPr>
          <w:p>
            <w:pPr>
              <w:spacing w:after="40"/>
            </w:pPr>
            <w:r>
              <w:rPr>
                <w:sz w:val="16"/>
              </w:rPr>
              <w:t>Rapid review identifying unresolved challenges around vehicle availability, update-level safety, defective update detection and continued operation.</w:t>
            </w:r>
          </w:p>
        </w:tc>
      </w:tr>
    </w:tbl>
    <w:p>
      <w:pPr>
        <w:pStyle w:val="Heading2"/>
      </w:pPr>
      <w:r>
        <w:t>Paper-by-paper analysis</w:t>
      </w:r>
    </w:p>
    <w:p>
      <w:pPr>
        <w:pStyle w:val="Heading3"/>
      </w:pPr>
      <w:r>
        <w:t>Safety Analysis of Over-the-Air Updates for CPS: A Contract-Driven Approach</w:t>
      </w:r>
    </w:p>
    <w:p>
      <w:pPr>
        <w:spacing w:after="100"/>
      </w:pPr>
      <w:r>
        <w:t>Problem/method: Formal contract composition, component substitutability and safety reasoning for OTA updates; T HEANO prototype; 20 scenarios.</w:t>
      </w:r>
    </w:p>
    <w:p>
      <w:pPr>
        <w:spacing w:after="100"/>
      </w:pPr>
      <w:r>
        <w:t>Limitation relevant to RAVEN-OTA: the main emphasis is formal safety reasoning around the update and contracts, rather than continuous post-deployment monitoring of whether the assumptions remain valid under changing physical and computational context.</w:t>
      </w:r>
    </w:p>
    <w:p>
      <w:pPr>
        <w:pStyle w:val="Heading3"/>
      </w:pPr>
      <w:r>
        <w:t>Dependency-Aware Over-the-Air Framework for Reliable Software-Defined Vehicle Updates</w:t>
      </w:r>
    </w:p>
    <w:p>
      <w:pPr>
        <w:spacing w:after="100"/>
      </w:pPr>
      <w:r>
        <w:t>Problem/method: Graph-based OTA orchestration using dependency, safety, sensitivity and governance information across ECUs.</w:t>
      </w:r>
    </w:p>
    <w:p>
      <w:pPr>
        <w:spacing w:after="100"/>
      </w:pPr>
      <w:r>
        <w:t>Limitation relevant to RAVEN-OTA: strong orchestration/dependency handling, but the primary concern is update execution rather than lifelong validity of verified runtime margins after activation.</w:t>
      </w:r>
    </w:p>
    <w:p>
      <w:pPr>
        <w:pStyle w:val="Heading3"/>
      </w:pPr>
      <w:r>
        <w:t>Towards a formal verification of secure vehicle software updates</w:t>
      </w:r>
    </w:p>
    <w:p>
      <w:pPr>
        <w:spacing w:after="100"/>
      </w:pPr>
      <w:r>
        <w:t>Problem/method: Formal ProVerif analysis of secure vehicle update protocol properties including confidentiality, integrity, authenticity, freshness, order and liveness.</w:t>
      </w:r>
    </w:p>
    <w:p>
      <w:pPr>
        <w:spacing w:after="100"/>
      </w:pPr>
      <w:r>
        <w:t>Limitation relevant to RAVEN-OTA: protocol-security assurance is different from cyber-physical runtime safety assurance.</w:t>
      </w:r>
    </w:p>
    <w:p>
      <w:pPr>
        <w:pStyle w:val="Heading3"/>
      </w:pPr>
      <w:r>
        <w:t>Development of HIL Based Methodology for Over-The-Air Updates Validation</w:t>
      </w:r>
    </w:p>
    <w:p>
      <w:pPr>
        <w:spacing w:after="100"/>
      </w:pPr>
      <w:r>
        <w:t>Problem/method: HIL methodology for OTA validation of EV powertrain components, including MCU/BMS/VCU, fault injection and rollback validation.</w:t>
      </w:r>
    </w:p>
    <w:p>
      <w:pPr>
        <w:spacing w:after="100"/>
      </w:pPr>
      <w:r>
        <w:t>Limitation relevant to RAVEN-OTA: HIL increases validation realism but remains a controlled pre-deployment environment and cannot exhaustively enumerate future field contexts.</w:t>
      </w:r>
    </w:p>
    <w:p>
      <w:pPr>
        <w:pStyle w:val="Heading3"/>
      </w:pPr>
      <w:r>
        <w:t>OTA Updates for Intelligent Vehicles: Challenges for a Safe and Secure Strategy</w:t>
      </w:r>
    </w:p>
    <w:p>
      <w:pPr>
        <w:spacing w:after="100"/>
      </w:pPr>
      <w:r>
        <w:t>Problem/method: Rapid review identifying unresolved challenges around vehicle availability, update-level safety, defective update detection and continued operation.</w:t>
      </w:r>
    </w:p>
    <w:p>
      <w:pPr>
        <w:spacing w:after="100"/>
      </w:pPr>
      <w:r>
        <w:t>Limitation relevant to RAVEN-OTA: the review highlights broad unresolved OTA safety challenges but does not itself provide a complete runtime-envelope mechanism.</w:t>
      </w:r>
    </w:p>
    <w:p>
      <w:r>
        <w:br w:type="page"/>
      </w:r>
    </w:p>
    <w:p>
      <w:pPr>
        <w:pStyle w:val="Heading1"/>
      </w:pPr>
      <w:r>
        <w:t>6. 2025–2024 Literature and Background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pPr>
              <w:spacing w:after="40"/>
            </w:pPr>
            <w:r>
              <w:rPr>
                <w:b/>
                <w:sz w:val="16"/>
              </w:rPr>
              <w:t>Source</w:t>
            </w:r>
          </w:p>
        </w:tc>
        <w:tc>
          <w:tcPr>
            <w:tcW w:type="dxa" w:w="1704"/>
            <w:vAlign w:val="center"/>
          </w:tcPr>
          <w:p>
            <w:pPr>
              <w:spacing w:after="40"/>
            </w:pPr>
            <w:r>
              <w:rPr>
                <w:b/>
                <w:sz w:val="16"/>
              </w:rPr>
              <w:t>Year</w:t>
            </w:r>
          </w:p>
        </w:tc>
        <w:tc>
          <w:tcPr>
            <w:tcW w:type="dxa" w:w="1704"/>
            <w:vAlign w:val="center"/>
          </w:tcPr>
          <w:p>
            <w:pPr>
              <w:spacing w:after="40"/>
            </w:pPr>
            <w:r>
              <w:rPr>
                <w:b/>
                <w:sz w:val="16"/>
              </w:rPr>
              <w:t>Type/Venue</w:t>
            </w:r>
          </w:p>
        </w:tc>
        <w:tc>
          <w:tcPr>
            <w:tcW w:type="dxa" w:w="1704"/>
            <w:vAlign w:val="center"/>
          </w:tcPr>
          <w:p>
            <w:pPr>
              <w:spacing w:after="40"/>
            </w:pPr>
            <w:r>
              <w:rPr>
                <w:b/>
                <w:sz w:val="16"/>
              </w:rPr>
              <w:t>Identifier</w:t>
            </w:r>
          </w:p>
        </w:tc>
        <w:tc>
          <w:tcPr>
            <w:tcW w:type="dxa" w:w="1704"/>
            <w:vAlign w:val="center"/>
          </w:tcPr>
          <w:p>
            <w:pPr>
              <w:spacing w:after="40"/>
            </w:pPr>
            <w:r>
              <w:rPr>
                <w:b/>
                <w:sz w:val="16"/>
              </w:rPr>
              <w:t>What it adds</w:t>
            </w:r>
          </w:p>
        </w:tc>
        <w:tc>
          <w:tcPr>
            <w:tcW w:type="dxa" w:w="1704"/>
            <w:vAlign w:val="center"/>
          </w:tcPr>
          <w:p>
            <w:pPr>
              <w:spacing w:after="40"/>
            </w:pPr>
            <w:r>
              <w:rPr>
                <w:b/>
                <w:sz w:val="16"/>
              </w:rPr>
              <w:t>Implication</w:t>
            </w:r>
          </w:p>
        </w:tc>
      </w:tr>
      <w:tr>
        <w:tc>
          <w:tcPr>
            <w:tcW w:type="dxa" w:w="1704"/>
            <w:vAlign w:val="top"/>
          </w:tcPr>
          <w:p>
            <w:pPr>
              <w:spacing w:after="40"/>
            </w:pPr>
            <w:r>
              <w:rPr>
                <w:sz w:val="16"/>
              </w:rPr>
              <w:t>An adaptable security-by-design approach for ensuring a secure Over the Air (OTA) update in modern vehicles</w:t>
            </w:r>
          </w:p>
        </w:tc>
        <w:tc>
          <w:tcPr>
            <w:tcW w:type="dxa" w:w="1704"/>
            <w:vAlign w:val="top"/>
          </w:tcPr>
          <w:p>
            <w:pPr>
              <w:spacing w:after="40"/>
            </w:pPr>
            <w:r>
              <w:rPr>
                <w:sz w:val="16"/>
              </w:rPr>
              <w:t>2025</w:t>
            </w:r>
          </w:p>
        </w:tc>
        <w:tc>
          <w:tcPr>
            <w:tcW w:type="dxa" w:w="1704"/>
            <w:vAlign w:val="top"/>
          </w:tcPr>
          <w:p>
            <w:pPr>
              <w:spacing w:after="40"/>
            </w:pPr>
            <w:r>
              <w:rPr>
                <w:sz w:val="16"/>
              </w:rPr>
              <w:t>Computers &amp; Security</w:t>
            </w:r>
          </w:p>
        </w:tc>
        <w:tc>
          <w:tcPr>
            <w:tcW w:type="dxa" w:w="1704"/>
            <w:vAlign w:val="top"/>
          </w:tcPr>
          <w:p>
            <w:pPr>
              <w:spacing w:after="40"/>
            </w:pPr>
            <w:r>
              <w:rPr>
                <w:sz w:val="16"/>
              </w:rPr>
              <w:t>10.1016/j.cose.2024.104268</w:t>
            </w:r>
          </w:p>
        </w:tc>
        <w:tc>
          <w:tcPr>
            <w:tcW w:type="dxa" w:w="1704"/>
            <w:vAlign w:val="top"/>
          </w:tcPr>
          <w:p>
            <w:pPr>
              <w:spacing w:after="40"/>
            </w:pPr>
            <w:r>
              <w:rPr>
                <w:sz w:val="16"/>
              </w:rPr>
              <w:t>Security-by-design approach for modern vehicle OTA.</w:t>
            </w:r>
          </w:p>
        </w:tc>
        <w:tc>
          <w:tcPr>
            <w:tcW w:type="dxa" w:w="1704"/>
            <w:vAlign w:val="top"/>
          </w:tcPr>
          <w:p>
            <w:pPr>
              <w:spacing w:after="40"/>
            </w:pPr>
            <w:r>
              <w:rPr>
                <w:sz w:val="16"/>
              </w:rPr>
              <w:t>Security-focused; not a complete post-deployment cyber-physical assurance loop.</w:t>
            </w:r>
          </w:p>
        </w:tc>
      </w:tr>
      <w:tr>
        <w:tc>
          <w:tcPr>
            <w:tcW w:type="dxa" w:w="1704"/>
            <w:vAlign w:val="top"/>
          </w:tcPr>
          <w:p>
            <w:pPr>
              <w:spacing w:after="40"/>
            </w:pPr>
            <w:r>
              <w:rPr>
                <w:sz w:val="16"/>
              </w:rPr>
              <w:t>Safe and Secure Over-the-Air Software-Updates for Software-Defined Vehicles</w:t>
            </w:r>
          </w:p>
        </w:tc>
        <w:tc>
          <w:tcPr>
            <w:tcW w:type="dxa" w:w="1704"/>
            <w:vAlign w:val="top"/>
          </w:tcPr>
          <w:p>
            <w:pPr>
              <w:spacing w:after="40"/>
            </w:pPr>
            <w:r>
              <w:rPr>
                <w:sz w:val="16"/>
              </w:rPr>
              <w:t>2025</w:t>
            </w:r>
          </w:p>
        </w:tc>
        <w:tc>
          <w:tcPr>
            <w:tcW w:type="dxa" w:w="1704"/>
            <w:vAlign w:val="top"/>
          </w:tcPr>
          <w:p>
            <w:pPr>
              <w:spacing w:after="40"/>
            </w:pPr>
            <w:r>
              <w:rPr>
                <w:sz w:val="16"/>
              </w:rPr>
              <w:t>DLR / Eclipse SDV Community Days</w:t>
            </w:r>
          </w:p>
        </w:tc>
        <w:tc>
          <w:tcPr>
            <w:tcW w:type="dxa" w:w="1704"/>
            <w:vAlign w:val="top"/>
          </w:tcPr>
          <w:p>
            <w:pPr>
              <w:spacing w:after="40"/>
            </w:pPr>
            <w:r>
              <w:rPr>
                <w:sz w:val="16"/>
              </w:rPr>
              <w:t>2025</w:t>
            </w:r>
          </w:p>
        </w:tc>
        <w:tc>
          <w:tcPr>
            <w:tcW w:type="dxa" w:w="1704"/>
            <w:vAlign w:val="top"/>
          </w:tcPr>
          <w:p>
            <w:pPr>
              <w:spacing w:after="40"/>
            </w:pPr>
            <w:r>
              <w:rPr>
                <w:sz w:val="16"/>
              </w:rPr>
              <w:t>Discusses compatibility, time/resource specifications and DevOps integration.</w:t>
            </w:r>
          </w:p>
        </w:tc>
        <w:tc>
          <w:tcPr>
            <w:tcW w:type="dxa" w:w="1704"/>
            <w:vAlign w:val="top"/>
          </w:tcPr>
          <w:p>
            <w:pPr>
              <w:spacing w:after="40"/>
            </w:pPr>
            <w:r>
              <w:rPr>
                <w:sz w:val="16"/>
              </w:rPr>
              <w:t>Engineering guidance; not a complete runtime safety-envelope solution.</w:t>
            </w:r>
          </w:p>
        </w:tc>
      </w:tr>
      <w:tr>
        <w:tc>
          <w:tcPr>
            <w:tcW w:type="dxa" w:w="1704"/>
            <w:vAlign w:val="top"/>
          </w:tcPr>
          <w:p>
            <w:pPr>
              <w:spacing w:after="40"/>
            </w:pPr>
            <w:r>
              <w:rPr>
                <w:sz w:val="16"/>
              </w:rPr>
              <w:t>A Comprehensive, Automated Security Analysis of the Uptane Automotive Over-the-Air Update Framework</w:t>
            </w:r>
          </w:p>
        </w:tc>
        <w:tc>
          <w:tcPr>
            <w:tcW w:type="dxa" w:w="1704"/>
            <w:vAlign w:val="top"/>
          </w:tcPr>
          <w:p>
            <w:pPr>
              <w:spacing w:after="40"/>
            </w:pPr>
            <w:r>
              <w:rPr>
                <w:sz w:val="16"/>
              </w:rPr>
              <w:t>2024</w:t>
            </w:r>
          </w:p>
        </w:tc>
        <w:tc>
          <w:tcPr>
            <w:tcW w:type="dxa" w:w="1704"/>
            <w:vAlign w:val="top"/>
          </w:tcPr>
          <w:p>
            <w:pPr>
              <w:spacing w:after="40"/>
            </w:pPr>
            <w:r>
              <w:rPr>
                <w:sz w:val="16"/>
              </w:rPr>
              <w:t>ACM conference</w:t>
            </w:r>
          </w:p>
        </w:tc>
        <w:tc>
          <w:tcPr>
            <w:tcW w:type="dxa" w:w="1704"/>
            <w:vAlign w:val="top"/>
          </w:tcPr>
          <w:p>
            <w:pPr>
              <w:spacing w:after="40"/>
            </w:pPr>
            <w:r>
              <w:rPr>
                <w:sz w:val="16"/>
              </w:rPr>
              <w:t>2024</w:t>
            </w:r>
          </w:p>
        </w:tc>
        <w:tc>
          <w:tcPr>
            <w:tcW w:type="dxa" w:w="1704"/>
            <w:vAlign w:val="top"/>
          </w:tcPr>
          <w:p>
            <w:pPr>
              <w:spacing w:after="40"/>
            </w:pPr>
            <w:r>
              <w:rPr>
                <w:sz w:val="16"/>
              </w:rPr>
              <w:t>Formal/automated security analysis of Uptane properties.</w:t>
            </w:r>
          </w:p>
        </w:tc>
        <w:tc>
          <w:tcPr>
            <w:tcW w:type="dxa" w:w="1704"/>
            <w:vAlign w:val="top"/>
          </w:tcPr>
          <w:p>
            <w:pPr>
              <w:spacing w:after="40"/>
            </w:pPr>
            <w:r>
              <w:rPr>
                <w:sz w:val="16"/>
              </w:rPr>
              <w:t>Primarily update-security assurance.</w:t>
            </w:r>
          </w:p>
        </w:tc>
      </w:tr>
      <w:tr>
        <w:tc>
          <w:tcPr>
            <w:tcW w:type="dxa" w:w="1704"/>
            <w:vAlign w:val="top"/>
          </w:tcPr>
          <w:p>
            <w:pPr>
              <w:spacing w:after="40"/>
            </w:pPr>
            <w:r>
              <w:rPr>
                <w:sz w:val="16"/>
              </w:rPr>
              <w:t>Secure over-the-air software updates in connected vehicles: A survey</w:t>
            </w:r>
          </w:p>
        </w:tc>
        <w:tc>
          <w:tcPr>
            <w:tcW w:type="dxa" w:w="1704"/>
            <w:vAlign w:val="top"/>
          </w:tcPr>
          <w:p>
            <w:pPr>
              <w:spacing w:after="40"/>
            </w:pPr>
            <w:r>
              <w:rPr>
                <w:sz w:val="16"/>
              </w:rPr>
              <w:t>2020</w:t>
            </w:r>
          </w:p>
        </w:tc>
        <w:tc>
          <w:tcPr>
            <w:tcW w:type="dxa" w:w="1704"/>
            <w:vAlign w:val="top"/>
          </w:tcPr>
          <w:p>
            <w:pPr>
              <w:spacing w:after="40"/>
            </w:pPr>
            <w:r>
              <w:rPr>
                <w:sz w:val="16"/>
              </w:rPr>
              <w:t>Computer Networks</w:t>
            </w:r>
          </w:p>
        </w:tc>
        <w:tc>
          <w:tcPr>
            <w:tcW w:type="dxa" w:w="1704"/>
            <w:vAlign w:val="top"/>
          </w:tcPr>
          <w:p>
            <w:pPr>
              <w:spacing w:after="40"/>
            </w:pPr>
            <w:r>
              <w:rPr>
                <w:sz w:val="16"/>
              </w:rPr>
              <w:t>2020</w:t>
            </w:r>
          </w:p>
        </w:tc>
        <w:tc>
          <w:tcPr>
            <w:tcW w:type="dxa" w:w="1704"/>
            <w:vAlign w:val="top"/>
          </w:tcPr>
          <w:p>
            <w:pPr>
              <w:spacing w:after="40"/>
            </w:pPr>
            <w:r>
              <w:rPr>
                <w:sz w:val="16"/>
              </w:rPr>
              <w:t>Survey of secure OTA architecture and threats.</w:t>
            </w:r>
          </w:p>
        </w:tc>
        <w:tc>
          <w:tcPr>
            <w:tcW w:type="dxa" w:w="1704"/>
            <w:vAlign w:val="top"/>
          </w:tcPr>
          <w:p>
            <w:pPr>
              <w:spacing w:after="40"/>
            </w:pPr>
            <w:r>
              <w:rPr>
                <w:sz w:val="16"/>
              </w:rPr>
              <w:t>Foundational; predates recent SDV runtime-assurance focus.</w:t>
            </w:r>
          </w:p>
        </w:tc>
      </w:tr>
      <w:tr>
        <w:tc>
          <w:tcPr>
            <w:tcW w:type="dxa" w:w="1704"/>
            <w:vAlign w:val="top"/>
          </w:tcPr>
          <w:p>
            <w:pPr>
              <w:spacing w:after="40"/>
            </w:pPr>
            <w:r>
              <w:rPr>
                <w:sz w:val="16"/>
              </w:rPr>
              <w:t>Software Update Based Vehicle Actuation</w:t>
            </w:r>
          </w:p>
        </w:tc>
        <w:tc>
          <w:tcPr>
            <w:tcW w:type="dxa" w:w="1704"/>
            <w:vAlign w:val="top"/>
          </w:tcPr>
          <w:p>
            <w:pPr>
              <w:spacing w:after="40"/>
            </w:pPr>
            <w:r>
              <w:rPr>
                <w:sz w:val="16"/>
              </w:rPr>
              <w:t>2025</w:t>
            </w:r>
          </w:p>
        </w:tc>
        <w:tc>
          <w:tcPr>
            <w:tcW w:type="dxa" w:w="1704"/>
            <w:vAlign w:val="top"/>
          </w:tcPr>
          <w:p>
            <w:pPr>
              <w:spacing w:after="40"/>
            </w:pPr>
            <w:r>
              <w:rPr>
                <w:sz w:val="16"/>
              </w:rPr>
              <w:t>US patent application</w:t>
            </w:r>
          </w:p>
        </w:tc>
        <w:tc>
          <w:tcPr>
            <w:tcW w:type="dxa" w:w="1704"/>
            <w:vAlign w:val="top"/>
          </w:tcPr>
          <w:p>
            <w:pPr>
              <w:spacing w:after="40"/>
            </w:pPr>
            <w:r>
              <w:rPr>
                <w:sz w:val="16"/>
              </w:rPr>
              <w:t>US20250251926A1</w:t>
            </w:r>
          </w:p>
        </w:tc>
        <w:tc>
          <w:tcPr>
            <w:tcW w:type="dxa" w:w="1704"/>
            <w:vAlign w:val="top"/>
          </w:tcPr>
          <w:p>
            <w:pPr>
              <w:spacing w:after="40"/>
            </w:pPr>
            <w:r>
              <w:rPr>
                <w:sz w:val="16"/>
              </w:rPr>
              <w:t>Uses treatment/control groups and causal ML to estimate software-update causal effects and can revert/disable affected software.</w:t>
            </w:r>
          </w:p>
        </w:tc>
        <w:tc>
          <w:tcPr>
            <w:tcW w:type="dxa" w:w="1704"/>
            <w:vAlign w:val="top"/>
          </w:tcPr>
          <w:p>
            <w:pPr>
              <w:spacing w:after="40"/>
            </w:pPr>
            <w:r>
              <w:rPr>
                <w:sz w:val="16"/>
              </w:rPr>
              <w:t>Shows causal attribution is not safe to claim as the core novelty.</w:t>
            </w:r>
          </w:p>
        </w:tc>
      </w:tr>
      <w:tr>
        <w:tc>
          <w:tcPr>
            <w:tcW w:type="dxa" w:w="1704"/>
            <w:vAlign w:val="top"/>
          </w:tcPr>
          <w:p>
            <w:pPr>
              <w:spacing w:after="40"/>
            </w:pPr>
            <w:r>
              <w:rPr>
                <w:sz w:val="16"/>
              </w:rPr>
              <w:t>Rollback recovery from partial failure in multi-ECU OTA</w:t>
            </w:r>
          </w:p>
        </w:tc>
        <w:tc>
          <w:tcPr>
            <w:tcW w:type="dxa" w:w="1704"/>
            <w:vAlign w:val="top"/>
          </w:tcPr>
          <w:p>
            <w:pPr>
              <w:spacing w:after="40"/>
            </w:pPr>
            <w:r>
              <w:rPr>
                <w:sz w:val="16"/>
              </w:rPr>
              <w:t>2019</w:t>
            </w:r>
          </w:p>
        </w:tc>
        <w:tc>
          <w:tcPr>
            <w:tcW w:type="dxa" w:w="1704"/>
            <w:vAlign w:val="top"/>
          </w:tcPr>
          <w:p>
            <w:pPr>
              <w:spacing w:after="40"/>
            </w:pPr>
            <w:r>
              <w:rPr>
                <w:sz w:val="16"/>
              </w:rPr>
              <w:t>US patent application</w:t>
            </w:r>
          </w:p>
        </w:tc>
        <w:tc>
          <w:tcPr>
            <w:tcW w:type="dxa" w:w="1704"/>
            <w:vAlign w:val="top"/>
          </w:tcPr>
          <w:p>
            <w:pPr>
              <w:spacing w:after="40"/>
            </w:pPr>
            <w:r>
              <w:rPr>
                <w:sz w:val="16"/>
              </w:rPr>
              <w:t>US20190324858A1</w:t>
            </w:r>
          </w:p>
        </w:tc>
        <w:tc>
          <w:tcPr>
            <w:tcW w:type="dxa" w:w="1704"/>
            <w:vAlign w:val="top"/>
          </w:tcPr>
          <w:p>
            <w:pPr>
              <w:spacing w:after="40"/>
            </w:pPr>
            <w:r>
              <w:rPr>
                <w:sz w:val="16"/>
              </w:rPr>
              <w:t>Recovery configurations and rollback minimization for multi-ECU OTA failures.</w:t>
            </w:r>
          </w:p>
        </w:tc>
        <w:tc>
          <w:tcPr>
            <w:tcW w:type="dxa" w:w="1704"/>
            <w:vAlign w:val="top"/>
          </w:tcPr>
          <w:p>
            <w:pPr>
              <w:spacing w:after="40"/>
            </w:pPr>
            <w:r>
              <w:rPr>
                <w:sz w:val="16"/>
              </w:rPr>
              <w:t>Shows selective/partial rollback has prior art.</w:t>
            </w:r>
          </w:p>
        </w:tc>
      </w:tr>
      <w:tr>
        <w:tc>
          <w:tcPr>
            <w:tcW w:type="dxa" w:w="1704"/>
            <w:vAlign w:val="top"/>
          </w:tcPr>
          <w:p>
            <w:pPr>
              <w:spacing w:after="40"/>
            </w:pPr>
            <w:r>
              <w:rPr>
                <w:sz w:val="16"/>
              </w:rPr>
              <w:t>Vehicle OTA flashing load control</w:t>
            </w:r>
          </w:p>
        </w:tc>
        <w:tc>
          <w:tcPr>
            <w:tcW w:type="dxa" w:w="1704"/>
            <w:vAlign w:val="top"/>
          </w:tcPr>
          <w:p>
            <w:pPr>
              <w:spacing w:after="40"/>
            </w:pPr>
            <w:r>
              <w:rPr>
                <w:sz w:val="16"/>
              </w:rPr>
              <w:t>2025</w:t>
            </w:r>
          </w:p>
        </w:tc>
        <w:tc>
          <w:tcPr>
            <w:tcW w:type="dxa" w:w="1704"/>
            <w:vAlign w:val="top"/>
          </w:tcPr>
          <w:p>
            <w:pPr>
              <w:spacing w:after="40"/>
            </w:pPr>
            <w:r>
              <w:rPr>
                <w:sz w:val="16"/>
              </w:rPr>
              <w:t>Chinese patent</w:t>
            </w:r>
          </w:p>
        </w:tc>
        <w:tc>
          <w:tcPr>
            <w:tcW w:type="dxa" w:w="1704"/>
            <w:vAlign w:val="top"/>
          </w:tcPr>
          <w:p>
            <w:pPr>
              <w:spacing w:after="40"/>
            </w:pPr>
            <w:r>
              <w:rPr>
                <w:sz w:val="16"/>
              </w:rPr>
              <w:t>CN121233145A</w:t>
            </w:r>
          </w:p>
        </w:tc>
        <w:tc>
          <w:tcPr>
            <w:tcW w:type="dxa" w:w="1704"/>
            <w:vAlign w:val="top"/>
          </w:tcPr>
          <w:p>
            <w:pPr>
              <w:spacing w:after="40"/>
            </w:pPr>
            <w:r>
              <w:rPr>
                <w:sz w:val="16"/>
              </w:rPr>
              <w:t>Uses CPU, memory, bandwidth and bus-load information to control OTA flashing/queueing and rollback.</w:t>
            </w:r>
          </w:p>
        </w:tc>
        <w:tc>
          <w:tcPr>
            <w:tcW w:type="dxa" w:w="1704"/>
            <w:vAlign w:val="top"/>
          </w:tcPr>
          <w:p>
            <w:pPr>
              <w:spacing w:after="40"/>
            </w:pPr>
            <w:r>
              <w:rPr>
                <w:sz w:val="16"/>
              </w:rPr>
              <w:t>Shows runtime resource-aware OTA execution is already patented.</w:t>
            </w:r>
          </w:p>
        </w:tc>
      </w:tr>
      <w:tr>
        <w:tc>
          <w:tcPr>
            <w:tcW w:type="dxa" w:w="1704"/>
            <w:vAlign w:val="top"/>
          </w:tcPr>
          <w:p>
            <w:pPr>
              <w:spacing w:after="40"/>
            </w:pPr>
            <w:r>
              <w:rPr>
                <w:sz w:val="16"/>
              </w:rPr>
              <w:t>Dynamic OTA CPU utilization control</w:t>
            </w:r>
          </w:p>
        </w:tc>
        <w:tc>
          <w:tcPr>
            <w:tcW w:type="dxa" w:w="1704"/>
            <w:vAlign w:val="top"/>
          </w:tcPr>
          <w:p>
            <w:pPr>
              <w:spacing w:after="40"/>
            </w:pPr>
            <w:r>
              <w:rPr>
                <w:sz w:val="16"/>
              </w:rPr>
              <w:t>2026</w:t>
            </w:r>
          </w:p>
        </w:tc>
        <w:tc>
          <w:tcPr>
            <w:tcW w:type="dxa" w:w="1704"/>
            <w:vAlign w:val="top"/>
          </w:tcPr>
          <w:p>
            <w:pPr>
              <w:spacing w:after="40"/>
            </w:pPr>
            <w:r>
              <w:rPr>
                <w:sz w:val="16"/>
              </w:rPr>
              <w:t>Chinese patent</w:t>
            </w:r>
          </w:p>
        </w:tc>
        <w:tc>
          <w:tcPr>
            <w:tcW w:type="dxa" w:w="1704"/>
            <w:vAlign w:val="top"/>
          </w:tcPr>
          <w:p>
            <w:pPr>
              <w:spacing w:after="40"/>
            </w:pPr>
            <w:r>
              <w:rPr>
                <w:sz w:val="16"/>
              </w:rPr>
              <w:t>CN121300972A</w:t>
            </w:r>
          </w:p>
        </w:tc>
        <w:tc>
          <w:tcPr>
            <w:tcW w:type="dxa" w:w="1704"/>
            <w:vAlign w:val="top"/>
          </w:tcPr>
          <w:p>
            <w:pPr>
              <w:spacing w:after="40"/>
            </w:pPr>
            <w:r>
              <w:rPr>
                <w:sz w:val="16"/>
              </w:rPr>
              <w:t>Adjusts OTA CPU utilization based on current vehicle resource state.</w:t>
            </w:r>
          </w:p>
        </w:tc>
        <w:tc>
          <w:tcPr>
            <w:tcW w:type="dxa" w:w="1704"/>
            <w:vAlign w:val="top"/>
          </w:tcPr>
          <w:p>
            <w:pPr>
              <w:spacing w:after="40"/>
            </w:pPr>
            <w:r>
              <w:rPr>
                <w:sz w:val="16"/>
              </w:rPr>
              <w:t>Shows simple resource-aware runtime OTA control is not novel.</w:t>
            </w:r>
          </w:p>
        </w:tc>
      </w:tr>
    </w:tbl>
    <w:p>
      <w:pPr>
        <w:pStyle w:val="Heading2"/>
      </w:pPr>
      <w:r>
        <w:t>Critical lesson</w:t>
      </w:r>
    </w:p>
    <w:p>
      <w:pPr>
        <w:spacing w:after="100"/>
      </w:pPr>
      <w:r>
        <w:t>The strongest research strategy is not to claim a new OTA protocol, new rollback mechanism, new anomaly detector, or new resource-aware updater. Those spaces contain direct academic and patent prior art. The project must focus on the lifecycle transformation from verified assumptions to a continuously evaluated runtime assurance envelope and the evidence chain that supports graduated responses.</w:t>
      </w:r>
    </w:p>
    <w:p>
      <w:r>
        <w:br w:type="page"/>
      </w:r>
    </w:p>
    <w:p>
      <w:pPr>
        <w:pStyle w:val="Heading1"/>
      </w:pPr>
      <w:r>
        <w:t>7. Cross-Paper Gap Analysis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40"/>
            </w:pPr>
            <w:r>
              <w:rPr>
                <w:b/>
                <w:sz w:val="16"/>
              </w:rPr>
              <w:t>Area</w:t>
            </w:r>
          </w:p>
        </w:tc>
        <w:tc>
          <w:tcPr>
            <w:tcW w:type="dxa" w:w="2556"/>
            <w:vAlign w:val="center"/>
          </w:tcPr>
          <w:p>
            <w:pPr>
              <w:spacing w:after="40"/>
            </w:pPr>
            <w:r>
              <w:rPr>
                <w:b/>
                <w:sz w:val="16"/>
              </w:rPr>
              <w:t>Evidence</w:t>
            </w:r>
          </w:p>
        </w:tc>
        <w:tc>
          <w:tcPr>
            <w:tcW w:type="dxa" w:w="2556"/>
            <w:vAlign w:val="center"/>
          </w:tcPr>
          <w:p>
            <w:pPr>
              <w:spacing w:after="40"/>
            </w:pPr>
            <w:r>
              <w:rPr>
                <w:b/>
                <w:sz w:val="16"/>
              </w:rPr>
              <w:t>Status</w:t>
            </w:r>
          </w:p>
        </w:tc>
        <w:tc>
          <w:tcPr>
            <w:tcW w:type="dxa" w:w="2556"/>
            <w:vAlign w:val="center"/>
          </w:tcPr>
          <w:p>
            <w:pPr>
              <w:spacing w:after="40"/>
            </w:pPr>
            <w:r>
              <w:rPr>
                <w:b/>
                <w:sz w:val="16"/>
              </w:rPr>
              <w:t>Gap/lesson</w:t>
            </w:r>
          </w:p>
        </w:tc>
      </w:tr>
      <w:tr>
        <w:tc>
          <w:tcPr>
            <w:tcW w:type="dxa" w:w="2556"/>
            <w:vAlign w:val="top"/>
          </w:tcPr>
          <w:p>
            <w:pPr>
              <w:spacing w:after="40"/>
            </w:pPr>
            <w:r>
              <w:rPr>
                <w:sz w:val="16"/>
              </w:rPr>
              <w:t>Secure protocol verification</w:t>
            </w:r>
          </w:p>
        </w:tc>
        <w:tc>
          <w:tcPr>
            <w:tcW w:type="dxa" w:w="2556"/>
            <w:vAlign w:val="top"/>
          </w:tcPr>
          <w:p>
            <w:pPr>
              <w:spacing w:after="40"/>
            </w:pPr>
            <w:r>
              <w:rPr>
                <w:sz w:val="16"/>
              </w:rPr>
              <w:t>R4, security papers</w:t>
            </w:r>
          </w:p>
        </w:tc>
        <w:tc>
          <w:tcPr>
            <w:tcW w:type="dxa" w:w="2556"/>
            <w:vAlign w:val="top"/>
          </w:tcPr>
          <w:p>
            <w:pPr>
              <w:spacing w:after="40"/>
            </w:pPr>
            <w:r>
              <w:rPr>
                <w:sz w:val="16"/>
              </w:rPr>
              <w:t>Strong</w:t>
            </w:r>
          </w:p>
        </w:tc>
        <w:tc>
          <w:tcPr>
            <w:tcW w:type="dxa" w:w="2556"/>
            <w:vAlign w:val="top"/>
          </w:tcPr>
          <w:p>
            <w:pPr>
              <w:spacing w:after="40"/>
            </w:pPr>
            <w:r>
              <w:rPr>
                <w:sz w:val="16"/>
              </w:rPr>
              <w:t>Post-deployment safety margin not the primary target.</w:t>
            </w:r>
          </w:p>
        </w:tc>
      </w:tr>
      <w:tr>
        <w:tc>
          <w:tcPr>
            <w:tcW w:type="dxa" w:w="2556"/>
            <w:vAlign w:val="top"/>
          </w:tcPr>
          <w:p>
            <w:pPr>
              <w:spacing w:after="40"/>
            </w:pPr>
            <w:r>
              <w:rPr>
                <w:sz w:val="16"/>
              </w:rPr>
              <w:t>Contract-based OTA safety</w:t>
            </w:r>
          </w:p>
        </w:tc>
        <w:tc>
          <w:tcPr>
            <w:tcW w:type="dxa" w:w="2556"/>
            <w:vAlign w:val="top"/>
          </w:tcPr>
          <w:p>
            <w:pPr>
              <w:spacing w:after="40"/>
            </w:pPr>
            <w:r>
              <w:rPr>
                <w:sz w:val="16"/>
              </w:rPr>
              <w:t>TSE 2026</w:t>
            </w:r>
          </w:p>
        </w:tc>
        <w:tc>
          <w:tcPr>
            <w:tcW w:type="dxa" w:w="2556"/>
            <w:vAlign w:val="top"/>
          </w:tcPr>
          <w:p>
            <w:pPr>
              <w:spacing w:after="40"/>
            </w:pPr>
            <w:r>
              <w:rPr>
                <w:sz w:val="16"/>
              </w:rPr>
              <w:t>Strong</w:t>
            </w:r>
          </w:p>
        </w:tc>
        <w:tc>
          <w:tcPr>
            <w:tcW w:type="dxa" w:w="2556"/>
            <w:vAlign w:val="top"/>
          </w:tcPr>
          <w:p>
            <w:pPr>
              <w:spacing w:after="40"/>
            </w:pPr>
            <w:r>
              <w:rPr>
                <w:sz w:val="16"/>
              </w:rPr>
              <w:t>Contracts are established/checked; field validity over time is less developed.</w:t>
            </w:r>
          </w:p>
        </w:tc>
      </w:tr>
      <w:tr>
        <w:tc>
          <w:tcPr>
            <w:tcW w:type="dxa" w:w="2556"/>
            <w:vAlign w:val="top"/>
          </w:tcPr>
          <w:p>
            <w:pPr>
              <w:spacing w:after="40"/>
            </w:pPr>
            <w:r>
              <w:rPr>
                <w:sz w:val="16"/>
              </w:rPr>
              <w:t>Dependency-aware orchestration</w:t>
            </w:r>
          </w:p>
        </w:tc>
        <w:tc>
          <w:tcPr>
            <w:tcW w:type="dxa" w:w="2556"/>
            <w:vAlign w:val="top"/>
          </w:tcPr>
          <w:p>
            <w:pPr>
              <w:spacing w:after="40"/>
            </w:pPr>
            <w:r>
              <w:rPr>
                <w:sz w:val="16"/>
              </w:rPr>
              <w:t>FSE 2026</w:t>
            </w:r>
          </w:p>
        </w:tc>
        <w:tc>
          <w:tcPr>
            <w:tcW w:type="dxa" w:w="2556"/>
            <w:vAlign w:val="top"/>
          </w:tcPr>
          <w:p>
            <w:pPr>
              <w:spacing w:after="40"/>
            </w:pPr>
            <w:r>
              <w:rPr>
                <w:sz w:val="16"/>
              </w:rPr>
              <w:t>Strong</w:t>
            </w:r>
          </w:p>
        </w:tc>
        <w:tc>
          <w:tcPr>
            <w:tcW w:type="dxa" w:w="2556"/>
            <w:vAlign w:val="top"/>
          </w:tcPr>
          <w:p>
            <w:pPr>
              <w:spacing w:after="40"/>
            </w:pPr>
            <w:r>
              <w:rPr>
                <w:sz w:val="16"/>
              </w:rPr>
              <w:t>Execution/dependency planning rather than lifelong assurance.</w:t>
            </w:r>
          </w:p>
        </w:tc>
      </w:tr>
      <w:tr>
        <w:tc>
          <w:tcPr>
            <w:tcW w:type="dxa" w:w="2556"/>
            <w:vAlign w:val="top"/>
          </w:tcPr>
          <w:p>
            <w:pPr>
              <w:spacing w:after="40"/>
            </w:pPr>
            <w:r>
              <w:rPr>
                <w:sz w:val="16"/>
              </w:rPr>
              <w:t>Execution planning</w:t>
            </w:r>
          </w:p>
        </w:tc>
        <w:tc>
          <w:tcPr>
            <w:tcW w:type="dxa" w:w="2556"/>
            <w:vAlign w:val="top"/>
          </w:tcPr>
          <w:p>
            <w:pPr>
              <w:spacing w:after="40"/>
            </w:pPr>
            <w:r>
              <w:rPr>
                <w:sz w:val="16"/>
              </w:rPr>
              <w:t>2026 JSA work / related research</w:t>
            </w:r>
          </w:p>
        </w:tc>
        <w:tc>
          <w:tcPr>
            <w:tcW w:type="dxa" w:w="2556"/>
            <w:vAlign w:val="top"/>
          </w:tcPr>
          <w:p>
            <w:pPr>
              <w:spacing w:after="40"/>
            </w:pPr>
            <w:r>
              <w:rPr>
                <w:sz w:val="16"/>
              </w:rPr>
              <w:t>Strong</w:t>
            </w:r>
          </w:p>
        </w:tc>
        <w:tc>
          <w:tcPr>
            <w:tcW w:type="dxa" w:w="2556"/>
            <w:vAlign w:val="top"/>
          </w:tcPr>
          <w:p>
            <w:pPr>
              <w:spacing w:after="40"/>
            </w:pPr>
            <w:r>
              <w:rPr>
                <w:sz w:val="16"/>
              </w:rPr>
              <w:t>Feasible update path, not continuous field assurance.</w:t>
            </w:r>
          </w:p>
        </w:tc>
      </w:tr>
      <w:tr>
        <w:tc>
          <w:tcPr>
            <w:tcW w:type="dxa" w:w="2556"/>
            <w:vAlign w:val="top"/>
          </w:tcPr>
          <w:p>
            <w:pPr>
              <w:spacing w:after="40"/>
            </w:pPr>
            <w:r>
              <w:rPr>
                <w:sz w:val="16"/>
              </w:rPr>
              <w:t>HIL validation</w:t>
            </w:r>
          </w:p>
        </w:tc>
        <w:tc>
          <w:tcPr>
            <w:tcW w:type="dxa" w:w="2556"/>
            <w:vAlign w:val="top"/>
          </w:tcPr>
          <w:p>
            <w:pPr>
              <w:spacing w:after="40"/>
            </w:pPr>
            <w:r>
              <w:rPr>
                <w:sz w:val="16"/>
              </w:rPr>
              <w:t>SAE 2026</w:t>
            </w:r>
          </w:p>
        </w:tc>
        <w:tc>
          <w:tcPr>
            <w:tcW w:type="dxa" w:w="2556"/>
            <w:vAlign w:val="top"/>
          </w:tcPr>
          <w:p>
            <w:pPr>
              <w:spacing w:after="40"/>
            </w:pPr>
            <w:r>
              <w:rPr>
                <w:sz w:val="16"/>
              </w:rPr>
              <w:t>Strong</w:t>
            </w:r>
          </w:p>
        </w:tc>
        <w:tc>
          <w:tcPr>
            <w:tcW w:type="dxa" w:w="2556"/>
            <w:vAlign w:val="top"/>
          </w:tcPr>
          <w:p>
            <w:pPr>
              <w:spacing w:after="40"/>
            </w:pPr>
            <w:r>
              <w:rPr>
                <w:sz w:val="16"/>
              </w:rPr>
              <w:t>Controlled environment; future contexts remain open.</w:t>
            </w:r>
          </w:p>
        </w:tc>
      </w:tr>
      <w:tr>
        <w:tc>
          <w:tcPr>
            <w:tcW w:type="dxa" w:w="2556"/>
            <w:vAlign w:val="top"/>
          </w:tcPr>
          <w:p>
            <w:pPr>
              <w:spacing w:after="40"/>
            </w:pPr>
            <w:r>
              <w:rPr>
                <w:sz w:val="16"/>
              </w:rPr>
              <w:t>Resource-aware OTA</w:t>
            </w:r>
          </w:p>
        </w:tc>
        <w:tc>
          <w:tcPr>
            <w:tcW w:type="dxa" w:w="2556"/>
            <w:vAlign w:val="top"/>
          </w:tcPr>
          <w:p>
            <w:pPr>
              <w:spacing w:after="40"/>
            </w:pPr>
            <w:r>
              <w:rPr>
                <w:sz w:val="16"/>
              </w:rPr>
              <w:t>2025/2026 patents</w:t>
            </w:r>
          </w:p>
        </w:tc>
        <w:tc>
          <w:tcPr>
            <w:tcW w:type="dxa" w:w="2556"/>
            <w:vAlign w:val="top"/>
          </w:tcPr>
          <w:p>
            <w:pPr>
              <w:spacing w:after="40"/>
            </w:pPr>
            <w:r>
              <w:rPr>
                <w:sz w:val="16"/>
              </w:rPr>
              <w:t>Covered</w:t>
            </w:r>
          </w:p>
        </w:tc>
        <w:tc>
          <w:tcPr>
            <w:tcW w:type="dxa" w:w="2556"/>
            <w:vAlign w:val="top"/>
          </w:tcPr>
          <w:p>
            <w:pPr>
              <w:spacing w:after="40"/>
            </w:pPr>
            <w:r>
              <w:rPr>
                <w:sz w:val="16"/>
              </w:rPr>
              <w:t>Cannot be claimed as core novelty.</w:t>
            </w:r>
          </w:p>
        </w:tc>
      </w:tr>
      <w:tr>
        <w:tc>
          <w:tcPr>
            <w:tcW w:type="dxa" w:w="2556"/>
            <w:vAlign w:val="top"/>
          </w:tcPr>
          <w:p>
            <w:pPr>
              <w:spacing w:after="40"/>
            </w:pPr>
            <w:r>
              <w:rPr>
                <w:sz w:val="16"/>
              </w:rPr>
              <w:t>Post-update anomaly detection</w:t>
            </w:r>
          </w:p>
        </w:tc>
        <w:tc>
          <w:tcPr>
            <w:tcW w:type="dxa" w:w="2556"/>
            <w:vAlign w:val="top"/>
          </w:tcPr>
          <w:p>
            <w:pPr>
              <w:spacing w:after="40"/>
            </w:pPr>
            <w:r>
              <w:rPr>
                <w:sz w:val="16"/>
              </w:rPr>
              <w:t>Prior patents/research</w:t>
            </w:r>
          </w:p>
        </w:tc>
        <w:tc>
          <w:tcPr>
            <w:tcW w:type="dxa" w:w="2556"/>
            <w:vAlign w:val="top"/>
          </w:tcPr>
          <w:p>
            <w:pPr>
              <w:spacing w:after="40"/>
            </w:pPr>
            <w:r>
              <w:rPr>
                <w:sz w:val="16"/>
              </w:rPr>
              <w:t>Covered/active</w:t>
            </w:r>
          </w:p>
        </w:tc>
        <w:tc>
          <w:tcPr>
            <w:tcW w:type="dxa" w:w="2556"/>
            <w:vAlign w:val="top"/>
          </w:tcPr>
          <w:p>
            <w:pPr>
              <w:spacing w:after="40"/>
            </w:pPr>
            <w:r>
              <w:rPr>
                <w:sz w:val="16"/>
              </w:rPr>
              <w:t>Generic anomaly monitoring is insufficient as novelty.</w:t>
            </w:r>
          </w:p>
        </w:tc>
      </w:tr>
      <w:tr>
        <w:tc>
          <w:tcPr>
            <w:tcW w:type="dxa" w:w="2556"/>
            <w:vAlign w:val="top"/>
          </w:tcPr>
          <w:p>
            <w:pPr>
              <w:spacing w:after="40"/>
            </w:pPr>
            <w:r>
              <w:rPr>
                <w:sz w:val="16"/>
              </w:rPr>
              <w:t>Causal update attribution</w:t>
            </w:r>
          </w:p>
        </w:tc>
        <w:tc>
          <w:tcPr>
            <w:tcW w:type="dxa" w:w="2556"/>
            <w:vAlign w:val="top"/>
          </w:tcPr>
          <w:p>
            <w:pPr>
              <w:spacing w:after="40"/>
            </w:pPr>
            <w:r>
              <w:rPr>
                <w:sz w:val="16"/>
              </w:rPr>
              <w:t>US20250251926A1</w:t>
            </w:r>
          </w:p>
        </w:tc>
        <w:tc>
          <w:tcPr>
            <w:tcW w:type="dxa" w:w="2556"/>
            <w:vAlign w:val="top"/>
          </w:tcPr>
          <w:p>
            <w:pPr>
              <w:spacing w:after="40"/>
            </w:pPr>
            <w:r>
              <w:rPr>
                <w:sz w:val="16"/>
              </w:rPr>
              <w:t>Covered</w:t>
            </w:r>
          </w:p>
        </w:tc>
        <w:tc>
          <w:tcPr>
            <w:tcW w:type="dxa" w:w="2556"/>
            <w:vAlign w:val="top"/>
          </w:tcPr>
          <w:p>
            <w:pPr>
              <w:spacing w:after="40"/>
            </w:pPr>
            <w:r>
              <w:rPr>
                <w:sz w:val="16"/>
              </w:rPr>
              <w:t>Causal attribution alone is not novel.</w:t>
            </w:r>
          </w:p>
        </w:tc>
      </w:tr>
      <w:tr>
        <w:tc>
          <w:tcPr>
            <w:tcW w:type="dxa" w:w="2556"/>
            <w:vAlign w:val="top"/>
          </w:tcPr>
          <w:p>
            <w:pPr>
              <w:spacing w:after="40"/>
            </w:pPr>
            <w:r>
              <w:rPr>
                <w:sz w:val="16"/>
              </w:rPr>
              <w:t>Selective rollback</w:t>
            </w:r>
          </w:p>
        </w:tc>
        <w:tc>
          <w:tcPr>
            <w:tcW w:type="dxa" w:w="2556"/>
            <w:vAlign w:val="top"/>
          </w:tcPr>
          <w:p>
            <w:pPr>
              <w:spacing w:after="40"/>
            </w:pPr>
            <w:r>
              <w:rPr>
                <w:sz w:val="16"/>
              </w:rPr>
              <w:t>US20190324858A1; 2026 patent art</w:t>
            </w:r>
          </w:p>
        </w:tc>
        <w:tc>
          <w:tcPr>
            <w:tcW w:type="dxa" w:w="2556"/>
            <w:vAlign w:val="top"/>
          </w:tcPr>
          <w:p>
            <w:pPr>
              <w:spacing w:after="40"/>
            </w:pPr>
            <w:r>
              <w:rPr>
                <w:sz w:val="16"/>
              </w:rPr>
              <w:t>Covered</w:t>
            </w:r>
          </w:p>
        </w:tc>
        <w:tc>
          <w:tcPr>
            <w:tcW w:type="dxa" w:w="2556"/>
            <w:vAlign w:val="top"/>
          </w:tcPr>
          <w:p>
            <w:pPr>
              <w:spacing w:after="40"/>
            </w:pPr>
            <w:r>
              <w:rPr>
                <w:sz w:val="16"/>
              </w:rPr>
              <w:t>Selective rollback alone is not novel.</w:t>
            </w:r>
          </w:p>
        </w:tc>
      </w:tr>
      <w:tr>
        <w:tc>
          <w:tcPr>
            <w:tcW w:type="dxa" w:w="2556"/>
            <w:vAlign w:val="top"/>
          </w:tcPr>
          <w:p>
            <w:pPr>
              <w:spacing w:after="40"/>
            </w:pPr>
            <w:r>
              <w:rPr>
                <w:sz w:val="16"/>
              </w:rPr>
              <w:t>Continuous envelope validity after OTA</w:t>
            </w:r>
          </w:p>
        </w:tc>
        <w:tc>
          <w:tcPr>
            <w:tcW w:type="dxa" w:w="2556"/>
            <w:vAlign w:val="top"/>
          </w:tcPr>
          <w:p>
            <w:pPr>
              <w:spacing w:after="40"/>
            </w:pPr>
            <w:r>
              <w:rPr>
                <w:sz w:val="16"/>
              </w:rPr>
              <w:t>Cross-paper candidate</w:t>
            </w:r>
          </w:p>
        </w:tc>
        <w:tc>
          <w:tcPr>
            <w:tcW w:type="dxa" w:w="2556"/>
            <w:vAlign w:val="top"/>
          </w:tcPr>
          <w:p>
            <w:pPr>
              <w:spacing w:after="40"/>
            </w:pPr>
            <w:r>
              <w:rPr>
                <w:sz w:val="16"/>
              </w:rPr>
              <w:t>Less directly unified</w:t>
            </w:r>
          </w:p>
        </w:tc>
        <w:tc>
          <w:tcPr>
            <w:tcW w:type="dxa" w:w="2556"/>
            <w:vAlign w:val="top"/>
          </w:tcPr>
          <w:p>
            <w:pPr>
              <w:spacing w:after="40"/>
            </w:pPr>
            <w:r>
              <w:rPr>
                <w:sz w:val="16"/>
              </w:rPr>
              <w:t>Potential contribution if tied explicitly to verified assumptions and runtime evidence.</w:t>
            </w:r>
          </w:p>
        </w:tc>
      </w:tr>
      <w:tr>
        <w:tc>
          <w:tcPr>
            <w:tcW w:type="dxa" w:w="2556"/>
            <w:vAlign w:val="top"/>
          </w:tcPr>
          <w:p>
            <w:pPr>
              <w:spacing w:after="40"/>
            </w:pPr>
            <w:r>
              <w:rPr>
                <w:sz w:val="16"/>
              </w:rPr>
              <w:t>Predictive loss of verified margin</w:t>
            </w:r>
          </w:p>
        </w:tc>
        <w:tc>
          <w:tcPr>
            <w:tcW w:type="dxa" w:w="2556"/>
            <w:vAlign w:val="top"/>
          </w:tcPr>
          <w:p>
            <w:pPr>
              <w:spacing w:after="40"/>
            </w:pPr>
            <w:r>
              <w:rPr>
                <w:sz w:val="16"/>
              </w:rPr>
              <w:t>Cross-paper candidate</w:t>
            </w:r>
          </w:p>
        </w:tc>
        <w:tc>
          <w:tcPr>
            <w:tcW w:type="dxa" w:w="2556"/>
            <w:vAlign w:val="top"/>
          </w:tcPr>
          <w:p>
            <w:pPr>
              <w:spacing w:after="40"/>
            </w:pPr>
            <w:r>
              <w:rPr>
                <w:sz w:val="16"/>
              </w:rPr>
              <w:t>Needs targeted prior-art search</w:t>
            </w:r>
          </w:p>
        </w:tc>
        <w:tc>
          <w:tcPr>
            <w:tcW w:type="dxa" w:w="2556"/>
            <w:vAlign w:val="top"/>
          </w:tcPr>
          <w:p>
            <w:pPr>
              <w:spacing w:after="40"/>
            </w:pPr>
            <w:r>
              <w:rPr>
                <w:sz w:val="16"/>
              </w:rPr>
              <w:t>Must prove technical distinction from generic prediction/anomaly detection.</w:t>
            </w:r>
          </w:p>
        </w:tc>
      </w:tr>
      <w:tr>
        <w:tc>
          <w:tcPr>
            <w:tcW w:type="dxa" w:w="2556"/>
            <w:vAlign w:val="top"/>
          </w:tcPr>
          <w:p>
            <w:pPr>
              <w:spacing w:after="40"/>
            </w:pPr>
            <w:r>
              <w:rPr>
                <w:sz w:val="16"/>
              </w:rPr>
              <w:t>Version→assumption→telemetry→violation→response evidence chain</w:t>
            </w:r>
          </w:p>
        </w:tc>
        <w:tc>
          <w:tcPr>
            <w:tcW w:type="dxa" w:w="2556"/>
            <w:vAlign w:val="top"/>
          </w:tcPr>
          <w:p>
            <w:pPr>
              <w:spacing w:after="40"/>
            </w:pPr>
            <w:r>
              <w:rPr>
                <w:sz w:val="16"/>
              </w:rPr>
              <w:t>Cross-paper candidate</w:t>
            </w:r>
          </w:p>
        </w:tc>
        <w:tc>
          <w:tcPr>
            <w:tcW w:type="dxa" w:w="2556"/>
            <w:vAlign w:val="top"/>
          </w:tcPr>
          <w:p>
            <w:pPr>
              <w:spacing w:after="40"/>
            </w:pPr>
            <w:r>
              <w:rPr>
                <w:sz w:val="16"/>
              </w:rPr>
              <w:t>Needs targeted prior-art search</w:t>
            </w:r>
          </w:p>
        </w:tc>
        <w:tc>
          <w:tcPr>
            <w:tcW w:type="dxa" w:w="2556"/>
            <w:vAlign w:val="top"/>
          </w:tcPr>
          <w:p>
            <w:pPr>
              <w:spacing w:after="40"/>
            </w:pPr>
            <w:r>
              <w:rPr>
                <w:sz w:val="16"/>
              </w:rPr>
              <w:t>Potentially useful for safety traceability and patent framing.</w:t>
            </w:r>
          </w:p>
        </w:tc>
      </w:tr>
    </w:tbl>
    <w:p>
      <w:pPr>
        <w:pStyle w:val="Heading2"/>
      </w:pPr>
      <w:r>
        <w:t>Candidate research gap</w:t>
      </w:r>
    </w:p>
    <w:p>
      <w:pPr>
        <w:spacing w:after="100"/>
      </w:pPr>
      <w:r>
        <w:t>Current automotive OTA research provides strong mechanisms for secure delivery, formal safety reasoning, dependency-aware orchestration, execution planning and controlled validation. However, the reviewed literature does not establish one unified lifecycle mechanism whose primary purpose is to continuously evaluate whether the assumptions and timing/resource margins used to justify an OTA update remain valid after deployment under changing cyber-physical conditions, and to select a graduated safe response when those assumptions are threatened.</w:t>
      </w:r>
    </w:p>
    <w:p>
      <w:pPr>
        <w:spacing w:after="100"/>
      </w:pPr>
      <w:r>
        <w:t>This statement must be treated as a literature-derived candidate gap, not as a legal novelty conclusion.</w:t>
      </w:r>
    </w:p>
    <w:p>
      <w:r>
        <w:br w:type="page"/>
      </w:r>
    </w:p>
    <w:p>
      <w:pPr>
        <w:pStyle w:val="Heading1"/>
      </w:pPr>
      <w:r>
        <w:t>8. Literature Limitations and Unsolved Engineering Problem</w:t>
      </w:r>
    </w:p>
    <w:p>
      <w:pPr>
        <w:pStyle w:val="ListBullet"/>
        <w:spacing w:after="40"/>
      </w:pPr>
      <w:r>
        <w:t>Pre-deployment verification is necessarily based on models, test scenarios and bounded assumptions.</w:t>
      </w:r>
    </w:p>
    <w:p>
      <w:pPr>
        <w:pStyle w:val="ListBullet"/>
        <w:spacing w:after="40"/>
      </w:pPr>
      <w:r>
        <w:t>Real vehicles change state continuously: speed, road context, ADAS workload, temperature, battery state, network traffic and ECU workload can vary.</w:t>
      </w:r>
    </w:p>
    <w:p>
      <w:pPr>
        <w:pStyle w:val="ListBullet"/>
        <w:spacing w:after="40"/>
      </w:pPr>
      <w:r>
        <w:t>An update can be technically installed successfully while its justified operating margins later become invalid.</w:t>
      </w:r>
    </w:p>
    <w:p>
      <w:pPr>
        <w:pStyle w:val="ListBullet"/>
        <w:spacing w:after="40"/>
      </w:pPr>
      <w:r>
        <w:t>Generic anomaly detection can identify unusual behavior without knowing which verified safety assumption was violated or whether the deviation is safety-critical.</w:t>
      </w:r>
    </w:p>
    <w:p>
      <w:pPr>
        <w:pStyle w:val="ListBullet"/>
        <w:spacing w:after="40"/>
      </w:pPr>
      <w:r>
        <w:t>Immediate rollback can be unnecessarily disruptive if a temporary, noncritical deviation can be handled safely.</w:t>
      </w:r>
    </w:p>
    <w:p>
      <w:pPr>
        <w:pStyle w:val="ListBullet"/>
        <w:spacing w:after="40"/>
      </w:pPr>
      <w:r>
        <w:t>Static threshold monitoring can generate false alarms because context matters; the same CPU load may be safe in one vehicle mode and unsafe in another.</w:t>
      </w:r>
    </w:p>
    <w:p>
      <w:pPr>
        <w:pStyle w:val="ListBullet"/>
        <w:spacing w:after="40"/>
      </w:pPr>
      <w:r>
        <w:t>Fleet-wide software versions and configurations make traceability difficult when multiple interacting ECUs change at different times.</w:t>
      </w:r>
    </w:p>
    <w:p>
      <w:pPr>
        <w:pStyle w:val="Heading2"/>
      </w:pPr>
      <w:r>
        <w:t>Research problem in one sentence</w:t>
      </w:r>
    </w:p>
    <w:p>
      <w:pPr>
        <w:spacing w:after="100"/>
      </w:pPr>
      <w:r>
        <w:t>How can an SDV continuously determine whether the safety/timing/resource assumptions used to approve an OTA update remain valid after deployment, under changing vehicle context, and respond before a critical guarantee is lost?</w:t>
      </w:r>
    </w:p>
    <w:p>
      <w:r>
        <w:br w:type="page"/>
      </w:r>
    </w:p>
    <w:p>
      <w:pPr>
        <w:pStyle w:val="Heading1"/>
      </w:pPr>
      <w:r>
        <w:t>9. Proposed Solution — RAVEN-OTA</w:t>
      </w:r>
    </w:p>
    <w:p>
      <w:pPr>
        <w:pStyle w:val="Heading2"/>
      </w:pPr>
      <w:r>
        <w:t>Definition</w:t>
      </w:r>
    </w:p>
    <w:p>
      <w:pPr>
        <w:spacing w:after="100"/>
      </w:pPr>
      <w:r>
        <w:t>RAVEN-OTA stands for Runtime Assurance and Verification for Evolving OTA Software. It is a research prototype concept, not a production safety-certified system.</w:t>
      </w:r>
    </w:p>
    <w:p>
      <w:pPr>
        <w:pStyle w:val="Heading2"/>
      </w:pPr>
      <w:r>
        <w:t>Core mechanism</w:t>
      </w:r>
    </w:p>
    <w:p>
      <w:pPr>
        <w:pStyle w:val="ListBullet"/>
        <w:spacing w:after="40"/>
      </w:pPr>
      <w:r>
        <w:t>Import verified OTA metadata: software version, criticality, assumptions, timing bounds, resource bounds, dependency validity and required operating context.</w:t>
      </w:r>
    </w:p>
    <w:p>
      <w:pPr>
        <w:pStyle w:val="ListBullet"/>
        <w:spacing w:after="40"/>
      </w:pPr>
      <w:r>
        <w:t>Transform relevant information into a Runtime Safety Envelope (RSE).</w:t>
      </w:r>
    </w:p>
    <w:p>
      <w:pPr>
        <w:pStyle w:val="ListBullet"/>
        <w:spacing w:after="40"/>
      </w:pPr>
      <w:r>
        <w:t>Collect live vehicle and compute telemetry.</w:t>
      </w:r>
    </w:p>
    <w:p>
      <w:pPr>
        <w:pStyle w:val="ListBullet"/>
        <w:spacing w:after="40"/>
      </w:pPr>
      <w:r>
        <w:t>Calculate normalized margins and contextual validity.</w:t>
      </w:r>
    </w:p>
    <w:p>
      <w:pPr>
        <w:pStyle w:val="ListBullet"/>
        <w:spacing w:after="40"/>
      </w:pPr>
      <w:r>
        <w:t>Detect current and predicted envelope violations.</w:t>
      </w:r>
    </w:p>
    <w:p>
      <w:pPr>
        <w:pStyle w:val="ListBullet"/>
        <w:spacing w:after="40"/>
      </w:pPr>
      <w:r>
        <w:t>Classify assurance state: NORMAL, WARNING, DEGRADED or UNSAFE.</w:t>
      </w:r>
    </w:p>
    <w:p>
      <w:pPr>
        <w:pStyle w:val="ListBullet"/>
        <w:spacing w:after="40"/>
      </w:pPr>
      <w:r>
        <w:t>Choose a least-disruptive response allowed by a safety policy.</w:t>
      </w:r>
    </w:p>
    <w:p>
      <w:pPr>
        <w:pStyle w:val="ListBullet"/>
        <w:spacing w:after="40"/>
      </w:pPr>
      <w:r>
        <w:t>Verify that the response restores or preserves the required margin.</w:t>
      </w:r>
    </w:p>
    <w:p>
      <w:pPr>
        <w:pStyle w:val="ListBullet"/>
        <w:spacing w:after="40"/>
      </w:pPr>
      <w:r>
        <w:t>Record an auditable evidence chain.</w:t>
      </w:r>
    </w:p>
    <w:p>
      <w:pPr>
        <w:pStyle w:val="Heading2"/>
      </w:pPr>
      <w:r>
        <w:t>Why this is different</w:t>
      </w:r>
    </w:p>
    <w:p>
      <w:pPr>
        <w:spacing w:after="100"/>
      </w:pPr>
      <w:r>
        <w:t>The novelty candidate is not 'monitoring'. It is the explicit lifecycle linkage: verification artifact → runtime envelope → live evidence → margin/prediction → assurance state → graduated response → traceable evidence. Each link must be implemented and evaluated experimentally.</w:t>
      </w:r>
    </w:p>
    <w:p>
      <w:r>
        <w:br w:type="page"/>
      </w:r>
    </w:p>
    <w:p>
      <w:pPr>
        <w:pStyle w:val="Heading1"/>
      </w:pPr>
      <w:r>
        <w:t>10. Full System Architecture</w:t>
      </w:r>
    </w:p>
    <w:p>
      <w:pPr>
        <w:spacing w:after="100"/>
      </w:pPr>
      <w:r>
        <w:t>Logical architecture:</w:t>
      </w:r>
    </w:p>
    <w:p>
      <w:pPr>
        <w:spacing w:after="100"/>
      </w:pPr>
      <w:r>
        <w:t>OEM/Cloud → Signed OTA Package + Verification Metadata → Vehicle Secure OTA Manager → Dependency/Safety Validation → RAVEN-OTA Envelope Builder → Runtime Telemetry Collector + Vehicle Context Collector → Margin Engine → Prediction Engine → Assurance State Manager → Response Policy Engine → Vehicle Functions/ECUs → Evidence Logger → Optional Fleet Analytics.</w:t>
      </w:r>
    </w:p>
    <w:p>
      <w:pPr>
        <w:pStyle w:val="Heading2"/>
      </w:pPr>
      <w:r>
        <w:t>A. OTA package layer</w:t>
      </w:r>
    </w:p>
    <w:p>
      <w:pPr>
        <w:pStyle w:val="ListBullet"/>
        <w:spacing w:after="40"/>
      </w:pPr>
      <w:r>
        <w:t>Software artifact and signature.</w:t>
      </w:r>
    </w:p>
    <w:p>
      <w:pPr>
        <w:pStyle w:val="ListBullet"/>
        <w:spacing w:after="40"/>
      </w:pPr>
      <w:r>
        <w:t>Version/configuration identifier.</w:t>
      </w:r>
    </w:p>
    <w:p>
      <w:pPr>
        <w:pStyle w:val="ListBullet"/>
        <w:spacing w:after="40"/>
      </w:pPr>
      <w:r>
        <w:t>Dependency graph/version constraints.</w:t>
      </w:r>
    </w:p>
    <w:p>
      <w:pPr>
        <w:pStyle w:val="ListBullet"/>
        <w:spacing w:after="40"/>
      </w:pPr>
      <w:r>
        <w:t>Safety and timing metadata.</w:t>
      </w:r>
    </w:p>
    <w:p>
      <w:pPr>
        <w:pStyle w:val="ListBullet"/>
        <w:spacing w:after="40"/>
      </w:pPr>
      <w:r>
        <w:t>Verified assumptions and guarantee identifiers.</w:t>
      </w:r>
    </w:p>
    <w:p>
      <w:pPr>
        <w:pStyle w:val="ListBullet"/>
        <w:spacing w:after="40"/>
      </w:pPr>
      <w:r>
        <w:t>Criticality and allowable response policy.</w:t>
      </w:r>
    </w:p>
    <w:p>
      <w:pPr>
        <w:pStyle w:val="Heading2"/>
      </w:pPr>
      <w:r>
        <w:t>B. Runtime telemetry layer</w:t>
      </w:r>
    </w:p>
    <w:p>
      <w:pPr>
        <w:pStyle w:val="ListBullet"/>
        <w:spacing w:after="40"/>
      </w:pPr>
      <w:r>
        <w:t>CPU utilization and scheduling metrics.</w:t>
      </w:r>
    </w:p>
    <w:p>
      <w:pPr>
        <w:pStyle w:val="ListBullet"/>
        <w:spacing w:after="40"/>
      </w:pPr>
      <w:r>
        <w:t>Memory pressure.</w:t>
      </w:r>
    </w:p>
    <w:p>
      <w:pPr>
        <w:pStyle w:val="ListBullet"/>
        <w:spacing w:after="40"/>
      </w:pPr>
      <w:r>
        <w:t>CAN/CAN-FD/Ethernet traffic/load.</w:t>
      </w:r>
    </w:p>
    <w:p>
      <w:pPr>
        <w:pStyle w:val="ListBullet"/>
        <w:spacing w:after="40"/>
      </w:pPr>
      <w:r>
        <w:t>Task jitter and deadline misses.</w:t>
      </w:r>
    </w:p>
    <w:p>
      <w:pPr>
        <w:pStyle w:val="ListBullet"/>
        <w:spacing w:after="40"/>
      </w:pPr>
      <w:r>
        <w:t>Measured execution time/WCET proxies.</w:t>
      </w:r>
    </w:p>
    <w:p>
      <w:pPr>
        <w:pStyle w:val="ListBullet"/>
        <w:spacing w:after="40"/>
      </w:pPr>
      <w:r>
        <w:t>Temperature and thermal trend.</w:t>
      </w:r>
    </w:p>
    <w:p>
      <w:pPr>
        <w:pStyle w:val="ListBullet"/>
        <w:spacing w:after="40"/>
      </w:pPr>
      <w:r>
        <w:t>Battery/energy state.</w:t>
      </w:r>
    </w:p>
    <w:p>
      <w:pPr>
        <w:pStyle w:val="ListBullet"/>
        <w:spacing w:after="40"/>
      </w:pPr>
      <w:r>
        <w:t>Vehicle speed and driving mode.</w:t>
      </w:r>
    </w:p>
    <w:p>
      <w:pPr>
        <w:pStyle w:val="ListBullet"/>
        <w:spacing w:after="40"/>
      </w:pPr>
      <w:r>
        <w:t>ADAS/infotainment workload state.</w:t>
      </w:r>
    </w:p>
    <w:p>
      <w:pPr>
        <w:pStyle w:val="ListBullet"/>
        <w:spacing w:after="40"/>
      </w:pPr>
      <w:r>
        <w:t>ECU availability and dependency state.</w:t>
      </w:r>
    </w:p>
    <w:p>
      <w:pPr>
        <w:pStyle w:val="Heading2"/>
      </w:pPr>
      <w:r>
        <w:t>C. Runtime Safety Envelope</w:t>
      </w:r>
    </w:p>
    <w:p>
      <w:pPr>
        <w:spacing w:after="100"/>
      </w:pPr>
      <w:r>
        <w:t>Let x(t) be the runtime state vector. Define an envelope E by constraints g_i(x,t) ≤ b_i, equality/consistency conditions h_j(x,t)=0, dependency predicates d_k(x,t)=valid, and timing constraints T_m(x,t) ≤ D_m.</w:t>
      </w:r>
    </w:p>
    <w:p>
      <w:pPr>
        <w:pStyle w:val="Heading2"/>
      </w:pPr>
      <w:r>
        <w:t>D. Assurance engine</w:t>
      </w:r>
    </w:p>
    <w:p>
      <w:pPr>
        <w:spacing w:after="100"/>
      </w:pPr>
      <w:r>
        <w:t>For each monitored constraint i, a normalized margin can be defined as M_i(t)=(Limit_i-Observed_i(t))/Scale_i. A positive margin does not automatically mean safe; the policy also considers criticality, trend, context and dependency validity.</w:t>
      </w:r>
    </w:p>
    <w:p>
      <w:pPr>
        <w:pStyle w:val="Heading2"/>
      </w:pPr>
      <w:r>
        <w:t>E. Prediction engine</w:t>
      </w:r>
    </w:p>
    <w:p>
      <w:pPr>
        <w:spacing w:after="100"/>
      </w:pPr>
      <w:r>
        <w:t>Prediction estimates whether a currently valid margin is likely to cross a critical boundary within a defined horizon. The first implementation should compare a transparent statistical/trend model against a more complex ML model rather than assuming ML is always better.</w:t>
      </w:r>
    </w:p>
    <w:p>
      <w:pPr>
        <w:pStyle w:val="Heading2"/>
      </w:pPr>
      <w:r>
        <w:t>F. Response policy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40"/>
            </w:pPr>
            <w:r>
              <w:rPr>
                <w:b/>
                <w:sz w:val="16"/>
              </w:rPr>
              <w:t>State</w:t>
            </w:r>
          </w:p>
        </w:tc>
        <w:tc>
          <w:tcPr>
            <w:tcW w:type="dxa" w:w="3408"/>
            <w:vAlign w:val="center"/>
          </w:tcPr>
          <w:p>
            <w:pPr>
              <w:spacing w:after="40"/>
            </w:pPr>
            <w:r>
              <w:rPr>
                <w:b/>
                <w:sz w:val="16"/>
              </w:rPr>
              <w:t>Meaning</w:t>
            </w:r>
          </w:p>
        </w:tc>
        <w:tc>
          <w:tcPr>
            <w:tcW w:type="dxa" w:w="3408"/>
            <w:vAlign w:val="center"/>
          </w:tcPr>
          <w:p>
            <w:pPr>
              <w:spacing w:after="40"/>
            </w:pPr>
            <w:r>
              <w:rPr>
                <w:b/>
                <w:sz w:val="16"/>
              </w:rPr>
              <w:t>Example action</w:t>
            </w:r>
          </w:p>
        </w:tc>
      </w:tr>
      <w:tr>
        <w:tc>
          <w:tcPr>
            <w:tcW w:type="dxa" w:w="3408"/>
            <w:vAlign w:val="top"/>
          </w:tcPr>
          <w:p>
            <w:pPr>
              <w:spacing w:after="40"/>
            </w:pPr>
            <w:r>
              <w:rPr>
                <w:sz w:val="16"/>
              </w:rPr>
              <w:t>NORMAL</w:t>
            </w:r>
          </w:p>
        </w:tc>
        <w:tc>
          <w:tcPr>
            <w:tcW w:type="dxa" w:w="3408"/>
            <w:vAlign w:val="top"/>
          </w:tcPr>
          <w:p>
            <w:pPr>
              <w:spacing w:after="40"/>
            </w:pPr>
            <w:r>
              <w:rPr>
                <w:sz w:val="16"/>
              </w:rPr>
              <w:t>All critical constraints have adequate margin</w:t>
            </w:r>
          </w:p>
        </w:tc>
        <w:tc>
          <w:tcPr>
            <w:tcW w:type="dxa" w:w="3408"/>
            <w:vAlign w:val="top"/>
          </w:tcPr>
          <w:p>
            <w:pPr>
              <w:spacing w:after="40"/>
            </w:pPr>
            <w:r>
              <w:rPr>
                <w:sz w:val="16"/>
              </w:rPr>
              <w:t>Continue</w:t>
            </w:r>
          </w:p>
        </w:tc>
      </w:tr>
      <w:tr>
        <w:tc>
          <w:tcPr>
            <w:tcW w:type="dxa" w:w="3408"/>
            <w:vAlign w:val="top"/>
          </w:tcPr>
          <w:p>
            <w:pPr>
              <w:spacing w:after="40"/>
            </w:pPr>
            <w:r>
              <w:rPr>
                <w:sz w:val="16"/>
              </w:rPr>
              <w:t>WARNING</w:t>
            </w:r>
          </w:p>
        </w:tc>
        <w:tc>
          <w:tcPr>
            <w:tcW w:type="dxa" w:w="3408"/>
            <w:vAlign w:val="top"/>
          </w:tcPr>
          <w:p>
            <w:pPr>
              <w:spacing w:after="40"/>
            </w:pPr>
            <w:r>
              <w:rPr>
                <w:sz w:val="16"/>
              </w:rPr>
              <w:t>Margin declining or noncritical temporary deviation</w:t>
            </w:r>
          </w:p>
        </w:tc>
        <w:tc>
          <w:tcPr>
            <w:tcW w:type="dxa" w:w="3408"/>
            <w:vAlign w:val="top"/>
          </w:tcPr>
          <w:p>
            <w:pPr>
              <w:spacing w:after="40"/>
            </w:pPr>
            <w:r>
              <w:rPr>
                <w:sz w:val="16"/>
              </w:rPr>
              <w:t>Increase monitoring / reduce noncritical load</w:t>
            </w:r>
          </w:p>
        </w:tc>
      </w:tr>
      <w:tr>
        <w:tc>
          <w:tcPr>
            <w:tcW w:type="dxa" w:w="3408"/>
            <w:vAlign w:val="top"/>
          </w:tcPr>
          <w:p>
            <w:pPr>
              <w:spacing w:after="40"/>
            </w:pPr>
            <w:r>
              <w:rPr>
                <w:sz w:val="16"/>
              </w:rPr>
              <w:t>DEGRADED</w:t>
            </w:r>
          </w:p>
        </w:tc>
        <w:tc>
          <w:tcPr>
            <w:tcW w:type="dxa" w:w="3408"/>
            <w:vAlign w:val="top"/>
          </w:tcPr>
          <w:p>
            <w:pPr>
              <w:spacing w:after="40"/>
            </w:pPr>
            <w:r>
              <w:rPr>
                <w:sz w:val="16"/>
              </w:rPr>
              <w:t>Important margin low but safe degraded configuration exists</w:t>
            </w:r>
          </w:p>
        </w:tc>
        <w:tc>
          <w:tcPr>
            <w:tcW w:type="dxa" w:w="3408"/>
            <w:vAlign w:val="top"/>
          </w:tcPr>
          <w:p>
            <w:pPr>
              <w:spacing w:after="40"/>
            </w:pPr>
            <w:r>
              <w:rPr>
                <w:sz w:val="16"/>
              </w:rPr>
              <w:t>Isolate noncritical function / switch degraded mode</w:t>
            </w:r>
          </w:p>
        </w:tc>
      </w:tr>
      <w:tr>
        <w:tc>
          <w:tcPr>
            <w:tcW w:type="dxa" w:w="3408"/>
            <w:vAlign w:val="top"/>
          </w:tcPr>
          <w:p>
            <w:pPr>
              <w:spacing w:after="40"/>
            </w:pPr>
            <w:r>
              <w:rPr>
                <w:sz w:val="16"/>
              </w:rPr>
              <w:t>UNSAFE</w:t>
            </w:r>
          </w:p>
        </w:tc>
        <w:tc>
          <w:tcPr>
            <w:tcW w:type="dxa" w:w="3408"/>
            <w:vAlign w:val="top"/>
          </w:tcPr>
          <w:p>
            <w:pPr>
              <w:spacing w:after="40"/>
            </w:pPr>
            <w:r>
              <w:rPr>
                <w:sz w:val="16"/>
              </w:rPr>
              <w:t>Critical guarantee violated or imminent with high confidence</w:t>
            </w:r>
          </w:p>
        </w:tc>
        <w:tc>
          <w:tcPr>
            <w:tcW w:type="dxa" w:w="3408"/>
            <w:vAlign w:val="top"/>
          </w:tcPr>
          <w:p>
            <w:pPr>
              <w:spacing w:after="40"/>
            </w:pPr>
            <w:r>
              <w:rPr>
                <w:sz w:val="16"/>
              </w:rPr>
              <w:t>Execute validated safety response; block further OTA; rollback only when justified and validated</w:t>
            </w:r>
          </w:p>
        </w:tc>
      </w:tr>
    </w:tbl>
    <w:p>
      <w:r>
        <w:br w:type="page"/>
      </w:r>
    </w:p>
    <w:p>
      <w:pPr>
        <w:pStyle w:val="Heading1"/>
      </w:pPr>
      <w:r>
        <w:t>11. End-to-End Workflow and Algorithm</w:t>
      </w:r>
    </w:p>
    <w:p>
      <w:pPr>
        <w:spacing w:after="100"/>
      </w:pPr>
      <w:r>
        <w:t>1. Receive OTA package and metadata.</w:t>
      </w:r>
    </w:p>
    <w:p>
      <w:pPr>
        <w:spacing w:after="100"/>
      </w:pPr>
      <w:r>
        <w:t>2. Authenticate and validate package.</w:t>
      </w:r>
    </w:p>
    <w:p>
      <w:pPr>
        <w:spacing w:after="100"/>
      </w:pPr>
      <w:r>
        <w:t>3. Check dependencies and pre-deployment safety conditions.</w:t>
      </w:r>
    </w:p>
    <w:p>
      <w:pPr>
        <w:spacing w:after="100"/>
      </w:pPr>
      <w:r>
        <w:t>4. Extract verified assumptions and guarantees.</w:t>
      </w:r>
    </w:p>
    <w:p>
      <w:pPr>
        <w:spacing w:after="100"/>
      </w:pPr>
      <w:r>
        <w:t>5. Construct version-specific Runtime Safety Envelope.</w:t>
      </w:r>
    </w:p>
    <w:p>
      <w:pPr>
        <w:spacing w:after="100"/>
      </w:pPr>
      <w:r>
        <w:t>6. Install under approved vehicle conditions.</w:t>
      </w:r>
    </w:p>
    <w:p>
      <w:pPr>
        <w:spacing w:after="100"/>
      </w:pPr>
      <w:r>
        <w:t>7. Establish a short baseline after activation.</w:t>
      </w:r>
    </w:p>
    <w:p>
      <w:pPr>
        <w:spacing w:after="100"/>
      </w:pPr>
      <w:r>
        <w:t>8. Collect telemetry and vehicle context continuously.</w:t>
      </w:r>
    </w:p>
    <w:p>
      <w:pPr>
        <w:spacing w:after="100"/>
      </w:pPr>
      <w:r>
        <w:t>9. Evaluate current constraints and calculate margins.</w:t>
      </w:r>
    </w:p>
    <w:p>
      <w:pPr>
        <w:spacing w:after="100"/>
      </w:pPr>
      <w:r>
        <w:t>10. Estimate trends/predict near-future violation.</w:t>
      </w:r>
    </w:p>
    <w:p>
      <w:pPr>
        <w:spacing w:after="100"/>
      </w:pPr>
      <w:r>
        <w:t>11. Determine assurance state.</w:t>
      </w:r>
    </w:p>
    <w:p>
      <w:pPr>
        <w:spacing w:after="100"/>
      </w:pPr>
      <w:r>
        <w:t>12. Select response according to criticality and context.</w:t>
      </w:r>
    </w:p>
    <w:p>
      <w:pPr>
        <w:spacing w:after="100"/>
      </w:pPr>
      <w:r>
        <w:t>13. Apply response and verify restored/preserved safety margin.</w:t>
      </w:r>
    </w:p>
    <w:p>
      <w:pPr>
        <w:spacing w:after="100"/>
      </w:pPr>
      <w:r>
        <w:t>14. Log version, assumption, telemetry window, violation, decision and response.</w:t>
      </w:r>
    </w:p>
    <w:p>
      <w:pPr>
        <w:pStyle w:val="Heading2"/>
      </w:pPr>
      <w:r>
        <w:t>Pseudocode</w:t>
      </w:r>
    </w:p>
    <w:p>
      <w:pPr>
        <w:spacing w:after="100"/>
      </w:pPr>
      <w:r>
        <w:t>INPUT: OTA package P, verification artifact V, runtime stream X(t)</w:t>
        <w:br/>
        <w:t>1. Verify(P)</w:t>
        <w:br/>
        <w:t>2. E &lt;- BuildEnvelope(V, P.version, dependencies, criticality)</w:t>
        <w:br/>
        <w:t>3. Deploy(P) only if installation policy permits</w:t>
        <w:br/>
        <w:t>4. while vehicle active:</w:t>
        <w:br/>
        <w:t xml:space="preserve">      x &lt;- CollectTelemetryAndContext()</w:t>
        <w:br/>
        <w:t xml:space="preserve">      margins &lt;- Evaluate(E, x)</w:t>
        <w:br/>
        <w:t xml:space="preserve">      forecast &lt;- PredictViolation(E, x, history)</w:t>
        <w:br/>
        <w:t xml:space="preserve">      state &lt;- Classify(margins, forecast, criticality, context)</w:t>
        <w:br/>
        <w:t xml:space="preserve">      action &lt;- Policy(state, criticality, dependency_state)</w:t>
        <w:br/>
        <w:t xml:space="preserve">      Execute(action)</w:t>
        <w:br/>
        <w:t xml:space="preserve">      VerifyPostAction(E, x)</w:t>
        <w:br/>
        <w:t xml:space="preserve">      Log(version, E.id, x, margins, forecast, state, action)</w:t>
        <w:br/>
        <w:t>OUTPUT: assurance state + evidence + safety response</w:t>
      </w:r>
    </w:p>
    <w:p>
      <w:pPr>
        <w:pStyle w:val="Heading2"/>
      </w:pPr>
      <w:r>
        <w:t>Research hypothesis</w:t>
      </w:r>
    </w:p>
    <w:p>
      <w:pPr>
        <w:spacing w:after="100"/>
      </w:pPr>
      <w:r>
        <w:t>H1: Linking runtime monitoring to verified update-specific safety/timing assumptions can reduce unsafe or unnecessary response decisions compared with generic threshold/anomaly monitoring, while maintaining acceptable detection latency and runtime overhead.</w:t>
      </w:r>
    </w:p>
    <w:p>
      <w:r>
        <w:br w:type="page"/>
      </w:r>
    </w:p>
    <w:p>
      <w:pPr>
        <w:pStyle w:val="Heading1"/>
      </w:pPr>
      <w:r>
        <w:t>12. How to Build the Project from Zero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40"/>
            </w:pPr>
            <w:r>
              <w:rPr>
                <w:b/>
                <w:sz w:val="16"/>
              </w:rPr>
              <w:t>Phase</w:t>
            </w:r>
          </w:p>
        </w:tc>
        <w:tc>
          <w:tcPr>
            <w:tcW w:type="dxa" w:w="2556"/>
            <w:vAlign w:val="center"/>
          </w:tcPr>
          <w:p>
            <w:pPr>
              <w:spacing w:after="40"/>
            </w:pPr>
            <w:r>
              <w:rPr>
                <w:b/>
                <w:sz w:val="16"/>
              </w:rPr>
              <w:t>Work</w:t>
            </w:r>
          </w:p>
        </w:tc>
        <w:tc>
          <w:tcPr>
            <w:tcW w:type="dxa" w:w="2556"/>
            <w:vAlign w:val="center"/>
          </w:tcPr>
          <w:p>
            <w:pPr>
              <w:spacing w:after="40"/>
            </w:pPr>
            <w:r>
              <w:rPr>
                <w:b/>
                <w:sz w:val="16"/>
              </w:rPr>
              <w:t>Output</w:t>
            </w:r>
          </w:p>
        </w:tc>
        <w:tc>
          <w:tcPr>
            <w:tcW w:type="dxa" w:w="2556"/>
            <w:vAlign w:val="center"/>
          </w:tcPr>
          <w:p>
            <w:pPr>
              <w:spacing w:after="40"/>
            </w:pPr>
            <w:r>
              <w:rPr>
                <w:b/>
                <w:sz w:val="16"/>
              </w:rPr>
              <w:t>Suggested duration</w:t>
            </w:r>
          </w:p>
        </w:tc>
      </w:tr>
      <w:tr>
        <w:tc>
          <w:tcPr>
            <w:tcW w:type="dxa" w:w="2556"/>
            <w:vAlign w:val="top"/>
          </w:tcPr>
          <w:p>
            <w:pPr>
              <w:spacing w:after="40"/>
            </w:pPr>
            <w:r>
              <w:rPr>
                <w:sz w:val="16"/>
              </w:rPr>
              <w:t>0</w:t>
            </w:r>
          </w:p>
        </w:tc>
        <w:tc>
          <w:tcPr>
            <w:tcW w:type="dxa" w:w="2556"/>
            <w:vAlign w:val="top"/>
          </w:tcPr>
          <w:p>
            <w:pPr>
              <w:spacing w:after="40"/>
            </w:pPr>
            <w:r>
              <w:rPr>
                <w:sz w:val="16"/>
              </w:rPr>
              <w:t>Freeze scope, threat model, research questions, literature matrix</w:t>
            </w:r>
          </w:p>
        </w:tc>
        <w:tc>
          <w:tcPr>
            <w:tcW w:type="dxa" w:w="2556"/>
            <w:vAlign w:val="top"/>
          </w:tcPr>
          <w:p>
            <w:pPr>
              <w:spacing w:after="40"/>
            </w:pPr>
            <w:r>
              <w:rPr>
                <w:sz w:val="16"/>
              </w:rPr>
              <w:t>Research specification</w:t>
            </w:r>
          </w:p>
        </w:tc>
        <w:tc>
          <w:tcPr>
            <w:tcW w:type="dxa" w:w="2556"/>
            <w:vAlign w:val="top"/>
          </w:tcPr>
          <w:p>
            <w:pPr>
              <w:spacing w:after="40"/>
            </w:pPr>
            <w:r>
              <w:rPr>
                <w:sz w:val="16"/>
              </w:rPr>
              <w:t>1 week</w:t>
            </w:r>
          </w:p>
        </w:tc>
      </w:tr>
      <w:tr>
        <w:tc>
          <w:tcPr>
            <w:tcW w:type="dxa" w:w="2556"/>
            <w:vAlign w:val="top"/>
          </w:tcPr>
          <w:p>
            <w:pPr>
              <w:spacing w:after="40"/>
            </w:pPr>
            <w:r>
              <w:rPr>
                <w:sz w:val="16"/>
              </w:rPr>
              <w:t>1</w:t>
            </w:r>
          </w:p>
        </w:tc>
        <w:tc>
          <w:tcPr>
            <w:tcW w:type="dxa" w:w="2556"/>
            <w:vAlign w:val="top"/>
          </w:tcPr>
          <w:p>
            <w:pPr>
              <w:spacing w:after="40"/>
            </w:pPr>
            <w:r>
              <w:rPr>
                <w:sz w:val="16"/>
              </w:rPr>
              <w:t>Build 2024–2026 literature/patent matrix</w:t>
            </w:r>
          </w:p>
        </w:tc>
        <w:tc>
          <w:tcPr>
            <w:tcW w:type="dxa" w:w="2556"/>
            <w:vAlign w:val="top"/>
          </w:tcPr>
          <w:p>
            <w:pPr>
              <w:spacing w:after="40"/>
            </w:pPr>
            <w:r>
              <w:rPr>
                <w:sz w:val="16"/>
              </w:rPr>
              <w:t>Evidence database</w:t>
            </w:r>
          </w:p>
        </w:tc>
        <w:tc>
          <w:tcPr>
            <w:tcW w:type="dxa" w:w="2556"/>
            <w:vAlign w:val="top"/>
          </w:tcPr>
          <w:p>
            <w:pPr>
              <w:spacing w:after="40"/>
            </w:pPr>
            <w:r>
              <w:rPr>
                <w:sz w:val="16"/>
              </w:rPr>
              <w:t>2 weeks</w:t>
            </w:r>
          </w:p>
        </w:tc>
      </w:tr>
      <w:tr>
        <w:tc>
          <w:tcPr>
            <w:tcW w:type="dxa" w:w="2556"/>
            <w:vAlign w:val="top"/>
          </w:tcPr>
          <w:p>
            <w:pPr>
              <w:spacing w:after="40"/>
            </w:pPr>
            <w:r>
              <w:rPr>
                <w:sz w:val="16"/>
              </w:rPr>
              <w:t>2</w:t>
            </w:r>
          </w:p>
        </w:tc>
        <w:tc>
          <w:tcPr>
            <w:tcW w:type="dxa" w:w="2556"/>
            <w:vAlign w:val="top"/>
          </w:tcPr>
          <w:p>
            <w:pPr>
              <w:spacing w:after="40"/>
            </w:pPr>
            <w:r>
              <w:rPr>
                <w:sz w:val="16"/>
              </w:rPr>
              <w:t>Implement simulated OTA package/metadata format</w:t>
            </w:r>
          </w:p>
        </w:tc>
        <w:tc>
          <w:tcPr>
            <w:tcW w:type="dxa" w:w="2556"/>
            <w:vAlign w:val="top"/>
          </w:tcPr>
          <w:p>
            <w:pPr>
              <w:spacing w:after="40"/>
            </w:pPr>
            <w:r>
              <w:rPr>
                <w:sz w:val="16"/>
              </w:rPr>
              <w:t>OTA test artifacts</w:t>
            </w:r>
          </w:p>
        </w:tc>
        <w:tc>
          <w:tcPr>
            <w:tcW w:type="dxa" w:w="2556"/>
            <w:vAlign w:val="top"/>
          </w:tcPr>
          <w:p>
            <w:pPr>
              <w:spacing w:after="40"/>
            </w:pPr>
            <w:r>
              <w:rPr>
                <w:sz w:val="16"/>
              </w:rPr>
              <w:t>1–2 weeks</w:t>
            </w:r>
          </w:p>
        </w:tc>
      </w:tr>
      <w:tr>
        <w:tc>
          <w:tcPr>
            <w:tcW w:type="dxa" w:w="2556"/>
            <w:vAlign w:val="top"/>
          </w:tcPr>
          <w:p>
            <w:pPr>
              <w:spacing w:after="40"/>
            </w:pPr>
            <w:r>
              <w:rPr>
                <w:sz w:val="16"/>
              </w:rPr>
              <w:t>3</w:t>
            </w:r>
          </w:p>
        </w:tc>
        <w:tc>
          <w:tcPr>
            <w:tcW w:type="dxa" w:w="2556"/>
            <w:vAlign w:val="top"/>
          </w:tcPr>
          <w:p>
            <w:pPr>
              <w:spacing w:after="40"/>
            </w:pPr>
            <w:r>
              <w:rPr>
                <w:sz w:val="16"/>
              </w:rPr>
              <w:t>Create EV/SDV runtime simulator</w:t>
            </w:r>
          </w:p>
        </w:tc>
        <w:tc>
          <w:tcPr>
            <w:tcW w:type="dxa" w:w="2556"/>
            <w:vAlign w:val="top"/>
          </w:tcPr>
          <w:p>
            <w:pPr>
              <w:spacing w:after="40"/>
            </w:pPr>
            <w:r>
              <w:rPr>
                <w:sz w:val="16"/>
              </w:rPr>
              <w:t>Baseline vehicle workload</w:t>
            </w:r>
          </w:p>
        </w:tc>
        <w:tc>
          <w:tcPr>
            <w:tcW w:type="dxa" w:w="2556"/>
            <w:vAlign w:val="top"/>
          </w:tcPr>
          <w:p>
            <w:pPr>
              <w:spacing w:after="40"/>
            </w:pPr>
            <w:r>
              <w:rPr>
                <w:sz w:val="16"/>
              </w:rPr>
              <w:t>2–3 weeks</w:t>
            </w:r>
          </w:p>
        </w:tc>
      </w:tr>
      <w:tr>
        <w:tc>
          <w:tcPr>
            <w:tcW w:type="dxa" w:w="2556"/>
            <w:vAlign w:val="top"/>
          </w:tcPr>
          <w:p>
            <w:pPr>
              <w:spacing w:after="40"/>
            </w:pPr>
            <w:r>
              <w:rPr>
                <w:sz w:val="16"/>
              </w:rPr>
              <w:t>4</w:t>
            </w:r>
          </w:p>
        </w:tc>
        <w:tc>
          <w:tcPr>
            <w:tcW w:type="dxa" w:w="2556"/>
            <w:vAlign w:val="top"/>
          </w:tcPr>
          <w:p>
            <w:pPr>
              <w:spacing w:after="40"/>
            </w:pPr>
            <w:r>
              <w:rPr>
                <w:sz w:val="16"/>
              </w:rPr>
              <w:t>Implement telemetry collector</w:t>
            </w:r>
          </w:p>
        </w:tc>
        <w:tc>
          <w:tcPr>
            <w:tcW w:type="dxa" w:w="2556"/>
            <w:vAlign w:val="top"/>
          </w:tcPr>
          <w:p>
            <w:pPr>
              <w:spacing w:after="40"/>
            </w:pPr>
            <w:r>
              <w:rPr>
                <w:sz w:val="16"/>
              </w:rPr>
              <w:t>Time-series dataset</w:t>
            </w:r>
          </w:p>
        </w:tc>
        <w:tc>
          <w:tcPr>
            <w:tcW w:type="dxa" w:w="2556"/>
            <w:vAlign w:val="top"/>
          </w:tcPr>
          <w:p>
            <w:pPr>
              <w:spacing w:after="40"/>
            </w:pPr>
            <w:r>
              <w:rPr>
                <w:sz w:val="16"/>
              </w:rPr>
              <w:t>1–2 weeks</w:t>
            </w:r>
          </w:p>
        </w:tc>
      </w:tr>
      <w:tr>
        <w:tc>
          <w:tcPr>
            <w:tcW w:type="dxa" w:w="2556"/>
            <w:vAlign w:val="top"/>
          </w:tcPr>
          <w:p>
            <w:pPr>
              <w:spacing w:after="40"/>
            </w:pPr>
            <w:r>
              <w:rPr>
                <w:sz w:val="16"/>
              </w:rPr>
              <w:t>5</w:t>
            </w:r>
          </w:p>
        </w:tc>
        <w:tc>
          <w:tcPr>
            <w:tcW w:type="dxa" w:w="2556"/>
            <w:vAlign w:val="top"/>
          </w:tcPr>
          <w:p>
            <w:pPr>
              <w:spacing w:after="40"/>
            </w:pPr>
            <w:r>
              <w:rPr>
                <w:sz w:val="16"/>
              </w:rPr>
              <w:t>Implement RSE schema and evaluator</w:t>
            </w:r>
          </w:p>
        </w:tc>
        <w:tc>
          <w:tcPr>
            <w:tcW w:type="dxa" w:w="2556"/>
            <w:vAlign w:val="top"/>
          </w:tcPr>
          <w:p>
            <w:pPr>
              <w:spacing w:after="40"/>
            </w:pPr>
            <w:r>
              <w:rPr>
                <w:sz w:val="16"/>
              </w:rPr>
              <w:t>Envelope engine</w:t>
            </w:r>
          </w:p>
        </w:tc>
        <w:tc>
          <w:tcPr>
            <w:tcW w:type="dxa" w:w="2556"/>
            <w:vAlign w:val="top"/>
          </w:tcPr>
          <w:p>
            <w:pPr>
              <w:spacing w:after="40"/>
            </w:pPr>
            <w:r>
              <w:rPr>
                <w:sz w:val="16"/>
              </w:rPr>
              <w:t>2 weeks</w:t>
            </w:r>
          </w:p>
        </w:tc>
      </w:tr>
      <w:tr>
        <w:tc>
          <w:tcPr>
            <w:tcW w:type="dxa" w:w="2556"/>
            <w:vAlign w:val="top"/>
          </w:tcPr>
          <w:p>
            <w:pPr>
              <w:spacing w:after="40"/>
            </w:pPr>
            <w:r>
              <w:rPr>
                <w:sz w:val="16"/>
              </w:rPr>
              <w:t>6</w:t>
            </w:r>
          </w:p>
        </w:tc>
        <w:tc>
          <w:tcPr>
            <w:tcW w:type="dxa" w:w="2556"/>
            <w:vAlign w:val="top"/>
          </w:tcPr>
          <w:p>
            <w:pPr>
              <w:spacing w:after="40"/>
            </w:pPr>
            <w:r>
              <w:rPr>
                <w:sz w:val="16"/>
              </w:rPr>
              <w:t>Implement margin and state machine</w:t>
            </w:r>
          </w:p>
        </w:tc>
        <w:tc>
          <w:tcPr>
            <w:tcW w:type="dxa" w:w="2556"/>
            <w:vAlign w:val="top"/>
          </w:tcPr>
          <w:p>
            <w:pPr>
              <w:spacing w:after="40"/>
            </w:pPr>
            <w:r>
              <w:rPr>
                <w:sz w:val="16"/>
              </w:rPr>
              <w:t>Runtime assurance prototype</w:t>
            </w:r>
          </w:p>
        </w:tc>
        <w:tc>
          <w:tcPr>
            <w:tcW w:type="dxa" w:w="2556"/>
            <w:vAlign w:val="top"/>
          </w:tcPr>
          <w:p>
            <w:pPr>
              <w:spacing w:after="40"/>
            </w:pPr>
            <w:r>
              <w:rPr>
                <w:sz w:val="16"/>
              </w:rPr>
              <w:t>2 weeks</w:t>
            </w:r>
          </w:p>
        </w:tc>
      </w:tr>
      <w:tr>
        <w:tc>
          <w:tcPr>
            <w:tcW w:type="dxa" w:w="2556"/>
            <w:vAlign w:val="top"/>
          </w:tcPr>
          <w:p>
            <w:pPr>
              <w:spacing w:after="40"/>
            </w:pPr>
            <w:r>
              <w:rPr>
                <w:sz w:val="16"/>
              </w:rPr>
              <w:t>7</w:t>
            </w:r>
          </w:p>
        </w:tc>
        <w:tc>
          <w:tcPr>
            <w:tcW w:type="dxa" w:w="2556"/>
            <w:vAlign w:val="top"/>
          </w:tcPr>
          <w:p>
            <w:pPr>
              <w:spacing w:after="40"/>
            </w:pPr>
            <w:r>
              <w:rPr>
                <w:sz w:val="16"/>
              </w:rPr>
              <w:t>Add prediction model</w:t>
            </w:r>
          </w:p>
        </w:tc>
        <w:tc>
          <w:tcPr>
            <w:tcW w:type="dxa" w:w="2556"/>
            <w:vAlign w:val="top"/>
          </w:tcPr>
          <w:p>
            <w:pPr>
              <w:spacing w:after="40"/>
            </w:pPr>
            <w:r>
              <w:rPr>
                <w:sz w:val="16"/>
              </w:rPr>
              <w:t>Prediction module</w:t>
            </w:r>
          </w:p>
        </w:tc>
        <w:tc>
          <w:tcPr>
            <w:tcW w:type="dxa" w:w="2556"/>
            <w:vAlign w:val="top"/>
          </w:tcPr>
          <w:p>
            <w:pPr>
              <w:spacing w:after="40"/>
            </w:pPr>
            <w:r>
              <w:rPr>
                <w:sz w:val="16"/>
              </w:rPr>
              <w:t>2–3 weeks</w:t>
            </w:r>
          </w:p>
        </w:tc>
      </w:tr>
      <w:tr>
        <w:tc>
          <w:tcPr>
            <w:tcW w:type="dxa" w:w="2556"/>
            <w:vAlign w:val="top"/>
          </w:tcPr>
          <w:p>
            <w:pPr>
              <w:spacing w:after="40"/>
            </w:pPr>
            <w:r>
              <w:rPr>
                <w:sz w:val="16"/>
              </w:rPr>
              <w:t>8</w:t>
            </w:r>
          </w:p>
        </w:tc>
        <w:tc>
          <w:tcPr>
            <w:tcW w:type="dxa" w:w="2556"/>
            <w:vAlign w:val="top"/>
          </w:tcPr>
          <w:p>
            <w:pPr>
              <w:spacing w:after="40"/>
            </w:pPr>
            <w:r>
              <w:rPr>
                <w:sz w:val="16"/>
              </w:rPr>
              <w:t>Add response policies</w:t>
            </w:r>
          </w:p>
        </w:tc>
        <w:tc>
          <w:tcPr>
            <w:tcW w:type="dxa" w:w="2556"/>
            <w:vAlign w:val="top"/>
          </w:tcPr>
          <w:p>
            <w:pPr>
              <w:spacing w:after="40"/>
            </w:pPr>
            <w:r>
              <w:rPr>
                <w:sz w:val="16"/>
              </w:rPr>
              <w:t>Safe-response prototype</w:t>
            </w:r>
          </w:p>
        </w:tc>
        <w:tc>
          <w:tcPr>
            <w:tcW w:type="dxa" w:w="2556"/>
            <w:vAlign w:val="top"/>
          </w:tcPr>
          <w:p>
            <w:pPr>
              <w:spacing w:after="40"/>
            </w:pPr>
            <w:r>
              <w:rPr>
                <w:sz w:val="16"/>
              </w:rPr>
              <w:t>1–2 weeks</w:t>
            </w:r>
          </w:p>
        </w:tc>
      </w:tr>
      <w:tr>
        <w:tc>
          <w:tcPr>
            <w:tcW w:type="dxa" w:w="2556"/>
            <w:vAlign w:val="top"/>
          </w:tcPr>
          <w:p>
            <w:pPr>
              <w:spacing w:after="40"/>
            </w:pPr>
            <w:r>
              <w:rPr>
                <w:sz w:val="16"/>
              </w:rPr>
              <w:t>9</w:t>
            </w:r>
          </w:p>
        </w:tc>
        <w:tc>
          <w:tcPr>
            <w:tcW w:type="dxa" w:w="2556"/>
            <w:vAlign w:val="top"/>
          </w:tcPr>
          <w:p>
            <w:pPr>
              <w:spacing w:after="40"/>
            </w:pPr>
            <w:r>
              <w:rPr>
                <w:sz w:val="16"/>
              </w:rPr>
              <w:t>Fault injection campaign</w:t>
            </w:r>
          </w:p>
        </w:tc>
        <w:tc>
          <w:tcPr>
            <w:tcW w:type="dxa" w:w="2556"/>
            <w:vAlign w:val="top"/>
          </w:tcPr>
          <w:p>
            <w:pPr>
              <w:spacing w:after="40"/>
            </w:pPr>
            <w:r>
              <w:rPr>
                <w:sz w:val="16"/>
              </w:rPr>
              <w:t>Benchmark dataset</w:t>
            </w:r>
          </w:p>
        </w:tc>
        <w:tc>
          <w:tcPr>
            <w:tcW w:type="dxa" w:w="2556"/>
            <w:vAlign w:val="top"/>
          </w:tcPr>
          <w:p>
            <w:pPr>
              <w:spacing w:after="40"/>
            </w:pPr>
            <w:r>
              <w:rPr>
                <w:sz w:val="16"/>
              </w:rPr>
              <w:t>2–3 weeks</w:t>
            </w:r>
          </w:p>
        </w:tc>
      </w:tr>
      <w:tr>
        <w:tc>
          <w:tcPr>
            <w:tcW w:type="dxa" w:w="2556"/>
            <w:vAlign w:val="top"/>
          </w:tcPr>
          <w:p>
            <w:pPr>
              <w:spacing w:after="40"/>
            </w:pPr>
            <w:r>
              <w:rPr>
                <w:sz w:val="16"/>
              </w:rPr>
              <w:t>10</w:t>
            </w:r>
          </w:p>
        </w:tc>
        <w:tc>
          <w:tcPr>
            <w:tcW w:type="dxa" w:w="2556"/>
            <w:vAlign w:val="top"/>
          </w:tcPr>
          <w:p>
            <w:pPr>
              <w:spacing w:after="40"/>
            </w:pPr>
            <w:r>
              <w:rPr>
                <w:sz w:val="16"/>
              </w:rPr>
              <w:t>Baselines/ablations/statistics</w:t>
            </w:r>
          </w:p>
        </w:tc>
        <w:tc>
          <w:tcPr>
            <w:tcW w:type="dxa" w:w="2556"/>
            <w:vAlign w:val="top"/>
          </w:tcPr>
          <w:p>
            <w:pPr>
              <w:spacing w:after="40"/>
            </w:pPr>
            <w:r>
              <w:rPr>
                <w:sz w:val="16"/>
              </w:rPr>
              <w:t>Evaluation results</w:t>
            </w:r>
          </w:p>
        </w:tc>
        <w:tc>
          <w:tcPr>
            <w:tcW w:type="dxa" w:w="2556"/>
            <w:vAlign w:val="top"/>
          </w:tcPr>
          <w:p>
            <w:pPr>
              <w:spacing w:after="40"/>
            </w:pPr>
            <w:r>
              <w:rPr>
                <w:sz w:val="16"/>
              </w:rPr>
              <w:t>2–3 weeks</w:t>
            </w:r>
          </w:p>
        </w:tc>
      </w:tr>
      <w:tr>
        <w:tc>
          <w:tcPr>
            <w:tcW w:type="dxa" w:w="2556"/>
            <w:vAlign w:val="top"/>
          </w:tcPr>
          <w:p>
            <w:pPr>
              <w:spacing w:after="40"/>
            </w:pPr>
            <w:r>
              <w:rPr>
                <w:sz w:val="16"/>
              </w:rPr>
              <w:t>11</w:t>
            </w:r>
          </w:p>
        </w:tc>
        <w:tc>
          <w:tcPr>
            <w:tcW w:type="dxa" w:w="2556"/>
            <w:vAlign w:val="top"/>
          </w:tcPr>
          <w:p>
            <w:pPr>
              <w:spacing w:after="40"/>
            </w:pPr>
            <w:r>
              <w:rPr>
                <w:sz w:val="16"/>
              </w:rPr>
              <w:t>Dashboard/evidence visualization</w:t>
            </w:r>
          </w:p>
        </w:tc>
        <w:tc>
          <w:tcPr>
            <w:tcW w:type="dxa" w:w="2556"/>
            <w:vAlign w:val="top"/>
          </w:tcPr>
          <w:p>
            <w:pPr>
              <w:spacing w:after="40"/>
            </w:pPr>
            <w:r>
              <w:rPr>
                <w:sz w:val="16"/>
              </w:rPr>
              <w:t>Research UI</w:t>
            </w:r>
          </w:p>
        </w:tc>
        <w:tc>
          <w:tcPr>
            <w:tcW w:type="dxa" w:w="2556"/>
            <w:vAlign w:val="top"/>
          </w:tcPr>
          <w:p>
            <w:pPr>
              <w:spacing w:after="40"/>
            </w:pPr>
            <w:r>
              <w:rPr>
                <w:sz w:val="16"/>
              </w:rPr>
              <w:t>1–2 weeks</w:t>
            </w:r>
          </w:p>
        </w:tc>
      </w:tr>
      <w:tr>
        <w:tc>
          <w:tcPr>
            <w:tcW w:type="dxa" w:w="2556"/>
            <w:vAlign w:val="top"/>
          </w:tcPr>
          <w:p>
            <w:pPr>
              <w:spacing w:after="40"/>
            </w:pPr>
            <w:r>
              <w:rPr>
                <w:sz w:val="16"/>
              </w:rPr>
              <w:t>12</w:t>
            </w:r>
          </w:p>
        </w:tc>
        <w:tc>
          <w:tcPr>
            <w:tcW w:type="dxa" w:w="2556"/>
            <w:vAlign w:val="top"/>
          </w:tcPr>
          <w:p>
            <w:pPr>
              <w:spacing w:after="40"/>
            </w:pPr>
            <w:r>
              <w:rPr>
                <w:sz w:val="16"/>
              </w:rPr>
              <w:t>Paper + invention disclosure</w:t>
            </w:r>
          </w:p>
        </w:tc>
        <w:tc>
          <w:tcPr>
            <w:tcW w:type="dxa" w:w="2556"/>
            <w:vAlign w:val="top"/>
          </w:tcPr>
          <w:p>
            <w:pPr>
              <w:spacing w:after="40"/>
            </w:pPr>
            <w:r>
              <w:rPr>
                <w:sz w:val="16"/>
              </w:rPr>
              <w:t>Submission package</w:t>
            </w:r>
          </w:p>
        </w:tc>
        <w:tc>
          <w:tcPr>
            <w:tcW w:type="dxa" w:w="2556"/>
            <w:vAlign w:val="top"/>
          </w:tcPr>
          <w:p>
            <w:pPr>
              <w:spacing w:after="40"/>
            </w:pPr>
            <w:r>
              <w:rPr>
                <w:sz w:val="16"/>
              </w:rPr>
              <w:t>3–4 weeks</w:t>
            </w:r>
          </w:p>
        </w:tc>
      </w:tr>
    </w:tbl>
    <w:p>
      <w:pPr>
        <w:pStyle w:val="Heading2"/>
      </w:pPr>
      <w:r>
        <w:t>Recommended first implementation</w:t>
      </w:r>
    </w:p>
    <w:p>
      <w:pPr>
        <w:spacing w:after="100"/>
      </w:pPr>
      <w:r>
        <w:t>Do not start with a real vehicle. Start with a reproducible simulator: Linux/Docker processes represent ECU workloads; SocketCAN or a CAN simulator represents communication; synthetic thermal/vehicle context streams represent physical state; the RAVEN agent observes the streams and makes decisions. Move to HIL only after the software logic is stable.</w:t>
      </w:r>
    </w:p>
    <w:p>
      <w:r>
        <w:br w:type="page"/>
      </w:r>
    </w:p>
    <w:p>
      <w:pPr>
        <w:pStyle w:val="Heading1"/>
      </w:pPr>
      <w:r>
        <w:t>13.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40"/>
            </w:pPr>
            <w:r>
              <w:rPr>
                <w:b/>
                <w:sz w:val="16"/>
              </w:rPr>
              <w:t>Layer</w:t>
            </w:r>
          </w:p>
        </w:tc>
        <w:tc>
          <w:tcPr>
            <w:tcW w:type="dxa" w:w="3408"/>
            <w:vAlign w:val="center"/>
          </w:tcPr>
          <w:p>
            <w:pPr>
              <w:spacing w:after="40"/>
            </w:pPr>
            <w:r>
              <w:rPr>
                <w:b/>
                <w:sz w:val="16"/>
              </w:rPr>
              <w:t>Recommended option</w:t>
            </w:r>
          </w:p>
        </w:tc>
        <w:tc>
          <w:tcPr>
            <w:tcW w:type="dxa" w:w="3408"/>
            <w:vAlign w:val="center"/>
          </w:tcPr>
          <w:p>
            <w:pPr>
              <w:spacing w:after="40"/>
            </w:pPr>
            <w:r>
              <w:rPr>
                <w:b/>
                <w:sz w:val="16"/>
              </w:rPr>
              <w:t>Reason</w:t>
            </w:r>
          </w:p>
        </w:tc>
      </w:tr>
      <w:tr>
        <w:tc>
          <w:tcPr>
            <w:tcW w:type="dxa" w:w="3408"/>
            <w:vAlign w:val="top"/>
          </w:tcPr>
          <w:p>
            <w:pPr>
              <w:spacing w:after="40"/>
            </w:pPr>
            <w:r>
              <w:rPr>
                <w:sz w:val="16"/>
              </w:rPr>
              <w:t>Language</w:t>
            </w:r>
          </w:p>
        </w:tc>
        <w:tc>
          <w:tcPr>
            <w:tcW w:type="dxa" w:w="3408"/>
            <w:vAlign w:val="top"/>
          </w:tcPr>
          <w:p>
            <w:pPr>
              <w:spacing w:after="40"/>
            </w:pPr>
            <w:r>
              <w:rPr>
                <w:sz w:val="16"/>
              </w:rPr>
              <w:t>Python initially; C++/Rust later if needed</w:t>
            </w:r>
          </w:p>
        </w:tc>
        <w:tc>
          <w:tcPr>
            <w:tcW w:type="dxa" w:w="3408"/>
            <w:vAlign w:val="top"/>
          </w:tcPr>
          <w:p>
            <w:pPr>
              <w:spacing w:after="40"/>
            </w:pPr>
            <w:r>
              <w:rPr>
                <w:sz w:val="16"/>
              </w:rPr>
              <w:t>Fast research iteration; later evaluate runtime overhead.</w:t>
            </w:r>
          </w:p>
        </w:tc>
      </w:tr>
      <w:tr>
        <w:tc>
          <w:tcPr>
            <w:tcW w:type="dxa" w:w="3408"/>
            <w:vAlign w:val="top"/>
          </w:tcPr>
          <w:p>
            <w:pPr>
              <w:spacing w:after="40"/>
            </w:pPr>
            <w:r>
              <w:rPr>
                <w:sz w:val="16"/>
              </w:rPr>
              <w:t>Runtime</w:t>
            </w:r>
          </w:p>
        </w:tc>
        <w:tc>
          <w:tcPr>
            <w:tcW w:type="dxa" w:w="3408"/>
            <w:vAlign w:val="top"/>
          </w:tcPr>
          <w:p>
            <w:pPr>
              <w:spacing w:after="40"/>
            </w:pPr>
            <w:r>
              <w:rPr>
                <w:sz w:val="16"/>
              </w:rPr>
              <w:t>Linux + Docker</w:t>
            </w:r>
          </w:p>
        </w:tc>
        <w:tc>
          <w:tcPr>
            <w:tcW w:type="dxa" w:w="3408"/>
            <w:vAlign w:val="top"/>
          </w:tcPr>
          <w:p>
            <w:pPr>
              <w:spacing w:after="40"/>
            </w:pPr>
            <w:r>
              <w:rPr>
                <w:sz w:val="16"/>
              </w:rPr>
              <w:t>Reproducible ECU/workload containers.</w:t>
            </w:r>
          </w:p>
        </w:tc>
      </w:tr>
      <w:tr>
        <w:tc>
          <w:tcPr>
            <w:tcW w:type="dxa" w:w="3408"/>
            <w:vAlign w:val="top"/>
          </w:tcPr>
          <w:p>
            <w:pPr>
              <w:spacing w:after="40"/>
            </w:pPr>
            <w:r>
              <w:rPr>
                <w:sz w:val="16"/>
              </w:rPr>
              <w:t>Vehicle simulation</w:t>
            </w:r>
          </w:p>
        </w:tc>
        <w:tc>
          <w:tcPr>
            <w:tcW w:type="dxa" w:w="3408"/>
            <w:vAlign w:val="top"/>
          </w:tcPr>
          <w:p>
            <w:pPr>
              <w:spacing w:after="40"/>
            </w:pPr>
            <w:r>
              <w:rPr>
                <w:sz w:val="16"/>
              </w:rPr>
              <w:t>CARLA or equivalent</w:t>
            </w:r>
          </w:p>
        </w:tc>
        <w:tc>
          <w:tcPr>
            <w:tcW w:type="dxa" w:w="3408"/>
            <w:vAlign w:val="top"/>
          </w:tcPr>
          <w:p>
            <w:pPr>
              <w:spacing w:after="40"/>
            </w:pPr>
            <w:r>
              <w:rPr>
                <w:sz w:val="16"/>
              </w:rPr>
              <w:t>Vehicle context and driving scenarios.</w:t>
            </w:r>
          </w:p>
        </w:tc>
      </w:tr>
      <w:tr>
        <w:tc>
          <w:tcPr>
            <w:tcW w:type="dxa" w:w="3408"/>
            <w:vAlign w:val="top"/>
          </w:tcPr>
          <w:p>
            <w:pPr>
              <w:spacing w:after="40"/>
            </w:pPr>
            <w:r>
              <w:rPr>
                <w:sz w:val="16"/>
              </w:rPr>
              <w:t>Network</w:t>
            </w:r>
          </w:p>
        </w:tc>
        <w:tc>
          <w:tcPr>
            <w:tcW w:type="dxa" w:w="3408"/>
            <w:vAlign w:val="top"/>
          </w:tcPr>
          <w:p>
            <w:pPr>
              <w:spacing w:after="40"/>
            </w:pPr>
            <w:r>
              <w:rPr>
                <w:sz w:val="16"/>
              </w:rPr>
              <w:t>SocketCAN / CAN-FD simulator</w:t>
            </w:r>
          </w:p>
        </w:tc>
        <w:tc>
          <w:tcPr>
            <w:tcW w:type="dxa" w:w="3408"/>
            <w:vAlign w:val="top"/>
          </w:tcPr>
          <w:p>
            <w:pPr>
              <w:spacing w:after="40"/>
            </w:pPr>
            <w:r>
              <w:rPr>
                <w:sz w:val="16"/>
              </w:rPr>
              <w:t>Reproducible bus-load/fault injection.</w:t>
            </w:r>
          </w:p>
        </w:tc>
      </w:tr>
      <w:tr>
        <w:tc>
          <w:tcPr>
            <w:tcW w:type="dxa" w:w="3408"/>
            <w:vAlign w:val="top"/>
          </w:tcPr>
          <w:p>
            <w:pPr>
              <w:spacing w:after="40"/>
            </w:pPr>
            <w:r>
              <w:rPr>
                <w:sz w:val="16"/>
              </w:rPr>
              <w:t>Constraint engine</w:t>
            </w:r>
          </w:p>
        </w:tc>
        <w:tc>
          <w:tcPr>
            <w:tcW w:type="dxa" w:w="3408"/>
            <w:vAlign w:val="top"/>
          </w:tcPr>
          <w:p>
            <w:pPr>
              <w:spacing w:after="40"/>
            </w:pPr>
            <w:r>
              <w:rPr>
                <w:sz w:val="16"/>
              </w:rPr>
              <w:t>Z3 SMT solver</w:t>
            </w:r>
          </w:p>
        </w:tc>
        <w:tc>
          <w:tcPr>
            <w:tcW w:type="dxa" w:w="3408"/>
            <w:vAlign w:val="top"/>
          </w:tcPr>
          <w:p>
            <w:pPr>
              <w:spacing w:after="40"/>
            </w:pPr>
            <w:r>
              <w:rPr>
                <w:sz w:val="16"/>
              </w:rPr>
              <w:t>Transparent constraint evaluation and explainability.</w:t>
            </w:r>
          </w:p>
        </w:tc>
      </w:tr>
      <w:tr>
        <w:tc>
          <w:tcPr>
            <w:tcW w:type="dxa" w:w="3408"/>
            <w:vAlign w:val="top"/>
          </w:tcPr>
          <w:p>
            <w:pPr>
              <w:spacing w:after="40"/>
            </w:pPr>
            <w:r>
              <w:rPr>
                <w:sz w:val="16"/>
              </w:rPr>
              <w:t>Prediction</w:t>
            </w:r>
          </w:p>
        </w:tc>
        <w:tc>
          <w:tcPr>
            <w:tcW w:type="dxa" w:w="3408"/>
            <w:vAlign w:val="top"/>
          </w:tcPr>
          <w:p>
            <w:pPr>
              <w:spacing w:after="40"/>
            </w:pPr>
            <w:r>
              <w:rPr>
                <w:sz w:val="16"/>
              </w:rPr>
              <w:t>scikit-learn first; PyTorch only if justified</w:t>
            </w:r>
          </w:p>
        </w:tc>
        <w:tc>
          <w:tcPr>
            <w:tcW w:type="dxa" w:w="3408"/>
            <w:vAlign w:val="top"/>
          </w:tcPr>
          <w:p>
            <w:pPr>
              <w:spacing w:after="40"/>
            </w:pPr>
            <w:r>
              <w:rPr>
                <w:sz w:val="16"/>
              </w:rPr>
              <w:t>Avoid unnecessary model complexity.</w:t>
            </w:r>
          </w:p>
        </w:tc>
      </w:tr>
      <w:tr>
        <w:tc>
          <w:tcPr>
            <w:tcW w:type="dxa" w:w="3408"/>
            <w:vAlign w:val="top"/>
          </w:tcPr>
          <w:p>
            <w:pPr>
              <w:spacing w:after="40"/>
            </w:pPr>
            <w:r>
              <w:rPr>
                <w:sz w:val="16"/>
              </w:rPr>
              <w:t>Data</w:t>
            </w:r>
          </w:p>
        </w:tc>
        <w:tc>
          <w:tcPr>
            <w:tcW w:type="dxa" w:w="3408"/>
            <w:vAlign w:val="top"/>
          </w:tcPr>
          <w:p>
            <w:pPr>
              <w:spacing w:after="40"/>
            </w:pPr>
            <w:r>
              <w:rPr>
                <w:sz w:val="16"/>
              </w:rPr>
              <w:t>SQLite/Parquet</w:t>
            </w:r>
          </w:p>
        </w:tc>
        <w:tc>
          <w:tcPr>
            <w:tcW w:type="dxa" w:w="3408"/>
            <w:vAlign w:val="top"/>
          </w:tcPr>
          <w:p>
            <w:pPr>
              <w:spacing w:after="40"/>
            </w:pPr>
            <w:r>
              <w:rPr>
                <w:sz w:val="16"/>
              </w:rPr>
              <w:t>Simple reproducible experiment storage.</w:t>
            </w:r>
          </w:p>
        </w:tc>
      </w:tr>
      <w:tr>
        <w:tc>
          <w:tcPr>
            <w:tcW w:type="dxa" w:w="3408"/>
            <w:vAlign w:val="top"/>
          </w:tcPr>
          <w:p>
            <w:pPr>
              <w:spacing w:after="40"/>
            </w:pPr>
            <w:r>
              <w:rPr>
                <w:sz w:val="16"/>
              </w:rPr>
              <w:t>Dashboard</w:t>
            </w:r>
          </w:p>
        </w:tc>
        <w:tc>
          <w:tcPr>
            <w:tcW w:type="dxa" w:w="3408"/>
            <w:vAlign w:val="top"/>
          </w:tcPr>
          <w:p>
            <w:pPr>
              <w:spacing w:after="40"/>
            </w:pPr>
            <w:r>
              <w:rPr>
                <w:sz w:val="16"/>
              </w:rPr>
              <w:t>FastAPI + React or Streamlit</w:t>
            </w:r>
          </w:p>
        </w:tc>
        <w:tc>
          <w:tcPr>
            <w:tcW w:type="dxa" w:w="3408"/>
            <w:vAlign w:val="top"/>
          </w:tcPr>
          <w:p>
            <w:pPr>
              <w:spacing w:after="40"/>
            </w:pPr>
            <w:r>
              <w:rPr>
                <w:sz w:val="16"/>
              </w:rPr>
              <w:t>Fast research visualization.</w:t>
            </w:r>
          </w:p>
        </w:tc>
      </w:tr>
      <w:tr>
        <w:tc>
          <w:tcPr>
            <w:tcW w:type="dxa" w:w="3408"/>
            <w:vAlign w:val="top"/>
          </w:tcPr>
          <w:p>
            <w:pPr>
              <w:spacing w:after="40"/>
            </w:pPr>
            <w:r>
              <w:rPr>
                <w:sz w:val="16"/>
              </w:rPr>
              <w:t>Testing</w:t>
            </w:r>
          </w:p>
        </w:tc>
        <w:tc>
          <w:tcPr>
            <w:tcW w:type="dxa" w:w="3408"/>
            <w:vAlign w:val="top"/>
          </w:tcPr>
          <w:p>
            <w:pPr>
              <w:spacing w:after="40"/>
            </w:pPr>
            <w:r>
              <w:rPr>
                <w:sz w:val="16"/>
              </w:rPr>
              <w:t>pytest + scripted fault injection</w:t>
            </w:r>
          </w:p>
        </w:tc>
        <w:tc>
          <w:tcPr>
            <w:tcW w:type="dxa" w:w="3408"/>
            <w:vAlign w:val="top"/>
          </w:tcPr>
          <w:p>
            <w:pPr>
              <w:spacing w:after="40"/>
            </w:pPr>
            <w:r>
              <w:rPr>
                <w:sz w:val="16"/>
              </w:rPr>
              <w:t>Automated repeatability.</w:t>
            </w:r>
          </w:p>
        </w:tc>
      </w:tr>
      <w:tr>
        <w:tc>
          <w:tcPr>
            <w:tcW w:type="dxa" w:w="3408"/>
            <w:vAlign w:val="top"/>
          </w:tcPr>
          <w:p>
            <w:pPr>
              <w:spacing w:after="40"/>
            </w:pPr>
            <w:r>
              <w:rPr>
                <w:sz w:val="16"/>
              </w:rPr>
              <w:t>Versioning</w:t>
            </w:r>
          </w:p>
        </w:tc>
        <w:tc>
          <w:tcPr>
            <w:tcW w:type="dxa" w:w="3408"/>
            <w:vAlign w:val="top"/>
          </w:tcPr>
          <w:p>
            <w:pPr>
              <w:spacing w:after="40"/>
            </w:pPr>
            <w:r>
              <w:rPr>
                <w:sz w:val="16"/>
              </w:rPr>
              <w:t>Git + Docker</w:t>
            </w:r>
          </w:p>
        </w:tc>
        <w:tc>
          <w:tcPr>
            <w:tcW w:type="dxa" w:w="3408"/>
            <w:vAlign w:val="top"/>
          </w:tcPr>
          <w:p>
            <w:pPr>
              <w:spacing w:after="40"/>
            </w:pPr>
            <w:r>
              <w:rPr>
                <w:sz w:val="16"/>
              </w:rPr>
              <w:t>Reproducibility.</w:t>
            </w:r>
          </w:p>
        </w:tc>
      </w:tr>
      <w:tr>
        <w:tc>
          <w:tcPr>
            <w:tcW w:type="dxa" w:w="3408"/>
            <w:vAlign w:val="top"/>
          </w:tcPr>
          <w:p>
            <w:pPr>
              <w:spacing w:after="40"/>
            </w:pPr>
            <w:r>
              <w:rPr>
                <w:sz w:val="16"/>
              </w:rPr>
              <w:t>Optional HIL</w:t>
            </w:r>
          </w:p>
        </w:tc>
        <w:tc>
          <w:tcPr>
            <w:tcW w:type="dxa" w:w="3408"/>
            <w:vAlign w:val="top"/>
          </w:tcPr>
          <w:p>
            <w:pPr>
              <w:spacing w:after="40"/>
            </w:pPr>
            <w:r>
              <w:rPr>
                <w:sz w:val="16"/>
              </w:rPr>
              <w:t>CANoe / real ECU bench</w:t>
            </w:r>
          </w:p>
        </w:tc>
        <w:tc>
          <w:tcPr>
            <w:tcW w:type="dxa" w:w="3408"/>
            <w:vAlign w:val="top"/>
          </w:tcPr>
          <w:p>
            <w:pPr>
              <w:spacing w:after="40"/>
            </w:pPr>
            <w:r>
              <w:rPr>
                <w:sz w:val="16"/>
              </w:rPr>
              <w:t>Higher-fidelity validation after simulator stage.</w:t>
            </w:r>
          </w:p>
        </w:tc>
      </w:tr>
    </w:tbl>
    <w:p>
      <w:pPr>
        <w:pStyle w:val="Heading2"/>
      </w:pPr>
      <w:r>
        <w:t>Minimum viable prototype</w:t>
      </w:r>
    </w:p>
    <w:p>
      <w:pPr>
        <w:spacing w:after="100"/>
      </w:pPr>
      <w:r>
        <w:t>A strong first milestone is: one simulated OTA update + 5–8 safety/timing constraints + telemetry generator + margin engine + four-state assurance machine + three response actions + reproducible fault injection + dashboard.</w:t>
      </w:r>
    </w:p>
    <w:p>
      <w:r>
        <w:br w:type="page"/>
      </w:r>
    </w:p>
    <w:p>
      <w:pPr>
        <w:pStyle w:val="Heading1"/>
      </w:pPr>
      <w:r>
        <w:t>14. Experimental Design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40"/>
            </w:pPr>
            <w:r>
              <w:rPr>
                <w:b/>
                <w:sz w:val="16"/>
              </w:rPr>
              <w:t>ID</w:t>
            </w:r>
          </w:p>
        </w:tc>
        <w:tc>
          <w:tcPr>
            <w:tcW w:type="dxa" w:w="2556"/>
            <w:vAlign w:val="center"/>
          </w:tcPr>
          <w:p>
            <w:pPr>
              <w:spacing w:after="40"/>
            </w:pPr>
            <w:r>
              <w:rPr>
                <w:b/>
                <w:sz w:val="16"/>
              </w:rPr>
              <w:t>Scenario</w:t>
            </w:r>
          </w:p>
        </w:tc>
        <w:tc>
          <w:tcPr>
            <w:tcW w:type="dxa" w:w="2556"/>
            <w:vAlign w:val="center"/>
          </w:tcPr>
          <w:p>
            <w:pPr>
              <w:spacing w:after="40"/>
            </w:pPr>
            <w:r>
              <w:rPr>
                <w:b/>
                <w:sz w:val="16"/>
              </w:rPr>
              <w:t>Injected condition</w:t>
            </w:r>
          </w:p>
        </w:tc>
        <w:tc>
          <w:tcPr>
            <w:tcW w:type="dxa" w:w="2556"/>
            <w:vAlign w:val="center"/>
          </w:tcPr>
          <w:p>
            <w:pPr>
              <w:spacing w:after="40"/>
            </w:pPr>
            <w:r>
              <w:rPr>
                <w:b/>
                <w:sz w:val="16"/>
              </w:rPr>
              <w:t>Expected research question</w:t>
            </w:r>
          </w:p>
        </w:tc>
      </w:tr>
      <w:tr>
        <w:tc>
          <w:tcPr>
            <w:tcW w:type="dxa" w:w="2556"/>
            <w:vAlign w:val="top"/>
          </w:tcPr>
          <w:p>
            <w:pPr>
              <w:spacing w:after="40"/>
            </w:pPr>
            <w:r>
              <w:rPr>
                <w:sz w:val="16"/>
              </w:rPr>
              <w:t>S1</w:t>
            </w:r>
          </w:p>
        </w:tc>
        <w:tc>
          <w:tcPr>
            <w:tcW w:type="dxa" w:w="2556"/>
            <w:vAlign w:val="top"/>
          </w:tcPr>
          <w:p>
            <w:pPr>
              <w:spacing w:after="40"/>
            </w:pPr>
            <w:r>
              <w:rPr>
                <w:sz w:val="16"/>
              </w:rPr>
              <w:t>Normal operation</w:t>
            </w:r>
          </w:p>
        </w:tc>
        <w:tc>
          <w:tcPr>
            <w:tcW w:type="dxa" w:w="2556"/>
            <w:vAlign w:val="top"/>
          </w:tcPr>
          <w:p>
            <w:pPr>
              <w:spacing w:after="40"/>
            </w:pPr>
            <w:r>
              <w:rPr>
                <w:sz w:val="16"/>
              </w:rPr>
              <w:t>No critical violation</w:t>
            </w:r>
          </w:p>
        </w:tc>
        <w:tc>
          <w:tcPr>
            <w:tcW w:type="dxa" w:w="2556"/>
            <w:vAlign w:val="top"/>
          </w:tcPr>
          <w:p>
            <w:pPr>
              <w:spacing w:after="40"/>
            </w:pPr>
            <w:r>
              <w:rPr>
                <w:sz w:val="16"/>
              </w:rPr>
              <w:t>Correct NORMAL state</w:t>
            </w:r>
          </w:p>
        </w:tc>
      </w:tr>
      <w:tr>
        <w:tc>
          <w:tcPr>
            <w:tcW w:type="dxa" w:w="2556"/>
            <w:vAlign w:val="top"/>
          </w:tcPr>
          <w:p>
            <w:pPr>
              <w:spacing w:after="40"/>
            </w:pPr>
            <w:r>
              <w:rPr>
                <w:sz w:val="16"/>
              </w:rPr>
              <w:t>S2</w:t>
            </w:r>
          </w:p>
        </w:tc>
        <w:tc>
          <w:tcPr>
            <w:tcW w:type="dxa" w:w="2556"/>
            <w:vAlign w:val="top"/>
          </w:tcPr>
          <w:p>
            <w:pPr>
              <w:spacing w:after="40"/>
            </w:pPr>
            <w:r>
              <w:rPr>
                <w:sz w:val="16"/>
              </w:rPr>
              <w:t>CPU contention</w:t>
            </w:r>
          </w:p>
        </w:tc>
        <w:tc>
          <w:tcPr>
            <w:tcW w:type="dxa" w:w="2556"/>
            <w:vAlign w:val="top"/>
          </w:tcPr>
          <w:p>
            <w:pPr>
              <w:spacing w:after="40"/>
            </w:pPr>
            <w:r>
              <w:rPr>
                <w:sz w:val="16"/>
              </w:rPr>
              <w:t>CPU margin decreases</w:t>
            </w:r>
          </w:p>
        </w:tc>
        <w:tc>
          <w:tcPr>
            <w:tcW w:type="dxa" w:w="2556"/>
            <w:vAlign w:val="top"/>
          </w:tcPr>
          <w:p>
            <w:pPr>
              <w:spacing w:after="40"/>
            </w:pPr>
            <w:r>
              <w:rPr>
                <w:sz w:val="16"/>
              </w:rPr>
              <w:t>Early WARNING/DEGRADED</w:t>
            </w:r>
          </w:p>
        </w:tc>
      </w:tr>
      <w:tr>
        <w:tc>
          <w:tcPr>
            <w:tcW w:type="dxa" w:w="2556"/>
            <w:vAlign w:val="top"/>
          </w:tcPr>
          <w:p>
            <w:pPr>
              <w:spacing w:after="40"/>
            </w:pPr>
            <w:r>
              <w:rPr>
                <w:sz w:val="16"/>
              </w:rPr>
              <w:t>S3</w:t>
            </w:r>
          </w:p>
        </w:tc>
        <w:tc>
          <w:tcPr>
            <w:tcW w:type="dxa" w:w="2556"/>
            <w:vAlign w:val="top"/>
          </w:tcPr>
          <w:p>
            <w:pPr>
              <w:spacing w:after="40"/>
            </w:pPr>
            <w:r>
              <w:rPr>
                <w:sz w:val="16"/>
              </w:rPr>
              <w:t>Network congestion</w:t>
            </w:r>
          </w:p>
        </w:tc>
        <w:tc>
          <w:tcPr>
            <w:tcW w:type="dxa" w:w="2556"/>
            <w:vAlign w:val="top"/>
          </w:tcPr>
          <w:p>
            <w:pPr>
              <w:spacing w:after="40"/>
            </w:pPr>
            <w:r>
              <w:rPr>
                <w:sz w:val="16"/>
              </w:rPr>
              <w:t>CAN/Ethernet load increases</w:t>
            </w:r>
          </w:p>
        </w:tc>
        <w:tc>
          <w:tcPr>
            <w:tcW w:type="dxa" w:w="2556"/>
            <w:vAlign w:val="top"/>
          </w:tcPr>
          <w:p>
            <w:pPr>
              <w:spacing w:after="40"/>
            </w:pPr>
            <w:r>
              <w:rPr>
                <w:sz w:val="16"/>
              </w:rPr>
              <w:t>Detection and safe response</w:t>
            </w:r>
          </w:p>
        </w:tc>
      </w:tr>
      <w:tr>
        <w:tc>
          <w:tcPr>
            <w:tcW w:type="dxa" w:w="2556"/>
            <w:vAlign w:val="top"/>
          </w:tcPr>
          <w:p>
            <w:pPr>
              <w:spacing w:after="40"/>
            </w:pPr>
            <w:r>
              <w:rPr>
                <w:sz w:val="16"/>
              </w:rPr>
              <w:t>S4</w:t>
            </w:r>
          </w:p>
        </w:tc>
        <w:tc>
          <w:tcPr>
            <w:tcW w:type="dxa" w:w="2556"/>
            <w:vAlign w:val="top"/>
          </w:tcPr>
          <w:p>
            <w:pPr>
              <w:spacing w:after="40"/>
            </w:pPr>
            <w:r>
              <w:rPr>
                <w:sz w:val="16"/>
              </w:rPr>
              <w:t>Timing degradation</w:t>
            </w:r>
          </w:p>
        </w:tc>
        <w:tc>
          <w:tcPr>
            <w:tcW w:type="dxa" w:w="2556"/>
            <w:vAlign w:val="top"/>
          </w:tcPr>
          <w:p>
            <w:pPr>
              <w:spacing w:after="40"/>
            </w:pPr>
            <w:r>
              <w:rPr>
                <w:sz w:val="16"/>
              </w:rPr>
              <w:t>Jitter/deadline misses rise</w:t>
            </w:r>
          </w:p>
        </w:tc>
        <w:tc>
          <w:tcPr>
            <w:tcW w:type="dxa" w:w="2556"/>
            <w:vAlign w:val="top"/>
          </w:tcPr>
          <w:p>
            <w:pPr>
              <w:spacing w:after="40"/>
            </w:pPr>
            <w:r>
              <w:rPr>
                <w:sz w:val="16"/>
              </w:rPr>
              <w:t>Prediction before critical failure if feasible</w:t>
            </w:r>
          </w:p>
        </w:tc>
      </w:tr>
      <w:tr>
        <w:tc>
          <w:tcPr>
            <w:tcW w:type="dxa" w:w="2556"/>
            <w:vAlign w:val="top"/>
          </w:tcPr>
          <w:p>
            <w:pPr>
              <w:spacing w:after="40"/>
            </w:pPr>
            <w:r>
              <w:rPr>
                <w:sz w:val="16"/>
              </w:rPr>
              <w:t>S5</w:t>
            </w:r>
          </w:p>
        </w:tc>
        <w:tc>
          <w:tcPr>
            <w:tcW w:type="dxa" w:w="2556"/>
            <w:vAlign w:val="top"/>
          </w:tcPr>
          <w:p>
            <w:pPr>
              <w:spacing w:after="40"/>
            </w:pPr>
            <w:r>
              <w:rPr>
                <w:sz w:val="16"/>
              </w:rPr>
              <w:t>Thermal stress</w:t>
            </w:r>
          </w:p>
        </w:tc>
        <w:tc>
          <w:tcPr>
            <w:tcW w:type="dxa" w:w="2556"/>
            <w:vAlign w:val="top"/>
          </w:tcPr>
          <w:p>
            <w:pPr>
              <w:spacing w:after="40"/>
            </w:pPr>
            <w:r>
              <w:rPr>
                <w:sz w:val="16"/>
              </w:rPr>
              <w:t>Temperature rises</w:t>
            </w:r>
          </w:p>
        </w:tc>
        <w:tc>
          <w:tcPr>
            <w:tcW w:type="dxa" w:w="2556"/>
            <w:vAlign w:val="top"/>
          </w:tcPr>
          <w:p>
            <w:pPr>
              <w:spacing w:after="40"/>
            </w:pPr>
            <w:r>
              <w:rPr>
                <w:sz w:val="16"/>
              </w:rPr>
              <w:t>Context-aware warning/degradation</w:t>
            </w:r>
          </w:p>
        </w:tc>
      </w:tr>
      <w:tr>
        <w:tc>
          <w:tcPr>
            <w:tcW w:type="dxa" w:w="2556"/>
            <w:vAlign w:val="top"/>
          </w:tcPr>
          <w:p>
            <w:pPr>
              <w:spacing w:after="40"/>
            </w:pPr>
            <w:r>
              <w:rPr>
                <w:sz w:val="16"/>
              </w:rPr>
              <w:t>S6</w:t>
            </w:r>
          </w:p>
        </w:tc>
        <w:tc>
          <w:tcPr>
            <w:tcW w:type="dxa" w:w="2556"/>
            <w:vAlign w:val="top"/>
          </w:tcPr>
          <w:p>
            <w:pPr>
              <w:spacing w:after="40"/>
            </w:pPr>
            <w:r>
              <w:rPr>
                <w:sz w:val="16"/>
              </w:rPr>
              <w:t>ADAS workload surge</w:t>
            </w:r>
          </w:p>
        </w:tc>
        <w:tc>
          <w:tcPr>
            <w:tcW w:type="dxa" w:w="2556"/>
            <w:vAlign w:val="top"/>
          </w:tcPr>
          <w:p>
            <w:pPr>
              <w:spacing w:after="40"/>
            </w:pPr>
            <w:r>
              <w:rPr>
                <w:sz w:val="16"/>
              </w:rPr>
              <w:t>CPU + network increase together</w:t>
            </w:r>
          </w:p>
        </w:tc>
        <w:tc>
          <w:tcPr>
            <w:tcW w:type="dxa" w:w="2556"/>
            <w:vAlign w:val="top"/>
          </w:tcPr>
          <w:p>
            <w:pPr>
              <w:spacing w:after="40"/>
            </w:pPr>
            <w:r>
              <w:rPr>
                <w:sz w:val="16"/>
              </w:rPr>
              <w:t>Cross-constraint reasoning</w:t>
            </w:r>
          </w:p>
        </w:tc>
      </w:tr>
      <w:tr>
        <w:tc>
          <w:tcPr>
            <w:tcW w:type="dxa" w:w="2556"/>
            <w:vAlign w:val="top"/>
          </w:tcPr>
          <w:p>
            <w:pPr>
              <w:spacing w:after="40"/>
            </w:pPr>
            <w:r>
              <w:rPr>
                <w:sz w:val="16"/>
              </w:rPr>
              <w:t>S7</w:t>
            </w:r>
          </w:p>
        </w:tc>
        <w:tc>
          <w:tcPr>
            <w:tcW w:type="dxa" w:w="2556"/>
            <w:vAlign w:val="top"/>
          </w:tcPr>
          <w:p>
            <w:pPr>
              <w:spacing w:after="40"/>
            </w:pPr>
            <w:r>
              <w:rPr>
                <w:sz w:val="16"/>
              </w:rPr>
              <w:t>Combined stress</w:t>
            </w:r>
          </w:p>
        </w:tc>
        <w:tc>
          <w:tcPr>
            <w:tcW w:type="dxa" w:w="2556"/>
            <w:vAlign w:val="top"/>
          </w:tcPr>
          <w:p>
            <w:pPr>
              <w:spacing w:after="40"/>
            </w:pPr>
            <w:r>
              <w:rPr>
                <w:sz w:val="16"/>
              </w:rPr>
              <w:t>Multiple margins degrade</w:t>
            </w:r>
          </w:p>
        </w:tc>
        <w:tc>
          <w:tcPr>
            <w:tcW w:type="dxa" w:w="2556"/>
            <w:vAlign w:val="top"/>
          </w:tcPr>
          <w:p>
            <w:pPr>
              <w:spacing w:after="40"/>
            </w:pPr>
            <w:r>
              <w:rPr>
                <w:sz w:val="16"/>
              </w:rPr>
              <w:t>Correct prioritization</w:t>
            </w:r>
          </w:p>
        </w:tc>
      </w:tr>
      <w:tr>
        <w:tc>
          <w:tcPr>
            <w:tcW w:type="dxa" w:w="2556"/>
            <w:vAlign w:val="top"/>
          </w:tcPr>
          <w:p>
            <w:pPr>
              <w:spacing w:after="40"/>
            </w:pPr>
            <w:r>
              <w:rPr>
                <w:sz w:val="16"/>
              </w:rPr>
              <w:t>S8</w:t>
            </w:r>
          </w:p>
        </w:tc>
        <w:tc>
          <w:tcPr>
            <w:tcW w:type="dxa" w:w="2556"/>
            <w:vAlign w:val="top"/>
          </w:tcPr>
          <w:p>
            <w:pPr>
              <w:spacing w:after="40"/>
            </w:pPr>
            <w:r>
              <w:rPr>
                <w:sz w:val="16"/>
              </w:rPr>
              <w:t>Benign anomaly</w:t>
            </w:r>
          </w:p>
        </w:tc>
        <w:tc>
          <w:tcPr>
            <w:tcW w:type="dxa" w:w="2556"/>
            <w:vAlign w:val="top"/>
          </w:tcPr>
          <w:p>
            <w:pPr>
              <w:spacing w:after="40"/>
            </w:pPr>
            <w:r>
              <w:rPr>
                <w:sz w:val="16"/>
              </w:rPr>
              <w:t>Unusual but safe pattern</w:t>
            </w:r>
          </w:p>
        </w:tc>
        <w:tc>
          <w:tcPr>
            <w:tcW w:type="dxa" w:w="2556"/>
            <w:vAlign w:val="top"/>
          </w:tcPr>
          <w:p>
            <w:pPr>
              <w:spacing w:after="40"/>
            </w:pPr>
            <w:r>
              <w:rPr>
                <w:sz w:val="16"/>
              </w:rPr>
              <w:t>Low false-positive response</w:t>
            </w:r>
          </w:p>
        </w:tc>
      </w:tr>
      <w:tr>
        <w:tc>
          <w:tcPr>
            <w:tcW w:type="dxa" w:w="2556"/>
            <w:vAlign w:val="top"/>
          </w:tcPr>
          <w:p>
            <w:pPr>
              <w:spacing w:after="40"/>
            </w:pPr>
            <w:r>
              <w:rPr>
                <w:sz w:val="16"/>
              </w:rPr>
              <w:t>S9</w:t>
            </w:r>
          </w:p>
        </w:tc>
        <w:tc>
          <w:tcPr>
            <w:tcW w:type="dxa" w:w="2556"/>
            <w:vAlign w:val="top"/>
          </w:tcPr>
          <w:p>
            <w:pPr>
              <w:spacing w:after="40"/>
            </w:pPr>
            <w:r>
              <w:rPr>
                <w:sz w:val="16"/>
              </w:rPr>
              <w:t>Persistent critical violation</w:t>
            </w:r>
          </w:p>
        </w:tc>
        <w:tc>
          <w:tcPr>
            <w:tcW w:type="dxa" w:w="2556"/>
            <w:vAlign w:val="top"/>
          </w:tcPr>
          <w:p>
            <w:pPr>
              <w:spacing w:after="40"/>
            </w:pPr>
            <w:r>
              <w:rPr>
                <w:sz w:val="16"/>
              </w:rPr>
              <w:t>Critical constraint remains invalid</w:t>
            </w:r>
          </w:p>
        </w:tc>
        <w:tc>
          <w:tcPr>
            <w:tcW w:type="dxa" w:w="2556"/>
            <w:vAlign w:val="top"/>
          </w:tcPr>
          <w:p>
            <w:pPr>
              <w:spacing w:after="40"/>
            </w:pPr>
            <w:r>
              <w:rPr>
                <w:sz w:val="16"/>
              </w:rPr>
              <w:t>UNSAFE and validated safety action</w:t>
            </w:r>
          </w:p>
        </w:tc>
      </w:tr>
      <w:tr>
        <w:tc>
          <w:tcPr>
            <w:tcW w:type="dxa" w:w="2556"/>
            <w:vAlign w:val="top"/>
          </w:tcPr>
          <w:p>
            <w:pPr>
              <w:spacing w:after="40"/>
            </w:pPr>
            <w:r>
              <w:rPr>
                <w:sz w:val="16"/>
              </w:rPr>
              <w:t>S10</w:t>
            </w:r>
          </w:p>
        </w:tc>
        <w:tc>
          <w:tcPr>
            <w:tcW w:type="dxa" w:w="2556"/>
            <w:vAlign w:val="top"/>
          </w:tcPr>
          <w:p>
            <w:pPr>
              <w:spacing w:after="40"/>
            </w:pPr>
            <w:r>
              <w:rPr>
                <w:sz w:val="16"/>
              </w:rPr>
              <w:t>Repeated fleet pattern</w:t>
            </w:r>
          </w:p>
        </w:tc>
        <w:tc>
          <w:tcPr>
            <w:tcW w:type="dxa" w:w="2556"/>
            <w:vAlign w:val="top"/>
          </w:tcPr>
          <w:p>
            <w:pPr>
              <w:spacing w:after="40"/>
            </w:pPr>
            <w:r>
              <w:rPr>
                <w:sz w:val="16"/>
              </w:rPr>
              <w:t>Same software version under multiple contexts</w:t>
            </w:r>
          </w:p>
        </w:tc>
        <w:tc>
          <w:tcPr>
            <w:tcW w:type="dxa" w:w="2556"/>
            <w:vAlign w:val="top"/>
          </w:tcPr>
          <w:p>
            <w:pPr>
              <w:spacing w:after="40"/>
            </w:pPr>
            <w:r>
              <w:rPr>
                <w:sz w:val="16"/>
              </w:rPr>
              <w:t>Evidence aggregation / campaign insight</w:t>
            </w:r>
          </w:p>
        </w:tc>
      </w:tr>
    </w:tbl>
    <w:p>
      <w:pPr>
        <w:pStyle w:val="Heading2"/>
      </w:pPr>
      <w:r>
        <w:t>Baselines</w:t>
      </w:r>
    </w:p>
    <w:p>
      <w:pPr>
        <w:pStyle w:val="ListBullet"/>
        <w:spacing w:after="40"/>
      </w:pPr>
      <w:r>
        <w:t>Baseline A: pre-deployment verification only.</w:t>
      </w:r>
    </w:p>
    <w:p>
      <w:pPr>
        <w:pStyle w:val="ListBullet"/>
        <w:spacing w:after="40"/>
      </w:pPr>
      <w:r>
        <w:t>Baseline B: fixed threshold monitoring.</w:t>
      </w:r>
    </w:p>
    <w:p>
      <w:pPr>
        <w:pStyle w:val="ListBullet"/>
        <w:spacing w:after="40"/>
      </w:pPr>
      <w:r>
        <w:t>Baseline C: generic anomaly detector without verification linkage.</w:t>
      </w:r>
    </w:p>
    <w:p>
      <w:pPr>
        <w:pStyle w:val="ListBullet"/>
        <w:spacing w:after="40"/>
      </w:pPr>
      <w:r>
        <w:t>Baseline D: anomaly + immediate rollback.</w:t>
      </w:r>
    </w:p>
    <w:p>
      <w:pPr>
        <w:pStyle w:val="ListBullet"/>
        <w:spacing w:after="40"/>
      </w:pPr>
      <w:r>
        <w:t>Proposed: RAVEN-OTA envelope + context + prediction + graduated response.</w:t>
      </w:r>
    </w:p>
    <w:p>
      <w:pPr>
        <w:pStyle w:val="Heading2"/>
      </w:pPr>
      <w:r>
        <w:t>Ablation studies</w:t>
      </w:r>
    </w:p>
    <w:p>
      <w:pPr>
        <w:pStyle w:val="ListBullet"/>
        <w:spacing w:after="40"/>
      </w:pPr>
      <w:r>
        <w:t>Remove prediction.</w:t>
      </w:r>
    </w:p>
    <w:p>
      <w:pPr>
        <w:pStyle w:val="ListBullet"/>
        <w:spacing w:after="40"/>
      </w:pPr>
      <w:r>
        <w:t>Remove context.</w:t>
      </w:r>
    </w:p>
    <w:p>
      <w:pPr>
        <w:pStyle w:val="ListBullet"/>
        <w:spacing w:after="40"/>
      </w:pPr>
      <w:r>
        <w:t>Remove timing constraints.</w:t>
      </w:r>
    </w:p>
    <w:p>
      <w:pPr>
        <w:pStyle w:val="ListBullet"/>
        <w:spacing w:after="40"/>
      </w:pPr>
      <w:r>
        <w:t>Remove verified-envelope linkage.</w:t>
      </w:r>
    </w:p>
    <w:p>
      <w:pPr>
        <w:pStyle w:val="ListBullet"/>
        <w:spacing w:after="40"/>
      </w:pPr>
      <w:r>
        <w:t>Remove graduated response and compare immediate rollback.</w:t>
      </w:r>
    </w:p>
    <w:p>
      <w:pPr>
        <w:pStyle w:val="ListBullet"/>
        <w:spacing w:after="40"/>
      </w:pPr>
      <w:r>
        <w:t>Vary threshold strictness and prediction horizon.</w:t>
      </w:r>
    </w:p>
    <w:p>
      <w:r>
        <w:br w:type="page"/>
      </w:r>
    </w:p>
    <w:p>
      <w:pPr>
        <w:pStyle w:val="Heading1"/>
      </w:pPr>
      <w:r>
        <w:t>15. Evaluation Metrics and Analysis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40"/>
            </w:pPr>
            <w:r>
              <w:rPr>
                <w:b/>
                <w:sz w:val="16"/>
              </w:rPr>
              <w:t>Metric</w:t>
            </w:r>
          </w:p>
        </w:tc>
        <w:tc>
          <w:tcPr>
            <w:tcW w:type="dxa" w:w="5112"/>
            <w:vAlign w:val="center"/>
          </w:tcPr>
          <w:p>
            <w:pPr>
              <w:spacing w:after="40"/>
            </w:pPr>
            <w:r>
              <w:rPr>
                <w:b/>
                <w:sz w:val="16"/>
              </w:rPr>
              <w:t>Definition / purpose</w:t>
            </w:r>
          </w:p>
        </w:tc>
      </w:tr>
      <w:tr>
        <w:tc>
          <w:tcPr>
            <w:tcW w:type="dxa" w:w="5112"/>
            <w:vAlign w:val="top"/>
          </w:tcPr>
          <w:p>
            <w:pPr>
              <w:spacing w:after="40"/>
            </w:pPr>
            <w:r>
              <w:rPr>
                <w:sz w:val="16"/>
              </w:rPr>
              <w:t>Detection precision/recall</w:t>
            </w:r>
          </w:p>
        </w:tc>
        <w:tc>
          <w:tcPr>
            <w:tcW w:type="dxa" w:w="5112"/>
            <w:vAlign w:val="top"/>
          </w:tcPr>
          <w:p>
            <w:pPr>
              <w:spacing w:after="40"/>
            </w:pPr>
            <w:r>
              <w:rPr>
                <w:sz w:val="16"/>
              </w:rPr>
              <w:t>How accurately violations are identified.</w:t>
            </w:r>
          </w:p>
        </w:tc>
      </w:tr>
      <w:tr>
        <w:tc>
          <w:tcPr>
            <w:tcW w:type="dxa" w:w="5112"/>
            <w:vAlign w:val="top"/>
          </w:tcPr>
          <w:p>
            <w:pPr>
              <w:spacing w:after="40"/>
            </w:pPr>
            <w:r>
              <w:rPr>
                <w:sz w:val="16"/>
              </w:rPr>
              <w:t>False-positive rate</w:t>
            </w:r>
          </w:p>
        </w:tc>
        <w:tc>
          <w:tcPr>
            <w:tcW w:type="dxa" w:w="5112"/>
            <w:vAlign w:val="top"/>
          </w:tcPr>
          <w:p>
            <w:pPr>
              <w:spacing w:after="40"/>
            </w:pPr>
            <w:r>
              <w:rPr>
                <w:sz w:val="16"/>
              </w:rPr>
              <w:t>How often safe conditions trigger unnecessary response.</w:t>
            </w:r>
          </w:p>
        </w:tc>
      </w:tr>
      <w:tr>
        <w:tc>
          <w:tcPr>
            <w:tcW w:type="dxa" w:w="5112"/>
            <w:vAlign w:val="top"/>
          </w:tcPr>
          <w:p>
            <w:pPr>
              <w:spacing w:after="40"/>
            </w:pPr>
            <w:r>
              <w:rPr>
                <w:sz w:val="16"/>
              </w:rPr>
              <w:t>False-negative rate</w:t>
            </w:r>
          </w:p>
        </w:tc>
        <w:tc>
          <w:tcPr>
            <w:tcW w:type="dxa" w:w="5112"/>
            <w:vAlign w:val="top"/>
          </w:tcPr>
          <w:p>
            <w:pPr>
              <w:spacing w:after="40"/>
            </w:pPr>
            <w:r>
              <w:rPr>
                <w:sz w:val="16"/>
              </w:rPr>
              <w:t>How often unsafe conditions are missed.</w:t>
            </w:r>
          </w:p>
        </w:tc>
      </w:tr>
      <w:tr>
        <w:tc>
          <w:tcPr>
            <w:tcW w:type="dxa" w:w="5112"/>
            <w:vAlign w:val="top"/>
          </w:tcPr>
          <w:p>
            <w:pPr>
              <w:spacing w:after="40"/>
            </w:pPr>
            <w:r>
              <w:rPr>
                <w:sz w:val="16"/>
              </w:rPr>
              <w:t>Prediction lead time</w:t>
            </w:r>
          </w:p>
        </w:tc>
        <w:tc>
          <w:tcPr>
            <w:tcW w:type="dxa" w:w="5112"/>
            <w:vAlign w:val="top"/>
          </w:tcPr>
          <w:p>
            <w:pPr>
              <w:spacing w:after="40"/>
            </w:pPr>
            <w:r>
              <w:rPr>
                <w:sz w:val="16"/>
              </w:rPr>
              <w:t>Time between reliable warning and actual boundary crossing.</w:t>
            </w:r>
          </w:p>
        </w:tc>
      </w:tr>
      <w:tr>
        <w:tc>
          <w:tcPr>
            <w:tcW w:type="dxa" w:w="5112"/>
            <w:vAlign w:val="top"/>
          </w:tcPr>
          <w:p>
            <w:pPr>
              <w:spacing w:after="40"/>
            </w:pPr>
            <w:r>
              <w:rPr>
                <w:sz w:val="16"/>
              </w:rPr>
              <w:t>Response latency</w:t>
            </w:r>
          </w:p>
        </w:tc>
        <w:tc>
          <w:tcPr>
            <w:tcW w:type="dxa" w:w="5112"/>
            <w:vAlign w:val="top"/>
          </w:tcPr>
          <w:p>
            <w:pPr>
              <w:spacing w:after="40"/>
            </w:pPr>
            <w:r>
              <w:rPr>
                <w:sz w:val="16"/>
              </w:rPr>
              <w:t>Time from detected condition to policy action.</w:t>
            </w:r>
          </w:p>
        </w:tc>
      </w:tr>
      <w:tr>
        <w:tc>
          <w:tcPr>
            <w:tcW w:type="dxa" w:w="5112"/>
            <w:vAlign w:val="top"/>
          </w:tcPr>
          <w:p>
            <w:pPr>
              <w:spacing w:after="40"/>
            </w:pPr>
            <w:r>
              <w:rPr>
                <w:sz w:val="16"/>
              </w:rPr>
              <w:t>Safety restoration rate</w:t>
            </w:r>
          </w:p>
        </w:tc>
        <w:tc>
          <w:tcPr>
            <w:tcW w:type="dxa" w:w="5112"/>
            <w:vAlign w:val="top"/>
          </w:tcPr>
          <w:p>
            <w:pPr>
              <w:spacing w:after="40"/>
            </w:pPr>
            <w:r>
              <w:rPr>
                <w:sz w:val="16"/>
              </w:rPr>
              <w:t>Fraction of injected unsafe scenarios where the response restores/preserves required conditions.</w:t>
            </w:r>
          </w:p>
        </w:tc>
      </w:tr>
      <w:tr>
        <w:tc>
          <w:tcPr>
            <w:tcW w:type="dxa" w:w="5112"/>
            <w:vAlign w:val="top"/>
          </w:tcPr>
          <w:p>
            <w:pPr>
              <w:spacing w:after="40"/>
            </w:pPr>
            <w:r>
              <w:rPr>
                <w:sz w:val="16"/>
              </w:rPr>
              <w:t>Unnecessary rollback rate</w:t>
            </w:r>
          </w:p>
        </w:tc>
        <w:tc>
          <w:tcPr>
            <w:tcW w:type="dxa" w:w="5112"/>
            <w:vAlign w:val="top"/>
          </w:tcPr>
          <w:p>
            <w:pPr>
              <w:spacing w:after="40"/>
            </w:pPr>
            <w:r>
              <w:rPr>
                <w:sz w:val="16"/>
              </w:rPr>
              <w:t>How often rollback is invoked when a less disruptive safe action would suffice.</w:t>
            </w:r>
          </w:p>
        </w:tc>
      </w:tr>
      <w:tr>
        <w:tc>
          <w:tcPr>
            <w:tcW w:type="dxa" w:w="5112"/>
            <w:vAlign w:val="top"/>
          </w:tcPr>
          <w:p>
            <w:pPr>
              <w:spacing w:after="40"/>
            </w:pPr>
            <w:r>
              <w:rPr>
                <w:sz w:val="16"/>
              </w:rPr>
              <w:t>Runtime overhead</w:t>
            </w:r>
          </w:p>
        </w:tc>
        <w:tc>
          <w:tcPr>
            <w:tcW w:type="dxa" w:w="5112"/>
            <w:vAlign w:val="top"/>
          </w:tcPr>
          <w:p>
            <w:pPr>
              <w:spacing w:after="40"/>
            </w:pPr>
            <w:r>
              <w:rPr>
                <w:sz w:val="16"/>
              </w:rPr>
              <w:t>CPU, memory, network and storage cost of the assurance agent.</w:t>
            </w:r>
          </w:p>
        </w:tc>
      </w:tr>
      <w:tr>
        <w:tc>
          <w:tcPr>
            <w:tcW w:type="dxa" w:w="5112"/>
            <w:vAlign w:val="top"/>
          </w:tcPr>
          <w:p>
            <w:pPr>
              <w:spacing w:after="40"/>
            </w:pPr>
            <w:r>
              <w:rPr>
                <w:sz w:val="16"/>
              </w:rPr>
              <w:t>Decision explainability</w:t>
            </w:r>
          </w:p>
        </w:tc>
        <w:tc>
          <w:tcPr>
            <w:tcW w:type="dxa" w:w="5112"/>
            <w:vAlign w:val="top"/>
          </w:tcPr>
          <w:p>
            <w:pPr>
              <w:spacing w:after="40"/>
            </w:pPr>
            <w:r>
              <w:rPr>
                <w:sz w:val="16"/>
              </w:rPr>
              <w:t>Whether the system can identify the violated assumption and reason for response.</w:t>
            </w:r>
          </w:p>
        </w:tc>
      </w:tr>
      <w:tr>
        <w:tc>
          <w:tcPr>
            <w:tcW w:type="dxa" w:w="5112"/>
            <w:vAlign w:val="top"/>
          </w:tcPr>
          <w:p>
            <w:pPr>
              <w:spacing w:after="40"/>
            </w:pPr>
            <w:r>
              <w:rPr>
                <w:sz w:val="16"/>
              </w:rPr>
              <w:t>Reproducibility</w:t>
            </w:r>
          </w:p>
        </w:tc>
        <w:tc>
          <w:tcPr>
            <w:tcW w:type="dxa" w:w="5112"/>
            <w:vAlign w:val="top"/>
          </w:tcPr>
          <w:p>
            <w:pPr>
              <w:spacing w:after="40"/>
            </w:pPr>
            <w:r>
              <w:rPr>
                <w:sz w:val="16"/>
              </w:rPr>
              <w:t>Consistency across repeated runs and seeds.</w:t>
            </w:r>
          </w:p>
        </w:tc>
      </w:tr>
    </w:tbl>
    <w:p>
      <w:pPr>
        <w:pStyle w:val="Heading2"/>
      </w:pPr>
      <w:r>
        <w:t>Statistical plan</w:t>
      </w:r>
    </w:p>
    <w:p>
      <w:pPr>
        <w:spacing w:after="100"/>
      </w:pPr>
      <w:r>
        <w:t>Use repeated runs per scenario, report mean/median and dispersion, and use confidence intervals where appropriate. Compare paired scenarios across baselines. Do not report a percentage improvement unless it is measured from actual experiments.</w:t>
      </w:r>
    </w:p>
    <w:p>
      <w:pPr>
        <w:pStyle w:val="Heading2"/>
      </w:pPr>
      <w:r>
        <w:t>Success criteria — define before experiments</w:t>
      </w:r>
    </w:p>
    <w:p>
      <w:pPr>
        <w:pStyle w:val="ListBullet"/>
        <w:spacing w:after="40"/>
      </w:pPr>
      <w:r>
        <w:t>RAVEN must not degrade the safety outcome relative to the baseline in critical scenarios.</w:t>
      </w:r>
    </w:p>
    <w:p>
      <w:pPr>
        <w:pStyle w:val="ListBullet"/>
        <w:spacing w:after="40"/>
      </w:pPr>
      <w:r>
        <w:t>RAVEN should reduce unnecessary disruptive actions relative to immediate rollback when the policy identifies safe alternatives.</w:t>
      </w:r>
    </w:p>
    <w:p>
      <w:pPr>
        <w:pStyle w:val="ListBullet"/>
        <w:spacing w:after="40"/>
      </w:pPr>
      <w:r>
        <w:t>Prediction should provide useful lead time without an unacceptable false-positive rate.</w:t>
      </w:r>
    </w:p>
    <w:p>
      <w:pPr>
        <w:pStyle w:val="ListBullet"/>
        <w:spacing w:after="40"/>
      </w:pPr>
      <w:r>
        <w:t>Runtime overhead must be measured on the chosen hardware/testbed and reported transparently.</w:t>
      </w:r>
    </w:p>
    <w:p>
      <w:r>
        <w:br w:type="page"/>
      </w:r>
    </w:p>
    <w:p>
      <w:pPr>
        <w:pStyle w:val="Heading1"/>
      </w:pPr>
      <w:r>
        <w:t>16. Benefits — Safety, People, Money and Operations</w:t>
      </w:r>
    </w:p>
    <w:p>
      <w:pPr>
        <w:pStyle w:val="Heading2"/>
      </w:pPr>
      <w:r>
        <w:t>People / occupants</w:t>
      </w:r>
    </w:p>
    <w:p>
      <w:pPr>
        <w:spacing w:after="100"/>
      </w:pPr>
      <w:r>
        <w:t>Potential benefit: earlier identification of conditions in which an updated function is no longer operating inside its justified safety envelope. The project does not claim that this prevents accidents; that must be demonstrated through controlled experiments and, ultimately, safety validation.</w:t>
      </w:r>
    </w:p>
    <w:p>
      <w:pPr>
        <w:pStyle w:val="Heading2"/>
      </w:pPr>
      <w:r>
        <w:t>OEM</w:t>
      </w:r>
    </w:p>
    <w:p>
      <w:pPr>
        <w:pStyle w:val="ListBullet"/>
        <w:spacing w:after="40"/>
      </w:pPr>
      <w:r>
        <w:t>Better traceability from software version to safety assumption and runtime evidence.</w:t>
      </w:r>
    </w:p>
    <w:p>
      <w:pPr>
        <w:pStyle w:val="ListBullet"/>
        <w:spacing w:after="40"/>
      </w:pPr>
      <w:r>
        <w:t>Potentially earlier campaign hold decisions.</w:t>
      </w:r>
    </w:p>
    <w:p>
      <w:pPr>
        <w:pStyle w:val="ListBullet"/>
        <w:spacing w:after="40"/>
      </w:pPr>
      <w:r>
        <w:t>Better engineering evidence for defect investigation.</w:t>
      </w:r>
    </w:p>
    <w:p>
      <w:pPr>
        <w:pStyle w:val="ListBullet"/>
        <w:spacing w:after="40"/>
      </w:pPr>
      <w:r>
        <w:t>Potential reduction in unnecessary workshop interventions where a validated software response is sufficient.</w:t>
      </w:r>
    </w:p>
    <w:p>
      <w:pPr>
        <w:pStyle w:val="Heading2"/>
      </w:pPr>
      <w:r>
        <w:t>Fleet operators</w:t>
      </w:r>
    </w:p>
    <w:p>
      <w:pPr>
        <w:pStyle w:val="ListBullet"/>
        <w:spacing w:after="40"/>
      </w:pPr>
      <w:r>
        <w:t>Higher availability if unnecessary full rollback or vehicle downtime can be avoided.</w:t>
      </w:r>
    </w:p>
    <w:p>
      <w:pPr>
        <w:pStyle w:val="ListBullet"/>
        <w:spacing w:after="40"/>
      </w:pPr>
      <w:r>
        <w:t>Prioritization of vehicles/versions that show the strongest evidence of margin loss.</w:t>
      </w:r>
    </w:p>
    <w:p>
      <w:pPr>
        <w:pStyle w:val="ListBullet"/>
        <w:spacing w:after="40"/>
      </w:pPr>
      <w:r>
        <w:t>Operational evidence for maintenance planning.</w:t>
      </w:r>
    </w:p>
    <w:p>
      <w:pPr>
        <w:pStyle w:val="Heading2"/>
      </w:pPr>
      <w:r>
        <w:t>Money</w:t>
      </w:r>
    </w:p>
    <w:p>
      <w:pPr>
        <w:spacing w:after="100"/>
      </w:pPr>
      <w:r>
        <w:t>Money benefits should be modeled, not invented. A basic model can estimate: avoided service events × average service cost + avoided downtime hours × cost/hour + avoided campaign logistics cost − system development/operation cost.</w:t>
      </w:r>
    </w:p>
    <w:p>
      <w:pPr>
        <w:pStyle w:val="Heading2"/>
      </w:pPr>
      <w:r>
        <w:t>Regulatory/safety evidence</w:t>
      </w:r>
    </w:p>
    <w:p>
      <w:pPr>
        <w:spacing w:after="100"/>
      </w:pPr>
      <w:r>
        <w:t>A structured evidence chain can help engineers answer: which software version was installed, which assumption was relevant, what runtime condition occurred, what margin changed, what decision was made, and whether the response restored the required condition.</w:t>
      </w:r>
    </w:p>
    <w:p>
      <w:r>
        <w:br w:type="page"/>
      </w:r>
    </w:p>
    <w:p>
      <w:pPr>
        <w:pStyle w:val="Heading1"/>
      </w:pPr>
      <w:r>
        <w:t>17. Patent and Prior-Art Strategy</w:t>
      </w:r>
    </w:p>
    <w:p>
      <w:pPr>
        <w:pStyle w:val="Heading2"/>
      </w:pPr>
      <w:r>
        <w:t>Do not claim as novel</w:t>
      </w:r>
    </w:p>
    <w:p>
      <w:pPr>
        <w:pStyle w:val="ListBullet"/>
        <w:spacing w:after="40"/>
      </w:pPr>
      <w:r>
        <w:t>Generic OTA update.</w:t>
      </w:r>
    </w:p>
    <w:p>
      <w:pPr>
        <w:pStyle w:val="ListBullet"/>
        <w:spacing w:after="40"/>
      </w:pPr>
      <w:r>
        <w:t>Generic resource-aware OTA.</w:t>
      </w:r>
    </w:p>
    <w:p>
      <w:pPr>
        <w:pStyle w:val="ListBullet"/>
        <w:spacing w:after="40"/>
      </w:pPr>
      <w:r>
        <w:t>Generic anomaly detection.</w:t>
      </w:r>
    </w:p>
    <w:p>
      <w:pPr>
        <w:pStyle w:val="ListBullet"/>
        <w:spacing w:after="40"/>
      </w:pPr>
      <w:r>
        <w:t>Post-update anomaly detection.</w:t>
      </w:r>
    </w:p>
    <w:p>
      <w:pPr>
        <w:pStyle w:val="ListBullet"/>
        <w:spacing w:after="40"/>
      </w:pPr>
      <w:r>
        <w:t>Generic rollback.</w:t>
      </w:r>
    </w:p>
    <w:p>
      <w:pPr>
        <w:pStyle w:val="ListBullet"/>
        <w:spacing w:after="40"/>
      </w:pPr>
      <w:r>
        <w:t>Selective/partial rollback.</w:t>
      </w:r>
    </w:p>
    <w:p>
      <w:pPr>
        <w:pStyle w:val="ListBullet"/>
        <w:spacing w:after="40"/>
      </w:pPr>
      <w:r>
        <w:t>Causal attribution of software-update effects.</w:t>
      </w:r>
    </w:p>
    <w:p>
      <w:pPr>
        <w:pStyle w:val="ListBullet"/>
        <w:spacing w:after="40"/>
      </w:pPr>
      <w:r>
        <w:t>Dependency-aware OTA orchestration.</w:t>
      </w:r>
    </w:p>
    <w:p>
      <w:pPr>
        <w:pStyle w:val="Heading2"/>
      </w:pPr>
      <w:r>
        <w:t>Candidate claim themes to investigate</w:t>
      </w:r>
    </w:p>
    <w:p>
      <w:pPr>
        <w:pStyle w:val="ListBullet"/>
        <w:spacing w:after="40"/>
      </w:pPr>
      <w:r>
        <w:t>A machine-readable transformation of update-specific verified assumptions/timing/resource guarantees into a runtime safety envelope tied to a software version/configuration.</w:t>
      </w:r>
    </w:p>
    <w:p>
      <w:pPr>
        <w:pStyle w:val="ListBullet"/>
        <w:spacing w:after="40"/>
      </w:pPr>
      <w:r>
        <w:t>Continuous evaluation of that envelope using live cyber-physical state and operating context.</w:t>
      </w:r>
    </w:p>
    <w:p>
      <w:pPr>
        <w:pStyle w:val="ListBullet"/>
        <w:spacing w:after="40"/>
      </w:pPr>
      <w:r>
        <w:t>Prediction of future envelope violation using the verified boundary plus state trajectory.</w:t>
      </w:r>
    </w:p>
    <w:p>
      <w:pPr>
        <w:pStyle w:val="ListBullet"/>
        <w:spacing w:after="40"/>
      </w:pPr>
      <w:r>
        <w:t>Graduated response selected from assurance state, safety criticality, context and dependency status.</w:t>
      </w:r>
    </w:p>
    <w:p>
      <w:pPr>
        <w:pStyle w:val="ListBullet"/>
        <w:spacing w:after="40"/>
      </w:pPr>
      <w:r>
        <w:t>Evidence linkage: OTA version → verification artifact → envelope element → runtime evidence → violated assumption → response → post-response verification.</w:t>
      </w:r>
    </w:p>
    <w:p>
      <w:pPr>
        <w:pStyle w:val="Heading2"/>
      </w:pPr>
      <w:r>
        <w:t>Patent workflow</w:t>
      </w:r>
    </w:p>
    <w:p>
      <w:pPr>
        <w:spacing w:after="100"/>
      </w:pPr>
      <w:r>
        <w:t>1) Freeze exact architecture and algorithm. 2) Search patents by each claim element separately. 3) Build claim chart against closest documents. 4) Remove features already taught. 5) Identify the smallest combination that produces a technical effect. 6) Discuss with a patent professional before filing.</w:t>
      </w:r>
    </w:p>
    <w:p>
      <w:r>
        <w:br w:type="page"/>
      </w:r>
    </w:p>
    <w:p>
      <w:pPr>
        <w:pStyle w:val="Heading1"/>
      </w:pPr>
      <w:r>
        <w:t>18. Publication Strategy</w:t>
      </w:r>
    </w:p>
    <w:p>
      <w:pPr>
        <w:pStyle w:val="Heading2"/>
      </w:pPr>
      <w:r>
        <w:t>Possible paper title</w:t>
      </w:r>
    </w:p>
    <w:p>
      <w:pPr>
        <w:spacing w:after="100"/>
      </w:pPr>
      <w:r>
        <w:t>Runtime Assurance of Safety and Timing Guarantees After OTA Deployment in Software-Defined Electric Vehicles</w:t>
      </w:r>
    </w:p>
    <w:p>
      <w:pPr>
        <w:pStyle w:val="Heading2"/>
      </w:pPr>
      <w:r>
        <w:t>Alternative</w:t>
      </w:r>
    </w:p>
    <w:p>
      <w:pPr>
        <w:spacing w:after="100"/>
      </w:pPr>
      <w:r>
        <w:t>From OTA Verification to Runtime Assurance: A Safety-Envelope Approach for Software-Defined Vehicles</w:t>
      </w:r>
    </w:p>
    <w:p>
      <w:pPr>
        <w:pStyle w:val="Heading2"/>
      </w:pPr>
      <w:r>
        <w:t>Paper structure</w:t>
      </w:r>
    </w:p>
    <w:p>
      <w:pPr>
        <w:pStyle w:val="ListBullet"/>
        <w:spacing w:after="40"/>
      </w:pPr>
      <w:r>
        <w:t>Abstract.</w:t>
      </w:r>
    </w:p>
    <w:p>
      <w:pPr>
        <w:pStyle w:val="ListBullet"/>
        <w:spacing w:after="40"/>
      </w:pPr>
      <w:r>
        <w:t>Introduction and motivation.</w:t>
      </w:r>
    </w:p>
    <w:p>
      <w:pPr>
        <w:pStyle w:val="ListBullet"/>
        <w:spacing w:after="40"/>
      </w:pPr>
      <w:r>
        <w:t>Real-world motivation and problem statement.</w:t>
      </w:r>
    </w:p>
    <w:p>
      <w:pPr>
        <w:pStyle w:val="ListBullet"/>
        <w:spacing w:after="40"/>
      </w:pPr>
      <w:r>
        <w:t>System model and assumptions.</w:t>
      </w:r>
    </w:p>
    <w:p>
      <w:pPr>
        <w:pStyle w:val="ListBullet"/>
        <w:spacing w:after="40"/>
      </w:pPr>
      <w:r>
        <w:t>Literature review and research gap.</w:t>
      </w:r>
    </w:p>
    <w:p>
      <w:pPr>
        <w:pStyle w:val="ListBullet"/>
        <w:spacing w:after="40"/>
      </w:pPr>
      <w:r>
        <w:t>Runtime Safety Envelope definition.</w:t>
      </w:r>
    </w:p>
    <w:p>
      <w:pPr>
        <w:pStyle w:val="ListBullet"/>
        <w:spacing w:after="40"/>
      </w:pPr>
      <w:r>
        <w:t>RAVEN-OTA architecture.</w:t>
      </w:r>
    </w:p>
    <w:p>
      <w:pPr>
        <w:pStyle w:val="ListBullet"/>
        <w:spacing w:after="40"/>
      </w:pPr>
      <w:r>
        <w:t>Assurance algorithm and response policy.</w:t>
      </w:r>
    </w:p>
    <w:p>
      <w:pPr>
        <w:pStyle w:val="ListBullet"/>
        <w:spacing w:after="40"/>
      </w:pPr>
      <w:r>
        <w:t>Implementation.</w:t>
      </w:r>
    </w:p>
    <w:p>
      <w:pPr>
        <w:pStyle w:val="ListBullet"/>
        <w:spacing w:after="40"/>
      </w:pPr>
      <w:r>
        <w:t>Experimental setup.</w:t>
      </w:r>
    </w:p>
    <w:p>
      <w:pPr>
        <w:pStyle w:val="ListBullet"/>
        <w:spacing w:after="40"/>
      </w:pPr>
      <w:r>
        <w:t>Baselines and ablations.</w:t>
      </w:r>
    </w:p>
    <w:p>
      <w:pPr>
        <w:pStyle w:val="ListBullet"/>
        <w:spacing w:after="40"/>
      </w:pPr>
      <w:r>
        <w:t>Results.</w:t>
      </w:r>
    </w:p>
    <w:p>
      <w:pPr>
        <w:pStyle w:val="ListBullet"/>
        <w:spacing w:after="40"/>
      </w:pPr>
      <w:r>
        <w:t>Threats to validity.</w:t>
      </w:r>
    </w:p>
    <w:p>
      <w:pPr>
        <w:pStyle w:val="ListBullet"/>
        <w:spacing w:after="40"/>
      </w:pPr>
      <w:r>
        <w:t>Safety/certification discussion.</w:t>
      </w:r>
    </w:p>
    <w:p>
      <w:pPr>
        <w:pStyle w:val="ListBullet"/>
        <w:spacing w:after="40"/>
      </w:pPr>
      <w:r>
        <w:t>Conclusion and future work.</w:t>
      </w:r>
    </w:p>
    <w:p>
      <w:pPr>
        <w:pStyle w:val="Heading2"/>
      </w:pPr>
      <w:r>
        <w:t>What reviewers will likely ask</w:t>
      </w:r>
    </w:p>
    <w:p>
      <w:pPr>
        <w:pStyle w:val="ListBullet"/>
        <w:spacing w:after="40"/>
      </w:pPr>
      <w:r>
        <w:t>Why is this different from anomaly detection?</w:t>
      </w:r>
    </w:p>
    <w:p>
      <w:pPr>
        <w:pStyle w:val="ListBullet"/>
        <w:spacing w:after="40"/>
      </w:pPr>
      <w:r>
        <w:t>Why is this different from safety contracts?</w:t>
      </w:r>
    </w:p>
    <w:p>
      <w:pPr>
        <w:pStyle w:val="ListBullet"/>
        <w:spacing w:after="40"/>
      </w:pPr>
      <w:r>
        <w:t>Why is this different from runtime monitoring?</w:t>
      </w:r>
    </w:p>
    <w:p>
      <w:pPr>
        <w:pStyle w:val="ListBullet"/>
        <w:spacing w:after="40"/>
      </w:pPr>
      <w:r>
        <w:t>Why is rollback not sufficient?</w:t>
      </w:r>
    </w:p>
    <w:p>
      <w:pPr>
        <w:pStyle w:val="ListBullet"/>
        <w:spacing w:after="40"/>
      </w:pPr>
      <w:r>
        <w:t>Why does the envelope need to be tied to the OTA verification artifact?</w:t>
      </w:r>
    </w:p>
    <w:p>
      <w:pPr>
        <w:pStyle w:val="ListBullet"/>
        <w:spacing w:after="40"/>
      </w:pPr>
      <w:r>
        <w:t>Does prediction improve safety or merely add complexity?</w:t>
      </w:r>
    </w:p>
    <w:p>
      <w:pPr>
        <w:pStyle w:val="ListBullet"/>
        <w:spacing w:after="40"/>
      </w:pPr>
      <w:r>
        <w:t>Can the system itself introduce safety risk?</w:t>
      </w:r>
    </w:p>
    <w:p>
      <w:pPr>
        <w:pStyle w:val="ListBullet"/>
        <w:spacing w:after="40"/>
      </w:pPr>
      <w:r>
        <w:t>How realistic are the simulated workloads and fault injections?</w:t>
      </w:r>
    </w:p>
    <w:p>
      <w:pPr>
        <w:pStyle w:val="ListBullet"/>
        <w:spacing w:after="40"/>
      </w:pPr>
      <w:r>
        <w:t>Is the contribution reproducible?</w:t>
      </w:r>
    </w:p>
    <w:p>
      <w:r>
        <w:br w:type="page"/>
      </w:r>
    </w:p>
    <w:p>
      <w:pPr>
        <w:pStyle w:val="Heading1"/>
      </w:pPr>
      <w:r>
        <w:t>19. Data Model and Traceability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40"/>
            </w:pPr>
            <w:r>
              <w:rPr>
                <w:b/>
                <w:sz w:val="16"/>
              </w:rPr>
              <w:t>Object</w:t>
            </w:r>
          </w:p>
        </w:tc>
        <w:tc>
          <w:tcPr>
            <w:tcW w:type="dxa" w:w="5112"/>
            <w:vAlign w:val="center"/>
          </w:tcPr>
          <w:p>
            <w:pPr>
              <w:spacing w:after="40"/>
            </w:pPr>
            <w:r>
              <w:rPr>
                <w:b/>
                <w:sz w:val="16"/>
              </w:rPr>
              <w:t>Key fields</w:t>
            </w:r>
          </w:p>
        </w:tc>
      </w:tr>
      <w:tr>
        <w:tc>
          <w:tcPr>
            <w:tcW w:type="dxa" w:w="5112"/>
            <w:vAlign w:val="top"/>
          </w:tcPr>
          <w:p>
            <w:pPr>
              <w:spacing w:after="40"/>
            </w:pPr>
            <w:r>
              <w:rPr>
                <w:sz w:val="16"/>
              </w:rPr>
              <w:t>OTAUpdate</w:t>
            </w:r>
          </w:p>
        </w:tc>
        <w:tc>
          <w:tcPr>
            <w:tcW w:type="dxa" w:w="5112"/>
            <w:vAlign w:val="top"/>
          </w:tcPr>
          <w:p>
            <w:pPr>
              <w:spacing w:after="40"/>
            </w:pPr>
            <w:r>
              <w:rPr>
                <w:sz w:val="16"/>
              </w:rPr>
              <w:t>update_id, version, ECU/component, signature, dependencies</w:t>
            </w:r>
          </w:p>
        </w:tc>
      </w:tr>
      <w:tr>
        <w:tc>
          <w:tcPr>
            <w:tcW w:type="dxa" w:w="5112"/>
            <w:vAlign w:val="top"/>
          </w:tcPr>
          <w:p>
            <w:pPr>
              <w:spacing w:after="40"/>
            </w:pPr>
            <w:r>
              <w:rPr>
                <w:sz w:val="16"/>
              </w:rPr>
              <w:t>VerificationArtifact</w:t>
            </w:r>
          </w:p>
        </w:tc>
        <w:tc>
          <w:tcPr>
            <w:tcW w:type="dxa" w:w="5112"/>
            <w:vAlign w:val="top"/>
          </w:tcPr>
          <w:p>
            <w:pPr>
              <w:spacing w:after="40"/>
            </w:pPr>
            <w:r>
              <w:rPr>
                <w:sz w:val="16"/>
              </w:rPr>
              <w:t>assumption_id, guarantee_id, proof/test reference, bounds</w:t>
            </w:r>
          </w:p>
        </w:tc>
      </w:tr>
      <w:tr>
        <w:tc>
          <w:tcPr>
            <w:tcW w:type="dxa" w:w="5112"/>
            <w:vAlign w:val="top"/>
          </w:tcPr>
          <w:p>
            <w:pPr>
              <w:spacing w:after="40"/>
            </w:pPr>
            <w:r>
              <w:rPr>
                <w:sz w:val="16"/>
              </w:rPr>
              <w:t>SafetyEnvelope</w:t>
            </w:r>
          </w:p>
        </w:tc>
        <w:tc>
          <w:tcPr>
            <w:tcW w:type="dxa" w:w="5112"/>
            <w:vAlign w:val="top"/>
          </w:tcPr>
          <w:p>
            <w:pPr>
              <w:spacing w:after="40"/>
            </w:pPr>
            <w:r>
              <w:rPr>
                <w:sz w:val="16"/>
              </w:rPr>
              <w:t>envelope_id, version, constraints, criticality, validity context</w:t>
            </w:r>
          </w:p>
        </w:tc>
      </w:tr>
      <w:tr>
        <w:tc>
          <w:tcPr>
            <w:tcW w:type="dxa" w:w="5112"/>
            <w:vAlign w:val="top"/>
          </w:tcPr>
          <w:p>
            <w:pPr>
              <w:spacing w:after="40"/>
            </w:pPr>
            <w:r>
              <w:rPr>
                <w:sz w:val="16"/>
              </w:rPr>
              <w:t>TelemetrySample</w:t>
            </w:r>
          </w:p>
        </w:tc>
        <w:tc>
          <w:tcPr>
            <w:tcW w:type="dxa" w:w="5112"/>
            <w:vAlign w:val="top"/>
          </w:tcPr>
          <w:p>
            <w:pPr>
              <w:spacing w:after="40"/>
            </w:pPr>
            <w:r>
              <w:rPr>
                <w:sz w:val="16"/>
              </w:rPr>
              <w:t>timestamp, ECU, CPU, RAM, bus load, jitter, WCET proxy, temperature</w:t>
            </w:r>
          </w:p>
        </w:tc>
      </w:tr>
      <w:tr>
        <w:tc>
          <w:tcPr>
            <w:tcW w:type="dxa" w:w="5112"/>
            <w:vAlign w:val="top"/>
          </w:tcPr>
          <w:p>
            <w:pPr>
              <w:spacing w:after="40"/>
            </w:pPr>
            <w:r>
              <w:rPr>
                <w:sz w:val="16"/>
              </w:rPr>
              <w:t>Context</w:t>
            </w:r>
          </w:p>
        </w:tc>
        <w:tc>
          <w:tcPr>
            <w:tcW w:type="dxa" w:w="5112"/>
            <w:vAlign w:val="top"/>
          </w:tcPr>
          <w:p>
            <w:pPr>
              <w:spacing w:after="40"/>
            </w:pPr>
            <w:r>
              <w:rPr>
                <w:sz w:val="16"/>
              </w:rPr>
              <w:t>speed, drive mode, ADAS state, battery, thermal mode, network state</w:t>
            </w:r>
          </w:p>
        </w:tc>
      </w:tr>
      <w:tr>
        <w:tc>
          <w:tcPr>
            <w:tcW w:type="dxa" w:w="5112"/>
            <w:vAlign w:val="top"/>
          </w:tcPr>
          <w:p>
            <w:pPr>
              <w:spacing w:after="40"/>
            </w:pPr>
            <w:r>
              <w:rPr>
                <w:sz w:val="16"/>
              </w:rPr>
              <w:t>MarginRecord</w:t>
            </w:r>
          </w:p>
        </w:tc>
        <w:tc>
          <w:tcPr>
            <w:tcW w:type="dxa" w:w="5112"/>
            <w:vAlign w:val="top"/>
          </w:tcPr>
          <w:p>
            <w:pPr>
              <w:spacing w:after="40"/>
            </w:pPr>
            <w:r>
              <w:rPr>
                <w:sz w:val="16"/>
              </w:rPr>
              <w:t>constraint_id, observed, limit, normalized margin, trend</w:t>
            </w:r>
          </w:p>
        </w:tc>
      </w:tr>
      <w:tr>
        <w:tc>
          <w:tcPr>
            <w:tcW w:type="dxa" w:w="5112"/>
            <w:vAlign w:val="top"/>
          </w:tcPr>
          <w:p>
            <w:pPr>
              <w:spacing w:after="40"/>
            </w:pPr>
            <w:r>
              <w:rPr>
                <w:sz w:val="16"/>
              </w:rPr>
              <w:t>Prediction</w:t>
            </w:r>
          </w:p>
        </w:tc>
        <w:tc>
          <w:tcPr>
            <w:tcW w:type="dxa" w:w="5112"/>
            <w:vAlign w:val="top"/>
          </w:tcPr>
          <w:p>
            <w:pPr>
              <w:spacing w:after="40"/>
            </w:pPr>
            <w:r>
              <w:rPr>
                <w:sz w:val="16"/>
              </w:rPr>
              <w:t>horizon, probability/confidence, predicted crossing time</w:t>
            </w:r>
          </w:p>
        </w:tc>
      </w:tr>
      <w:tr>
        <w:tc>
          <w:tcPr>
            <w:tcW w:type="dxa" w:w="5112"/>
            <w:vAlign w:val="top"/>
          </w:tcPr>
          <w:p>
            <w:pPr>
              <w:spacing w:after="40"/>
            </w:pPr>
            <w:r>
              <w:rPr>
                <w:sz w:val="16"/>
              </w:rPr>
              <w:t>AssuranceDecision</w:t>
            </w:r>
          </w:p>
        </w:tc>
        <w:tc>
          <w:tcPr>
            <w:tcW w:type="dxa" w:w="5112"/>
            <w:vAlign w:val="top"/>
          </w:tcPr>
          <w:p>
            <w:pPr>
              <w:spacing w:after="40"/>
            </w:pPr>
            <w:r>
              <w:rPr>
                <w:sz w:val="16"/>
              </w:rPr>
              <w:t>state, reason, violated assumption, criticality</w:t>
            </w:r>
          </w:p>
        </w:tc>
      </w:tr>
      <w:tr>
        <w:tc>
          <w:tcPr>
            <w:tcW w:type="dxa" w:w="5112"/>
            <w:vAlign w:val="top"/>
          </w:tcPr>
          <w:p>
            <w:pPr>
              <w:spacing w:after="40"/>
            </w:pPr>
            <w:r>
              <w:rPr>
                <w:sz w:val="16"/>
              </w:rPr>
              <w:t>Response</w:t>
            </w:r>
          </w:p>
        </w:tc>
        <w:tc>
          <w:tcPr>
            <w:tcW w:type="dxa" w:w="5112"/>
            <w:vAlign w:val="top"/>
          </w:tcPr>
          <w:p>
            <w:pPr>
              <w:spacing w:after="40"/>
            </w:pPr>
            <w:r>
              <w:rPr>
                <w:sz w:val="16"/>
              </w:rPr>
              <w:t>action, target function, start/end, result</w:t>
            </w:r>
          </w:p>
        </w:tc>
      </w:tr>
      <w:tr>
        <w:tc>
          <w:tcPr>
            <w:tcW w:type="dxa" w:w="5112"/>
            <w:vAlign w:val="top"/>
          </w:tcPr>
          <w:p>
            <w:pPr>
              <w:spacing w:after="40"/>
            </w:pPr>
            <w:r>
              <w:rPr>
                <w:sz w:val="16"/>
              </w:rPr>
              <w:t>EvidenceRecord</w:t>
            </w:r>
          </w:p>
        </w:tc>
        <w:tc>
          <w:tcPr>
            <w:tcW w:type="dxa" w:w="5112"/>
            <w:vAlign w:val="top"/>
          </w:tcPr>
          <w:p>
            <w:pPr>
              <w:spacing w:after="40"/>
            </w:pPr>
            <w:r>
              <w:rPr>
                <w:sz w:val="16"/>
              </w:rPr>
              <w:t>version→assumption→measurement→decision→response chain</w:t>
            </w:r>
          </w:p>
        </w:tc>
      </w:tr>
    </w:tbl>
    <w:p>
      <w:pPr>
        <w:pStyle w:val="Heading2"/>
      </w:pPr>
      <w:r>
        <w:t>Why this matters</w:t>
      </w:r>
    </w:p>
    <w:p>
      <w:pPr>
        <w:spacing w:after="100"/>
      </w:pPr>
      <w:r>
        <w:t>The data model makes the proposed contribution testable. If the implementation cannot trace a decision back to a version-specific assumption, the project becomes generic monitoring rather than the intended verification-to-runtime bridge.</w:t>
      </w:r>
    </w:p>
    <w:p>
      <w:r>
        <w:br w:type="page"/>
      </w:r>
    </w:p>
    <w:p>
      <w:pPr>
        <w:pStyle w:val="Heading1"/>
      </w:pPr>
      <w:r>
        <w:t>20. Safety, Security, Ethics and Certification Considerations</w:t>
      </w:r>
    </w:p>
    <w:p>
      <w:pPr>
        <w:pStyle w:val="Heading2"/>
      </w:pPr>
      <w:r>
        <w:t>Safety</w:t>
      </w:r>
    </w:p>
    <w:p>
      <w:pPr>
        <w:pStyle w:val="ListBullet"/>
        <w:spacing w:after="40"/>
      </w:pPr>
      <w:r>
        <w:t>The assurance layer must fail safely; a monitor must not become a single point of failure.</w:t>
      </w:r>
    </w:p>
    <w:p>
      <w:pPr>
        <w:pStyle w:val="ListBullet"/>
        <w:spacing w:after="40"/>
      </w:pPr>
      <w:r>
        <w:t>Critical actuation should remain under validated vehicle safety mechanisms rather than an experimental prototype.</w:t>
      </w:r>
    </w:p>
    <w:p>
      <w:pPr>
        <w:pStyle w:val="ListBullet"/>
        <w:spacing w:after="40"/>
      </w:pPr>
      <w:r>
        <w:t>Research responses should initially be simulated or applied only to non-safety-critical workloads.</w:t>
      </w:r>
    </w:p>
    <w:p>
      <w:pPr>
        <w:pStyle w:val="ListBullet"/>
        <w:spacing w:after="40"/>
      </w:pPr>
      <w:r>
        <w:t>All experiments should include watchdog behavior and fail-silent/fail-safe handling.</w:t>
      </w:r>
    </w:p>
    <w:p>
      <w:pPr>
        <w:pStyle w:val="Heading2"/>
      </w:pPr>
      <w:r>
        <w:t>Security</w:t>
      </w:r>
    </w:p>
    <w:p>
      <w:pPr>
        <w:pStyle w:val="ListBullet"/>
        <w:spacing w:after="40"/>
      </w:pPr>
      <w:r>
        <w:t>Protect verification metadata from tampering.</w:t>
      </w:r>
    </w:p>
    <w:p>
      <w:pPr>
        <w:pStyle w:val="ListBullet"/>
        <w:spacing w:after="40"/>
      </w:pPr>
      <w:r>
        <w:t>Bind the envelope to the exact software version/configuration.</w:t>
      </w:r>
    </w:p>
    <w:p>
      <w:pPr>
        <w:pStyle w:val="ListBullet"/>
        <w:spacing w:after="40"/>
      </w:pPr>
      <w:r>
        <w:t>Authenticate policy updates.</w:t>
      </w:r>
    </w:p>
    <w:p>
      <w:pPr>
        <w:pStyle w:val="ListBullet"/>
        <w:spacing w:after="40"/>
      </w:pPr>
      <w:r>
        <w:t>Prevent telemetry spoofing from forcing unsafe decisions.</w:t>
      </w:r>
    </w:p>
    <w:p>
      <w:pPr>
        <w:pStyle w:val="ListBullet"/>
        <w:spacing w:after="40"/>
      </w:pPr>
      <w:r>
        <w:t>Log evidence securely.</w:t>
      </w:r>
    </w:p>
    <w:p>
      <w:pPr>
        <w:pStyle w:val="Heading2"/>
      </w:pPr>
      <w:r>
        <w:t>Certification</w:t>
      </w:r>
    </w:p>
    <w:p>
      <w:pPr>
        <w:spacing w:after="100"/>
      </w:pPr>
      <w:r>
        <w:t>RAVEN-OTA is not automatically ISO 26262/ISO 21448/UNECE R156 compliant merely because it monitors safety conditions. Certification would require a safety case, hazard analysis, requirements, verification, validation, independence and appropriate development processes. The research should therefore position itself as a prototype and evaluation framework unless a formal safety lifecycle is actually implemented.</w:t>
      </w:r>
    </w:p>
    <w:p>
      <w:pPr>
        <w:pStyle w:val="Heading2"/>
      </w:pPr>
      <w:r>
        <w:t>Ethics</w:t>
      </w:r>
    </w:p>
    <w:p>
      <w:pPr>
        <w:spacing w:after="100"/>
      </w:pPr>
      <w:r>
        <w:t>Do not test safety-critical faults on public roads. Use simulation, HIL and controlled benches. Do not expose real vehicle identifiers or sensitive telemetry in public datasets.</w:t>
      </w:r>
    </w:p>
    <w:p>
      <w:r>
        <w:br w:type="page"/>
      </w:r>
    </w:p>
    <w:p>
      <w:pPr>
        <w:pStyle w:val="Heading1"/>
      </w:pPr>
      <w:r>
        <w:t>21. Risks and How to Reduce Them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40"/>
            </w:pPr>
            <w:r>
              <w:rPr>
                <w:b/>
                <w:sz w:val="16"/>
              </w:rPr>
              <w:t>Risk</w:t>
            </w:r>
          </w:p>
        </w:tc>
        <w:tc>
          <w:tcPr>
            <w:tcW w:type="dxa" w:w="3408"/>
            <w:vAlign w:val="center"/>
          </w:tcPr>
          <w:p>
            <w:pPr>
              <w:spacing w:after="40"/>
            </w:pPr>
            <w:r>
              <w:rPr>
                <w:b/>
                <w:sz w:val="16"/>
              </w:rPr>
              <w:t>Why it matters</w:t>
            </w:r>
          </w:p>
        </w:tc>
        <w:tc>
          <w:tcPr>
            <w:tcW w:type="dxa" w:w="3408"/>
            <w:vAlign w:val="center"/>
          </w:tcPr>
          <w:p>
            <w:pPr>
              <w:spacing w:after="40"/>
            </w:pPr>
            <w:r>
              <w:rPr>
                <w:b/>
                <w:sz w:val="16"/>
              </w:rPr>
              <w:t>Mitigation</w:t>
            </w:r>
          </w:p>
        </w:tc>
      </w:tr>
      <w:tr>
        <w:tc>
          <w:tcPr>
            <w:tcW w:type="dxa" w:w="3408"/>
            <w:vAlign w:val="top"/>
          </w:tcPr>
          <w:p>
            <w:pPr>
              <w:spacing w:after="40"/>
            </w:pPr>
            <w:r>
              <w:rPr>
                <w:sz w:val="16"/>
              </w:rPr>
              <w:t>Novelty overlap</w:t>
            </w:r>
          </w:p>
        </w:tc>
        <w:tc>
          <w:tcPr>
            <w:tcW w:type="dxa" w:w="3408"/>
            <w:vAlign w:val="top"/>
          </w:tcPr>
          <w:p>
            <w:pPr>
              <w:spacing w:after="40"/>
            </w:pPr>
            <w:r>
              <w:rPr>
                <w:sz w:val="16"/>
              </w:rPr>
              <w:t>A patent/paper may already cover an element.</w:t>
            </w:r>
          </w:p>
        </w:tc>
        <w:tc>
          <w:tcPr>
            <w:tcW w:type="dxa" w:w="3408"/>
            <w:vAlign w:val="top"/>
          </w:tcPr>
          <w:p>
            <w:pPr>
              <w:spacing w:after="40"/>
            </w:pPr>
            <w:r>
              <w:rPr>
                <w:sz w:val="16"/>
              </w:rPr>
              <w:t>Claim-level prior-art search before finalizing novelty.</w:t>
            </w:r>
          </w:p>
        </w:tc>
      </w:tr>
      <w:tr>
        <w:tc>
          <w:tcPr>
            <w:tcW w:type="dxa" w:w="3408"/>
            <w:vAlign w:val="top"/>
          </w:tcPr>
          <w:p>
            <w:pPr>
              <w:spacing w:after="40"/>
            </w:pPr>
            <w:r>
              <w:rPr>
                <w:sz w:val="16"/>
              </w:rPr>
              <w:t>Generic anomaly detector</w:t>
            </w:r>
          </w:p>
        </w:tc>
        <w:tc>
          <w:tcPr>
            <w:tcW w:type="dxa" w:w="3408"/>
            <w:vAlign w:val="top"/>
          </w:tcPr>
          <w:p>
            <w:pPr>
              <w:spacing w:after="40"/>
            </w:pPr>
            <w:r>
              <w:rPr>
                <w:sz w:val="16"/>
              </w:rPr>
              <w:t>Could make contribution look incremental.</w:t>
            </w:r>
          </w:p>
        </w:tc>
        <w:tc>
          <w:tcPr>
            <w:tcW w:type="dxa" w:w="3408"/>
            <w:vAlign w:val="top"/>
          </w:tcPr>
          <w:p>
            <w:pPr>
              <w:spacing w:after="40"/>
            </w:pPr>
            <w:r>
              <w:rPr>
                <w:sz w:val="16"/>
              </w:rPr>
              <w:t>Tie every decision to version-specific verified assumptions.</w:t>
            </w:r>
          </w:p>
        </w:tc>
      </w:tr>
      <w:tr>
        <w:tc>
          <w:tcPr>
            <w:tcW w:type="dxa" w:w="3408"/>
            <w:vAlign w:val="top"/>
          </w:tcPr>
          <w:p>
            <w:pPr>
              <w:spacing w:after="40"/>
            </w:pPr>
            <w:r>
              <w:rPr>
                <w:sz w:val="16"/>
              </w:rPr>
              <w:t>Too much ML</w:t>
            </w:r>
          </w:p>
        </w:tc>
        <w:tc>
          <w:tcPr>
            <w:tcW w:type="dxa" w:w="3408"/>
            <w:vAlign w:val="top"/>
          </w:tcPr>
          <w:p>
            <w:pPr>
              <w:spacing w:after="40"/>
            </w:pPr>
            <w:r>
              <w:rPr>
                <w:sz w:val="16"/>
              </w:rPr>
              <w:t>Hard to explain and validate.</w:t>
            </w:r>
          </w:p>
        </w:tc>
        <w:tc>
          <w:tcPr>
            <w:tcW w:type="dxa" w:w="3408"/>
            <w:vAlign w:val="top"/>
          </w:tcPr>
          <w:p>
            <w:pPr>
              <w:spacing w:after="40"/>
            </w:pPr>
            <w:r>
              <w:rPr>
                <w:sz w:val="16"/>
              </w:rPr>
              <w:t>Start with transparent rules/trends; add ML only if experiments show benefit.</w:t>
            </w:r>
          </w:p>
        </w:tc>
      </w:tr>
      <w:tr>
        <w:tc>
          <w:tcPr>
            <w:tcW w:type="dxa" w:w="3408"/>
            <w:vAlign w:val="top"/>
          </w:tcPr>
          <w:p>
            <w:pPr>
              <w:spacing w:after="40"/>
            </w:pPr>
            <w:r>
              <w:rPr>
                <w:sz w:val="16"/>
              </w:rPr>
              <w:t>Unrealistic simulator</w:t>
            </w:r>
          </w:p>
        </w:tc>
        <w:tc>
          <w:tcPr>
            <w:tcW w:type="dxa" w:w="3408"/>
            <w:vAlign w:val="top"/>
          </w:tcPr>
          <w:p>
            <w:pPr>
              <w:spacing w:after="40"/>
            </w:pPr>
            <w:r>
              <w:rPr>
                <w:sz w:val="16"/>
              </w:rPr>
              <w:t>Reviewers may reject conclusions.</w:t>
            </w:r>
          </w:p>
        </w:tc>
        <w:tc>
          <w:tcPr>
            <w:tcW w:type="dxa" w:w="3408"/>
            <w:vAlign w:val="top"/>
          </w:tcPr>
          <w:p>
            <w:pPr>
              <w:spacing w:after="40"/>
            </w:pPr>
            <w:r>
              <w:rPr>
                <w:sz w:val="16"/>
              </w:rPr>
              <w:t>Use multiple workload patterns and later HIL validation.</w:t>
            </w:r>
          </w:p>
        </w:tc>
      </w:tr>
      <w:tr>
        <w:tc>
          <w:tcPr>
            <w:tcW w:type="dxa" w:w="3408"/>
            <w:vAlign w:val="top"/>
          </w:tcPr>
          <w:p>
            <w:pPr>
              <w:spacing w:after="40"/>
            </w:pPr>
            <w:r>
              <w:rPr>
                <w:sz w:val="16"/>
              </w:rPr>
              <w:t>Unsafe response</w:t>
            </w:r>
          </w:p>
        </w:tc>
        <w:tc>
          <w:tcPr>
            <w:tcW w:type="dxa" w:w="3408"/>
            <w:vAlign w:val="top"/>
          </w:tcPr>
          <w:p>
            <w:pPr>
              <w:spacing w:after="40"/>
            </w:pPr>
            <w:r>
              <w:rPr>
                <w:sz w:val="16"/>
              </w:rPr>
              <w:t>Prototype could create risk.</w:t>
            </w:r>
          </w:p>
        </w:tc>
        <w:tc>
          <w:tcPr>
            <w:tcW w:type="dxa" w:w="3408"/>
            <w:vAlign w:val="top"/>
          </w:tcPr>
          <w:p>
            <w:pPr>
              <w:spacing w:after="40"/>
            </w:pPr>
            <w:r>
              <w:rPr>
                <w:sz w:val="16"/>
              </w:rPr>
              <w:t>Simulate responses first; keep experimental responses non-safety-critical.</w:t>
            </w:r>
          </w:p>
        </w:tc>
      </w:tr>
      <w:tr>
        <w:tc>
          <w:tcPr>
            <w:tcW w:type="dxa" w:w="3408"/>
            <w:vAlign w:val="top"/>
          </w:tcPr>
          <w:p>
            <w:pPr>
              <w:spacing w:after="40"/>
            </w:pPr>
            <w:r>
              <w:rPr>
                <w:sz w:val="16"/>
              </w:rPr>
              <w:t>Too broad scope</w:t>
            </w:r>
          </w:p>
        </w:tc>
        <w:tc>
          <w:tcPr>
            <w:tcW w:type="dxa" w:w="3408"/>
            <w:vAlign w:val="top"/>
          </w:tcPr>
          <w:p>
            <w:pPr>
              <w:spacing w:after="40"/>
            </w:pPr>
            <w:r>
              <w:rPr>
                <w:sz w:val="16"/>
              </w:rPr>
              <w:t>Project becomes unfinishable.</w:t>
            </w:r>
          </w:p>
        </w:tc>
        <w:tc>
          <w:tcPr>
            <w:tcW w:type="dxa" w:w="3408"/>
            <w:vAlign w:val="top"/>
          </w:tcPr>
          <w:p>
            <w:pPr>
              <w:spacing w:after="40"/>
            </w:pPr>
            <w:r>
              <w:rPr>
                <w:sz w:val="16"/>
              </w:rPr>
              <w:t>Limit first prototype to 5–8 constraints and 1–2 software functions.</w:t>
            </w:r>
          </w:p>
        </w:tc>
      </w:tr>
      <w:tr>
        <w:tc>
          <w:tcPr>
            <w:tcW w:type="dxa" w:w="3408"/>
            <w:vAlign w:val="top"/>
          </w:tcPr>
          <w:p>
            <w:pPr>
              <w:spacing w:after="40"/>
            </w:pPr>
            <w:r>
              <w:rPr>
                <w:sz w:val="16"/>
              </w:rPr>
              <w:t>No measurable benefit</w:t>
            </w:r>
          </w:p>
        </w:tc>
        <w:tc>
          <w:tcPr>
            <w:tcW w:type="dxa" w:w="3408"/>
            <w:vAlign w:val="top"/>
          </w:tcPr>
          <w:p>
            <w:pPr>
              <w:spacing w:after="40"/>
            </w:pPr>
            <w:r>
              <w:rPr>
                <w:sz w:val="16"/>
              </w:rPr>
              <w:t>Architecture looks conceptual.</w:t>
            </w:r>
          </w:p>
        </w:tc>
        <w:tc>
          <w:tcPr>
            <w:tcW w:type="dxa" w:w="3408"/>
            <w:vAlign w:val="top"/>
          </w:tcPr>
          <w:p>
            <w:pPr>
              <w:spacing w:after="40"/>
            </w:pPr>
            <w:r>
              <w:rPr>
                <w:sz w:val="16"/>
              </w:rPr>
              <w:t>Define metrics and baselines before implementation.</w:t>
            </w:r>
          </w:p>
        </w:tc>
      </w:tr>
      <w:tr>
        <w:tc>
          <w:tcPr>
            <w:tcW w:type="dxa" w:w="3408"/>
            <w:vAlign w:val="top"/>
          </w:tcPr>
          <w:p>
            <w:pPr>
              <w:spacing w:after="40"/>
            </w:pPr>
            <w:r>
              <w:rPr>
                <w:sz w:val="16"/>
              </w:rPr>
              <w:t>Patent filing too early</w:t>
            </w:r>
          </w:p>
        </w:tc>
        <w:tc>
          <w:tcPr>
            <w:tcW w:type="dxa" w:w="3408"/>
            <w:vAlign w:val="top"/>
          </w:tcPr>
          <w:p>
            <w:pPr>
              <w:spacing w:after="40"/>
            </w:pPr>
            <w:r>
              <w:rPr>
                <w:sz w:val="16"/>
              </w:rPr>
              <w:t>Later research changes may invalidate claims.</w:t>
            </w:r>
          </w:p>
        </w:tc>
        <w:tc>
          <w:tcPr>
            <w:tcW w:type="dxa" w:w="3408"/>
            <w:vAlign w:val="top"/>
          </w:tcPr>
          <w:p>
            <w:pPr>
              <w:spacing w:after="40"/>
            </w:pPr>
            <w:r>
              <w:rPr>
                <w:sz w:val="16"/>
              </w:rPr>
              <w:t>Freeze technical invention after prior-art and prototype evidence.</w:t>
            </w:r>
          </w:p>
        </w:tc>
      </w:tr>
    </w:tbl>
    <w:p>
      <w:r>
        <w:br w:type="page"/>
      </w:r>
    </w:p>
    <w:p>
      <w:pPr>
        <w:pStyle w:val="Heading1"/>
      </w:pPr>
      <w:r>
        <w:t>22. Detailed Work Breakdown from Zero to Submission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40"/>
            </w:pPr>
            <w:r>
              <w:rPr>
                <w:b/>
                <w:sz w:val="16"/>
              </w:rPr>
              <w:t>Weeks</w:t>
            </w:r>
          </w:p>
        </w:tc>
        <w:tc>
          <w:tcPr>
            <w:tcW w:type="dxa" w:w="3408"/>
            <w:vAlign w:val="center"/>
          </w:tcPr>
          <w:p>
            <w:pPr>
              <w:spacing w:after="40"/>
            </w:pPr>
            <w:r>
              <w:rPr>
                <w:b/>
                <w:sz w:val="16"/>
              </w:rPr>
              <w:t>Main work</w:t>
            </w:r>
          </w:p>
        </w:tc>
        <w:tc>
          <w:tcPr>
            <w:tcW w:type="dxa" w:w="3408"/>
            <w:vAlign w:val="center"/>
          </w:tcPr>
          <w:p>
            <w:pPr>
              <w:spacing w:after="40"/>
            </w:pPr>
            <w:r>
              <w:rPr>
                <w:b/>
                <w:sz w:val="16"/>
              </w:rPr>
              <w:t>Deliverables</w:t>
            </w:r>
          </w:p>
        </w:tc>
      </w:tr>
      <w:tr>
        <w:tc>
          <w:tcPr>
            <w:tcW w:type="dxa" w:w="3408"/>
            <w:vAlign w:val="top"/>
          </w:tcPr>
          <w:p>
            <w:pPr>
              <w:spacing w:after="40"/>
            </w:pPr>
            <w:r>
              <w:rPr>
                <w:sz w:val="16"/>
              </w:rPr>
              <w:t>1–2</w:t>
            </w:r>
          </w:p>
        </w:tc>
        <w:tc>
          <w:tcPr>
            <w:tcW w:type="dxa" w:w="3408"/>
            <w:vAlign w:val="top"/>
          </w:tcPr>
          <w:p>
            <w:pPr>
              <w:spacing w:after="40"/>
            </w:pPr>
            <w:r>
              <w:rPr>
                <w:sz w:val="16"/>
              </w:rPr>
              <w:t>Literature + patent search</w:t>
            </w:r>
          </w:p>
        </w:tc>
        <w:tc>
          <w:tcPr>
            <w:tcW w:type="dxa" w:w="3408"/>
            <w:vAlign w:val="top"/>
          </w:tcPr>
          <w:p>
            <w:pPr>
              <w:spacing w:after="40"/>
            </w:pPr>
            <w:r>
              <w:rPr>
                <w:sz w:val="16"/>
              </w:rPr>
              <w:t>Evidence matrix; gap map</w:t>
            </w:r>
          </w:p>
        </w:tc>
      </w:tr>
      <w:tr>
        <w:tc>
          <w:tcPr>
            <w:tcW w:type="dxa" w:w="3408"/>
            <w:vAlign w:val="top"/>
          </w:tcPr>
          <w:p>
            <w:pPr>
              <w:spacing w:after="40"/>
            </w:pPr>
            <w:r>
              <w:rPr>
                <w:sz w:val="16"/>
              </w:rPr>
              <w:t>3</w:t>
            </w:r>
          </w:p>
        </w:tc>
        <w:tc>
          <w:tcPr>
            <w:tcW w:type="dxa" w:w="3408"/>
            <w:vAlign w:val="top"/>
          </w:tcPr>
          <w:p>
            <w:pPr>
              <w:spacing w:after="40"/>
            </w:pPr>
            <w:r>
              <w:rPr>
                <w:sz w:val="16"/>
              </w:rPr>
              <w:t>Problem freeze</w:t>
            </w:r>
          </w:p>
        </w:tc>
        <w:tc>
          <w:tcPr>
            <w:tcW w:type="dxa" w:w="3408"/>
            <w:vAlign w:val="top"/>
          </w:tcPr>
          <w:p>
            <w:pPr>
              <w:spacing w:after="40"/>
            </w:pPr>
            <w:r>
              <w:rPr>
                <w:sz w:val="16"/>
              </w:rPr>
              <w:t>Research questions; scope</w:t>
            </w:r>
          </w:p>
        </w:tc>
      </w:tr>
      <w:tr>
        <w:tc>
          <w:tcPr>
            <w:tcW w:type="dxa" w:w="3408"/>
            <w:vAlign w:val="top"/>
          </w:tcPr>
          <w:p>
            <w:pPr>
              <w:spacing w:after="40"/>
            </w:pPr>
            <w:r>
              <w:rPr>
                <w:sz w:val="16"/>
              </w:rPr>
              <w:t>4–5</w:t>
            </w:r>
          </w:p>
        </w:tc>
        <w:tc>
          <w:tcPr>
            <w:tcW w:type="dxa" w:w="3408"/>
            <w:vAlign w:val="top"/>
          </w:tcPr>
          <w:p>
            <w:pPr>
              <w:spacing w:after="40"/>
            </w:pPr>
            <w:r>
              <w:rPr>
                <w:sz w:val="16"/>
              </w:rPr>
              <w:t>OTA metadata + RSE schema</w:t>
            </w:r>
          </w:p>
        </w:tc>
        <w:tc>
          <w:tcPr>
            <w:tcW w:type="dxa" w:w="3408"/>
            <w:vAlign w:val="top"/>
          </w:tcPr>
          <w:p>
            <w:pPr>
              <w:spacing w:after="40"/>
            </w:pPr>
            <w:r>
              <w:rPr>
                <w:sz w:val="16"/>
              </w:rPr>
              <w:t>Data model</w:t>
            </w:r>
          </w:p>
        </w:tc>
      </w:tr>
      <w:tr>
        <w:tc>
          <w:tcPr>
            <w:tcW w:type="dxa" w:w="3408"/>
            <w:vAlign w:val="top"/>
          </w:tcPr>
          <w:p>
            <w:pPr>
              <w:spacing w:after="40"/>
            </w:pPr>
            <w:r>
              <w:rPr>
                <w:sz w:val="16"/>
              </w:rPr>
              <w:t>6–8</w:t>
            </w:r>
          </w:p>
        </w:tc>
        <w:tc>
          <w:tcPr>
            <w:tcW w:type="dxa" w:w="3408"/>
            <w:vAlign w:val="top"/>
          </w:tcPr>
          <w:p>
            <w:pPr>
              <w:spacing w:after="40"/>
            </w:pPr>
            <w:r>
              <w:rPr>
                <w:sz w:val="16"/>
              </w:rPr>
              <w:t>Simulator + telemetry</w:t>
            </w:r>
          </w:p>
        </w:tc>
        <w:tc>
          <w:tcPr>
            <w:tcW w:type="dxa" w:w="3408"/>
            <w:vAlign w:val="top"/>
          </w:tcPr>
          <w:p>
            <w:pPr>
              <w:spacing w:after="40"/>
            </w:pPr>
            <w:r>
              <w:rPr>
                <w:sz w:val="16"/>
              </w:rPr>
              <w:t>Runtime stream generator</w:t>
            </w:r>
          </w:p>
        </w:tc>
      </w:tr>
      <w:tr>
        <w:tc>
          <w:tcPr>
            <w:tcW w:type="dxa" w:w="3408"/>
            <w:vAlign w:val="top"/>
          </w:tcPr>
          <w:p>
            <w:pPr>
              <w:spacing w:after="40"/>
            </w:pPr>
            <w:r>
              <w:rPr>
                <w:sz w:val="16"/>
              </w:rPr>
              <w:t>9–10</w:t>
            </w:r>
          </w:p>
        </w:tc>
        <w:tc>
          <w:tcPr>
            <w:tcW w:type="dxa" w:w="3408"/>
            <w:vAlign w:val="top"/>
          </w:tcPr>
          <w:p>
            <w:pPr>
              <w:spacing w:after="40"/>
            </w:pPr>
            <w:r>
              <w:rPr>
                <w:sz w:val="16"/>
              </w:rPr>
              <w:t>Envelope engine</w:t>
            </w:r>
          </w:p>
        </w:tc>
        <w:tc>
          <w:tcPr>
            <w:tcW w:type="dxa" w:w="3408"/>
            <w:vAlign w:val="top"/>
          </w:tcPr>
          <w:p>
            <w:pPr>
              <w:spacing w:after="40"/>
            </w:pPr>
            <w:r>
              <w:rPr>
                <w:sz w:val="16"/>
              </w:rPr>
              <w:t>Constraint evaluator</w:t>
            </w:r>
          </w:p>
        </w:tc>
      </w:tr>
      <w:tr>
        <w:tc>
          <w:tcPr>
            <w:tcW w:type="dxa" w:w="3408"/>
            <w:vAlign w:val="top"/>
          </w:tcPr>
          <w:p>
            <w:pPr>
              <w:spacing w:after="40"/>
            </w:pPr>
            <w:r>
              <w:rPr>
                <w:sz w:val="16"/>
              </w:rPr>
              <w:t>11–12</w:t>
            </w:r>
          </w:p>
        </w:tc>
        <w:tc>
          <w:tcPr>
            <w:tcW w:type="dxa" w:w="3408"/>
            <w:vAlign w:val="top"/>
          </w:tcPr>
          <w:p>
            <w:pPr>
              <w:spacing w:after="40"/>
            </w:pPr>
            <w:r>
              <w:rPr>
                <w:sz w:val="16"/>
              </w:rPr>
              <w:t>Assurance state machine</w:t>
            </w:r>
          </w:p>
        </w:tc>
        <w:tc>
          <w:tcPr>
            <w:tcW w:type="dxa" w:w="3408"/>
            <w:vAlign w:val="top"/>
          </w:tcPr>
          <w:p>
            <w:pPr>
              <w:spacing w:after="40"/>
            </w:pPr>
            <w:r>
              <w:rPr>
                <w:sz w:val="16"/>
              </w:rPr>
              <w:t>Decision engine</w:t>
            </w:r>
          </w:p>
        </w:tc>
      </w:tr>
      <w:tr>
        <w:tc>
          <w:tcPr>
            <w:tcW w:type="dxa" w:w="3408"/>
            <w:vAlign w:val="top"/>
          </w:tcPr>
          <w:p>
            <w:pPr>
              <w:spacing w:after="40"/>
            </w:pPr>
            <w:r>
              <w:rPr>
                <w:sz w:val="16"/>
              </w:rPr>
              <w:t>13–15</w:t>
            </w:r>
          </w:p>
        </w:tc>
        <w:tc>
          <w:tcPr>
            <w:tcW w:type="dxa" w:w="3408"/>
            <w:vAlign w:val="top"/>
          </w:tcPr>
          <w:p>
            <w:pPr>
              <w:spacing w:after="40"/>
            </w:pPr>
            <w:r>
              <w:rPr>
                <w:sz w:val="16"/>
              </w:rPr>
              <w:t>Prediction</w:t>
            </w:r>
          </w:p>
        </w:tc>
        <w:tc>
          <w:tcPr>
            <w:tcW w:type="dxa" w:w="3408"/>
            <w:vAlign w:val="top"/>
          </w:tcPr>
          <w:p>
            <w:pPr>
              <w:spacing w:after="40"/>
            </w:pPr>
            <w:r>
              <w:rPr>
                <w:sz w:val="16"/>
              </w:rPr>
              <w:t>Trend/forecast module</w:t>
            </w:r>
          </w:p>
        </w:tc>
      </w:tr>
      <w:tr>
        <w:tc>
          <w:tcPr>
            <w:tcW w:type="dxa" w:w="3408"/>
            <w:vAlign w:val="top"/>
          </w:tcPr>
          <w:p>
            <w:pPr>
              <w:spacing w:after="40"/>
            </w:pPr>
            <w:r>
              <w:rPr>
                <w:sz w:val="16"/>
              </w:rPr>
              <w:t>16–17</w:t>
            </w:r>
          </w:p>
        </w:tc>
        <w:tc>
          <w:tcPr>
            <w:tcW w:type="dxa" w:w="3408"/>
            <w:vAlign w:val="top"/>
          </w:tcPr>
          <w:p>
            <w:pPr>
              <w:spacing w:after="40"/>
            </w:pPr>
            <w:r>
              <w:rPr>
                <w:sz w:val="16"/>
              </w:rPr>
              <w:t>Response policy</w:t>
            </w:r>
          </w:p>
        </w:tc>
        <w:tc>
          <w:tcPr>
            <w:tcW w:type="dxa" w:w="3408"/>
            <w:vAlign w:val="top"/>
          </w:tcPr>
          <w:p>
            <w:pPr>
              <w:spacing w:after="40"/>
            </w:pPr>
            <w:r>
              <w:rPr>
                <w:sz w:val="16"/>
              </w:rPr>
              <w:t>Safe response simulator</w:t>
            </w:r>
          </w:p>
        </w:tc>
      </w:tr>
      <w:tr>
        <w:tc>
          <w:tcPr>
            <w:tcW w:type="dxa" w:w="3408"/>
            <w:vAlign w:val="top"/>
          </w:tcPr>
          <w:p>
            <w:pPr>
              <w:spacing w:after="40"/>
            </w:pPr>
            <w:r>
              <w:rPr>
                <w:sz w:val="16"/>
              </w:rPr>
              <w:t>18–20</w:t>
            </w:r>
          </w:p>
        </w:tc>
        <w:tc>
          <w:tcPr>
            <w:tcW w:type="dxa" w:w="3408"/>
            <w:vAlign w:val="top"/>
          </w:tcPr>
          <w:p>
            <w:pPr>
              <w:spacing w:after="40"/>
            </w:pPr>
            <w:r>
              <w:rPr>
                <w:sz w:val="16"/>
              </w:rPr>
              <w:t>Fault injection</w:t>
            </w:r>
          </w:p>
        </w:tc>
        <w:tc>
          <w:tcPr>
            <w:tcW w:type="dxa" w:w="3408"/>
            <w:vAlign w:val="top"/>
          </w:tcPr>
          <w:p>
            <w:pPr>
              <w:spacing w:after="40"/>
            </w:pPr>
            <w:r>
              <w:rPr>
                <w:sz w:val="16"/>
              </w:rPr>
              <w:t>Benchmark scenarios</w:t>
            </w:r>
          </w:p>
        </w:tc>
      </w:tr>
      <w:tr>
        <w:tc>
          <w:tcPr>
            <w:tcW w:type="dxa" w:w="3408"/>
            <w:vAlign w:val="top"/>
          </w:tcPr>
          <w:p>
            <w:pPr>
              <w:spacing w:after="40"/>
            </w:pPr>
            <w:r>
              <w:rPr>
                <w:sz w:val="16"/>
              </w:rPr>
              <w:t>21–23</w:t>
            </w:r>
          </w:p>
        </w:tc>
        <w:tc>
          <w:tcPr>
            <w:tcW w:type="dxa" w:w="3408"/>
            <w:vAlign w:val="top"/>
          </w:tcPr>
          <w:p>
            <w:pPr>
              <w:spacing w:after="40"/>
            </w:pPr>
            <w:r>
              <w:rPr>
                <w:sz w:val="16"/>
              </w:rPr>
              <w:t>Baselines</w:t>
            </w:r>
          </w:p>
        </w:tc>
        <w:tc>
          <w:tcPr>
            <w:tcW w:type="dxa" w:w="3408"/>
            <w:vAlign w:val="top"/>
          </w:tcPr>
          <w:p>
            <w:pPr>
              <w:spacing w:after="40"/>
            </w:pPr>
            <w:r>
              <w:rPr>
                <w:sz w:val="16"/>
              </w:rPr>
              <w:t>Comparable systems</w:t>
            </w:r>
          </w:p>
        </w:tc>
      </w:tr>
      <w:tr>
        <w:tc>
          <w:tcPr>
            <w:tcW w:type="dxa" w:w="3408"/>
            <w:vAlign w:val="top"/>
          </w:tcPr>
          <w:p>
            <w:pPr>
              <w:spacing w:after="40"/>
            </w:pPr>
            <w:r>
              <w:rPr>
                <w:sz w:val="16"/>
              </w:rPr>
              <w:t>24–26</w:t>
            </w:r>
          </w:p>
        </w:tc>
        <w:tc>
          <w:tcPr>
            <w:tcW w:type="dxa" w:w="3408"/>
            <w:vAlign w:val="top"/>
          </w:tcPr>
          <w:p>
            <w:pPr>
              <w:spacing w:after="40"/>
            </w:pPr>
            <w:r>
              <w:rPr>
                <w:sz w:val="16"/>
              </w:rPr>
              <w:t>Ablations</w:t>
            </w:r>
          </w:p>
        </w:tc>
        <w:tc>
          <w:tcPr>
            <w:tcW w:type="dxa" w:w="3408"/>
            <w:vAlign w:val="top"/>
          </w:tcPr>
          <w:p>
            <w:pPr>
              <w:spacing w:after="40"/>
            </w:pPr>
            <w:r>
              <w:rPr>
                <w:sz w:val="16"/>
              </w:rPr>
              <w:t>Component contribution evidence</w:t>
            </w:r>
          </w:p>
        </w:tc>
      </w:tr>
      <w:tr>
        <w:tc>
          <w:tcPr>
            <w:tcW w:type="dxa" w:w="3408"/>
            <w:vAlign w:val="top"/>
          </w:tcPr>
          <w:p>
            <w:pPr>
              <w:spacing w:after="40"/>
            </w:pPr>
            <w:r>
              <w:rPr>
                <w:sz w:val="16"/>
              </w:rPr>
              <w:t>27–29</w:t>
            </w:r>
          </w:p>
        </w:tc>
        <w:tc>
          <w:tcPr>
            <w:tcW w:type="dxa" w:w="3408"/>
            <w:vAlign w:val="top"/>
          </w:tcPr>
          <w:p>
            <w:pPr>
              <w:spacing w:after="40"/>
            </w:pPr>
            <w:r>
              <w:rPr>
                <w:sz w:val="16"/>
              </w:rPr>
              <w:t>Statistics + visualization</w:t>
            </w:r>
          </w:p>
        </w:tc>
        <w:tc>
          <w:tcPr>
            <w:tcW w:type="dxa" w:w="3408"/>
            <w:vAlign w:val="top"/>
          </w:tcPr>
          <w:p>
            <w:pPr>
              <w:spacing w:after="40"/>
            </w:pPr>
            <w:r>
              <w:rPr>
                <w:sz w:val="16"/>
              </w:rPr>
              <w:t>Result tables/figures</w:t>
            </w:r>
          </w:p>
        </w:tc>
      </w:tr>
      <w:tr>
        <w:tc>
          <w:tcPr>
            <w:tcW w:type="dxa" w:w="3408"/>
            <w:vAlign w:val="top"/>
          </w:tcPr>
          <w:p>
            <w:pPr>
              <w:spacing w:after="40"/>
            </w:pPr>
            <w:r>
              <w:rPr>
                <w:sz w:val="16"/>
              </w:rPr>
              <w:t>30–32</w:t>
            </w:r>
          </w:p>
        </w:tc>
        <w:tc>
          <w:tcPr>
            <w:tcW w:type="dxa" w:w="3408"/>
            <w:vAlign w:val="top"/>
          </w:tcPr>
          <w:p>
            <w:pPr>
              <w:spacing w:after="40"/>
            </w:pPr>
            <w:r>
              <w:rPr>
                <w:sz w:val="16"/>
              </w:rPr>
              <w:t>HIL extension if available</w:t>
            </w:r>
          </w:p>
        </w:tc>
        <w:tc>
          <w:tcPr>
            <w:tcW w:type="dxa" w:w="3408"/>
            <w:vAlign w:val="top"/>
          </w:tcPr>
          <w:p>
            <w:pPr>
              <w:spacing w:after="40"/>
            </w:pPr>
            <w:r>
              <w:rPr>
                <w:sz w:val="16"/>
              </w:rPr>
              <w:t>Higher-fidelity validation</w:t>
            </w:r>
          </w:p>
        </w:tc>
      </w:tr>
      <w:tr>
        <w:tc>
          <w:tcPr>
            <w:tcW w:type="dxa" w:w="3408"/>
            <w:vAlign w:val="top"/>
          </w:tcPr>
          <w:p>
            <w:pPr>
              <w:spacing w:after="40"/>
            </w:pPr>
            <w:r>
              <w:rPr>
                <w:sz w:val="16"/>
              </w:rPr>
              <w:t>33–35</w:t>
            </w:r>
          </w:p>
        </w:tc>
        <w:tc>
          <w:tcPr>
            <w:tcW w:type="dxa" w:w="3408"/>
            <w:vAlign w:val="top"/>
          </w:tcPr>
          <w:p>
            <w:pPr>
              <w:spacing w:after="40"/>
            </w:pPr>
            <w:r>
              <w:rPr>
                <w:sz w:val="16"/>
              </w:rPr>
              <w:t>Paper writing</w:t>
            </w:r>
          </w:p>
        </w:tc>
        <w:tc>
          <w:tcPr>
            <w:tcW w:type="dxa" w:w="3408"/>
            <w:vAlign w:val="top"/>
          </w:tcPr>
          <w:p>
            <w:pPr>
              <w:spacing w:after="40"/>
            </w:pPr>
            <w:r>
              <w:rPr>
                <w:sz w:val="16"/>
              </w:rPr>
              <w:t>Full manuscript</w:t>
            </w:r>
          </w:p>
        </w:tc>
      </w:tr>
      <w:tr>
        <w:tc>
          <w:tcPr>
            <w:tcW w:type="dxa" w:w="3408"/>
            <w:vAlign w:val="top"/>
          </w:tcPr>
          <w:p>
            <w:pPr>
              <w:spacing w:after="40"/>
            </w:pPr>
            <w:r>
              <w:rPr>
                <w:sz w:val="16"/>
              </w:rPr>
              <w:t>36–38</w:t>
            </w:r>
          </w:p>
        </w:tc>
        <w:tc>
          <w:tcPr>
            <w:tcW w:type="dxa" w:w="3408"/>
            <w:vAlign w:val="top"/>
          </w:tcPr>
          <w:p>
            <w:pPr>
              <w:spacing w:after="40"/>
            </w:pPr>
            <w:r>
              <w:rPr>
                <w:sz w:val="16"/>
              </w:rPr>
              <w:t>Patent claim chart / invention disclosure</w:t>
            </w:r>
          </w:p>
        </w:tc>
        <w:tc>
          <w:tcPr>
            <w:tcW w:type="dxa" w:w="3408"/>
            <w:vAlign w:val="top"/>
          </w:tcPr>
          <w:p>
            <w:pPr>
              <w:spacing w:after="40"/>
            </w:pPr>
            <w:r>
              <w:rPr>
                <w:sz w:val="16"/>
              </w:rPr>
              <w:t>Patent-ready technical package</w:t>
            </w:r>
          </w:p>
        </w:tc>
      </w:tr>
    </w:tbl>
    <w:p>
      <w:pPr>
        <w:pStyle w:val="Heading2"/>
      </w:pPr>
      <w:r>
        <w:t>If time is limited</w:t>
      </w:r>
    </w:p>
    <w:p>
      <w:pPr>
        <w:spacing w:after="100"/>
      </w:pPr>
      <w:r>
        <w:t>The minimum publishable research prototype can be completed around the envelope engine + runtime assurance + controlled prediction + strong baselines + fault-injection evaluation. HIL can be a second-stage extension rather than a blocker.</w:t>
      </w:r>
    </w:p>
    <w:p>
      <w:r>
        <w:br w:type="page"/>
      </w:r>
    </w:p>
    <w:p>
      <w:pPr>
        <w:pStyle w:val="Heading1"/>
      </w:pPr>
      <w:r>
        <w:t>23. Expected Results — What We Should and Should Not Claim</w:t>
      </w:r>
    </w:p>
    <w:p>
      <w:pPr>
        <w:pStyle w:val="Heading2"/>
      </w:pPr>
      <w:r>
        <w:t>Reasonable expected outcomes</w:t>
      </w:r>
    </w:p>
    <w:p>
      <w:pPr>
        <w:pStyle w:val="ListBullet"/>
        <w:spacing w:after="40"/>
      </w:pPr>
      <w:r>
        <w:t>RAVEN should identify which version-specific envelope constraint is threatened.</w:t>
      </w:r>
    </w:p>
    <w:p>
      <w:pPr>
        <w:pStyle w:val="ListBullet"/>
        <w:spacing w:after="40"/>
      </w:pPr>
      <w:r>
        <w:t>It should distinguish at least some benign deviations from critical violations using context and criticality.</w:t>
      </w:r>
    </w:p>
    <w:p>
      <w:pPr>
        <w:pStyle w:val="ListBullet"/>
        <w:spacing w:after="40"/>
      </w:pPr>
      <w:r>
        <w:t>It should demonstrate measurable detection/response latency.</w:t>
      </w:r>
    </w:p>
    <w:p>
      <w:pPr>
        <w:pStyle w:val="ListBullet"/>
        <w:spacing w:after="40"/>
      </w:pPr>
      <w:r>
        <w:t>It should quantify the overhead of continuous assurance.</w:t>
      </w:r>
    </w:p>
    <w:p>
      <w:pPr>
        <w:pStyle w:val="ListBullet"/>
        <w:spacing w:after="40"/>
      </w:pPr>
      <w:r>
        <w:t>It should show whether prediction provides useful lead time.</w:t>
      </w:r>
    </w:p>
    <w:p>
      <w:pPr>
        <w:pStyle w:val="ListBullet"/>
        <w:spacing w:after="40"/>
      </w:pPr>
      <w:r>
        <w:t>It should show whether graduated response reduces unnecessary disruptive recovery actions.</w:t>
      </w:r>
    </w:p>
    <w:p>
      <w:pPr>
        <w:pStyle w:val="Heading2"/>
      </w:pPr>
      <w:r>
        <w:t>Do not claim before measurement</w:t>
      </w:r>
    </w:p>
    <w:p>
      <w:pPr>
        <w:pStyle w:val="ListBullet"/>
        <w:spacing w:after="40"/>
      </w:pPr>
      <w:r>
        <w:t>Accident prevention percentage.</w:t>
      </w:r>
    </w:p>
    <w:p>
      <w:pPr>
        <w:pStyle w:val="ListBullet"/>
        <w:spacing w:after="40"/>
      </w:pPr>
      <w:r>
        <w:t>Exact money saved.</w:t>
      </w:r>
    </w:p>
    <w:p>
      <w:pPr>
        <w:pStyle w:val="ListBullet"/>
        <w:spacing w:after="40"/>
      </w:pPr>
      <w:r>
        <w:t>Guaranteed safety.</w:t>
      </w:r>
    </w:p>
    <w:p>
      <w:pPr>
        <w:pStyle w:val="ListBullet"/>
        <w:spacing w:after="40"/>
      </w:pPr>
      <w:r>
        <w:t>Zero false positives/negatives.</w:t>
      </w:r>
    </w:p>
    <w:p>
      <w:pPr>
        <w:pStyle w:val="ListBullet"/>
        <w:spacing w:after="40"/>
      </w:pPr>
      <w:r>
        <w:t>Certification compliance.</w:t>
      </w:r>
    </w:p>
    <w:p>
      <w:pPr>
        <w:pStyle w:val="ListBullet"/>
        <w:spacing w:after="40"/>
      </w:pPr>
      <w:r>
        <w:t>First-ever OTA runtime assurance.</w:t>
      </w:r>
    </w:p>
    <w:p>
      <w:pPr>
        <w:pStyle w:val="ListBullet"/>
        <w:spacing w:after="40"/>
      </w:pPr>
      <w:r>
        <w:t>Guaranteed patentability.</w:t>
      </w:r>
    </w:p>
    <w:p>
      <w:r>
        <w:br w:type="page"/>
      </w:r>
    </w:p>
    <w:p>
      <w:pPr>
        <w:pStyle w:val="Heading1"/>
      </w:pPr>
      <w:r>
        <w:t>24. Curated References and Source Notes</w:t>
      </w:r>
    </w:p>
    <w:p>
      <w:pPr>
        <w:spacing w:after="100"/>
      </w:pPr>
      <w:r>
        <w:t>[1] N. M. Bisceglia et al., “Safety Analysis of Over-the-Air Updates for CPS: A Contract-Driven Approach,” IEEE Transactions on Software Engineering, 2026, DOI: 10.1109/TSE.2026.3654819.</w:t>
      </w:r>
    </w:p>
    <w:p>
      <w:pPr>
        <w:spacing w:after="100"/>
      </w:pPr>
      <w:r>
        <w:t>[2] J. Park and I. Y. Ko, “Dependency-Aware Over-the-Air Framework for Reliable Software-Defined Vehicle Updates,” ACM FSE Companion, 2026, DOI: 10.1145/3803437.3805246.</w:t>
      </w:r>
    </w:p>
    <w:p>
      <w:pPr>
        <w:spacing w:after="100"/>
      </w:pPr>
      <w:r>
        <w:t>[3] M. S. Hagen et al., “Towards a formal verification of secure vehicle software updates,” Computers &amp; Security, 2026, DOI: 10.1016/j.cose.2025.104751.</w:t>
      </w:r>
    </w:p>
    <w:p>
      <w:pPr>
        <w:spacing w:after="100"/>
      </w:pPr>
      <w:r>
        <w:t>[4] S. Khare, U. Karle, A. Subramaniam et al., “Development of HIL Based Methodology for Over-The-Air Updates Validation,” SAE/SIAT 2026, DOI: 10.4271/2026-26-0480.</w:t>
      </w:r>
    </w:p>
    <w:p>
      <w:pPr>
        <w:spacing w:after="100"/>
      </w:pPr>
      <w:r>
        <w:t>[5] “OTA Updates for Intelligent Vehicles: Challenges for a Safe and Secure Strategy,” IEEE CROS 2026, DOI: 10.1109/CROS69211.2026.11565614.</w:t>
      </w:r>
    </w:p>
    <w:p>
      <w:pPr>
        <w:spacing w:after="100"/>
      </w:pPr>
      <w:r>
        <w:t>[6] “An adaptable security-by-design approach for ensuring a secure Over the Air (OTA) update in modern vehicles,” Computers &amp; Security, 2025, DOI: 10.1016/j.cose.2024.104268.</w:t>
      </w:r>
    </w:p>
    <w:p>
      <w:pPr>
        <w:spacing w:after="100"/>
      </w:pPr>
      <w:r>
        <w:t>[7] “Safe and Secure Over-the-Air Software-Updates for Software-Defined Vehicles,” DLR/Eclipse SDV Community Days, 2025.</w:t>
      </w:r>
    </w:p>
    <w:p>
      <w:pPr>
        <w:spacing w:after="100"/>
      </w:pPr>
      <w:r>
        <w:t>[8] “A Comprehensive, Automated Security Analysis of the Uptane Automotive Over-the-Air Update Framework,” ACM conference publication, 2024.</w:t>
      </w:r>
    </w:p>
    <w:p>
      <w:pPr>
        <w:spacing w:after="100"/>
      </w:pPr>
      <w:r>
        <w:t>[9] “Secure over-the-air software updates in connected vehicles: A survey,” Computer Networks, 2020.</w:t>
      </w:r>
    </w:p>
    <w:p>
      <w:pPr>
        <w:spacing w:after="100"/>
      </w:pPr>
      <w:r>
        <w:t>[10] US20250251926A1, “Software Update Based Vehicle Actuation,” 2025 patent application.</w:t>
      </w:r>
    </w:p>
    <w:p>
      <w:pPr>
        <w:spacing w:after="100"/>
      </w:pPr>
      <w:r>
        <w:t>[11] US20190324858A1, “Rollback recovery from partial failure in multi-ECU OTA,” patent application.</w:t>
      </w:r>
    </w:p>
    <w:p>
      <w:pPr>
        <w:spacing w:after="100"/>
      </w:pPr>
      <w:r>
        <w:t>[12] CN121233145A, vehicle OTA flashing load control, 2025 patent publication.</w:t>
      </w:r>
    </w:p>
    <w:p>
      <w:pPr>
        <w:spacing w:after="100"/>
      </w:pPr>
      <w:r>
        <w:t>[13] CN121300972A, dynamic OTA CPU utilization control in vehicle-mounted equipment, 2026 patent publication.</w:t>
      </w:r>
    </w:p>
    <w:p>
      <w:pPr>
        <w:spacing w:after="100"/>
      </w:pPr>
      <w:r>
        <w:t>[14] NHTSA Recall 25V-392 / Volvo, July 2025, software-related braking safety recall and OTA remedy.</w:t>
      </w:r>
    </w:p>
    <w:p>
      <w:pPr>
        <w:spacing w:after="100"/>
      </w:pPr>
      <w:r>
        <w:t>[15] NHTSA Recall 25V585 / Rivian, 2025, Hands-Free Highway Assist software issue and OTA remedy.</w:t>
      </w:r>
    </w:p>
    <w:p>
      <w:pPr>
        <w:spacing w:after="100"/>
      </w:pPr>
      <w:r>
        <w:t>[16] NHTSA Recall 25V-002 / Tesla, 2025, vehicle computer/rearview-camera software remedy.</w:t>
      </w:r>
    </w:p>
    <w:p>
      <w:pPr>
        <w:spacing w:after="100"/>
      </w:pPr>
      <w:r>
        <w:t>[17] NHTSA / Volkswagen ID.4 recall materials, 2024–2025, display/software issue and OTA remedy.</w:t>
      </w:r>
    </w:p>
    <w:p>
      <w:pPr>
        <w:spacing w:after="100"/>
      </w:pPr>
      <w:r>
        <w:t>[18] NHTSA 2025 annual recall report/materials concerning recalls remedied in whole or in part using OTA updates.</w:t>
      </w:r>
    </w:p>
    <w:p>
      <w:pPr>
        <w:spacing w:after="100"/>
      </w:pPr>
      <w:r>
        <w:t>[19] NHTSA Ford recall compliance enforcement, 2024, including safety-data and traceability requirements.</w:t>
      </w:r>
    </w:p>
    <w:p>
      <w:pPr>
        <w:spacing w:after="100"/>
      </w:pPr>
      <w:r>
        <w:t>[20] “Dependency-aware OTA execution planning with path reuse for software-defined vehicles,” Journal of Systems Architecture, 2026, DOI: 10.1016/j.sysarc.2026.103952. Publication status/date should be rechecked because the listed issue date is later in 2026.</w:t>
      </w:r>
    </w:p>
    <w:p>
      <w:pPr>
        <w:pStyle w:val="Heading2"/>
      </w:pPr>
      <w:r>
        <w:t>Source verification note</w:t>
      </w:r>
    </w:p>
    <w:p>
      <w:pPr>
        <w:spacing w:after="100"/>
      </w:pPr>
      <w:r>
        <w:t>The references above are the core evidence set carried into this research plan. Before submitting a manuscript or filing a patent, verify bibliographic metadata, publication status, DOI resolution, indexing status, and the latest patent family/legal status directly in IEEE Xplore, ACM Digital Library, ScienceDirect/Elsevier, Scopus, Google Scholar, SAE Mobilus and official patent databases.</w:t>
      </w:r>
    </w:p>
    <w:p>
      <w:r>
        <w:br w:type="page"/>
      </w:r>
    </w:p>
    <w:p>
      <w:pPr>
        <w:pStyle w:val="Heading1"/>
      </w:pPr>
      <w:r>
        <w:t>25. Literature Review Matrix — Practical Research Reading Template</w:t>
      </w:r>
    </w:p>
    <w:p>
      <w:pPr>
        <w:spacing w:after="100"/>
      </w:pPr>
      <w:r>
        <w:t>Use this table as the master spreadsheet structure. Add every new paper found during the final search.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40"/>
            </w:pPr>
            <w:r>
              <w:rPr>
                <w:b/>
                <w:sz w:val="16"/>
              </w:rPr>
              <w:t>Field</w:t>
            </w:r>
          </w:p>
        </w:tc>
        <w:tc>
          <w:tcPr>
            <w:tcW w:type="dxa" w:w="5112"/>
            <w:vAlign w:val="center"/>
          </w:tcPr>
          <w:p>
            <w:pPr>
              <w:spacing w:after="40"/>
            </w:pPr>
            <w:r>
              <w:rPr>
                <w:b/>
                <w:sz w:val="16"/>
              </w:rPr>
              <w:t>What to record</w:t>
            </w:r>
          </w:p>
        </w:tc>
      </w:tr>
      <w:tr>
        <w:tc>
          <w:tcPr>
            <w:tcW w:type="dxa" w:w="5112"/>
            <w:vAlign w:val="top"/>
          </w:tcPr>
          <w:p>
            <w:pPr>
              <w:spacing w:after="40"/>
            </w:pPr>
            <w:r>
              <w:rPr>
                <w:sz w:val="16"/>
              </w:rPr>
              <w:t>Paper ID</w:t>
            </w:r>
          </w:p>
        </w:tc>
        <w:tc>
          <w:tcPr>
            <w:tcW w:type="dxa" w:w="5112"/>
            <w:vAlign w:val="top"/>
          </w:tcPr>
          <w:p>
            <w:pPr>
              <w:spacing w:after="40"/>
            </w:pPr>
            <w:r>
              <w:rPr>
                <w:sz w:val="16"/>
              </w:rPr>
              <w:t>R01, R02…</w:t>
            </w:r>
          </w:p>
        </w:tc>
      </w:tr>
      <w:tr>
        <w:tc>
          <w:tcPr>
            <w:tcW w:type="dxa" w:w="5112"/>
            <w:vAlign w:val="top"/>
          </w:tcPr>
          <w:p>
            <w:pPr>
              <w:spacing w:after="40"/>
            </w:pPr>
            <w:r>
              <w:rPr>
                <w:sz w:val="16"/>
              </w:rPr>
              <w:t>Title</w:t>
            </w:r>
          </w:p>
        </w:tc>
        <w:tc>
          <w:tcPr>
            <w:tcW w:type="dxa" w:w="5112"/>
            <w:vAlign w:val="top"/>
          </w:tcPr>
          <w:p>
            <w:pPr>
              <w:spacing w:after="40"/>
            </w:pPr>
            <w:r>
              <w:rPr>
                <w:sz w:val="16"/>
              </w:rPr>
              <w:t>Exact published title</w:t>
            </w:r>
          </w:p>
        </w:tc>
      </w:tr>
      <w:tr>
        <w:tc>
          <w:tcPr>
            <w:tcW w:type="dxa" w:w="5112"/>
            <w:vAlign w:val="top"/>
          </w:tcPr>
          <w:p>
            <w:pPr>
              <w:spacing w:after="40"/>
            </w:pPr>
            <w:r>
              <w:rPr>
                <w:sz w:val="16"/>
              </w:rPr>
              <w:t>Authors</w:t>
            </w:r>
          </w:p>
        </w:tc>
        <w:tc>
          <w:tcPr>
            <w:tcW w:type="dxa" w:w="5112"/>
            <w:vAlign w:val="top"/>
          </w:tcPr>
          <w:p>
            <w:pPr>
              <w:spacing w:after="40"/>
            </w:pPr>
            <w:r>
              <w:rPr>
                <w:sz w:val="16"/>
              </w:rPr>
              <w:t>Exact author list</w:t>
            </w:r>
          </w:p>
        </w:tc>
      </w:tr>
      <w:tr>
        <w:tc>
          <w:tcPr>
            <w:tcW w:type="dxa" w:w="5112"/>
            <w:vAlign w:val="top"/>
          </w:tcPr>
          <w:p>
            <w:pPr>
              <w:spacing w:after="40"/>
            </w:pPr>
            <w:r>
              <w:rPr>
                <w:sz w:val="16"/>
              </w:rPr>
              <w:t>Year</w:t>
            </w:r>
          </w:p>
        </w:tc>
        <w:tc>
          <w:tcPr>
            <w:tcW w:type="dxa" w:w="5112"/>
            <w:vAlign w:val="top"/>
          </w:tcPr>
          <w:p>
            <w:pPr>
              <w:spacing w:after="40"/>
            </w:pPr>
            <w:r>
              <w:rPr>
                <w:sz w:val="16"/>
              </w:rPr>
              <w:t>Publication year</w:t>
            </w:r>
          </w:p>
        </w:tc>
      </w:tr>
      <w:tr>
        <w:tc>
          <w:tcPr>
            <w:tcW w:type="dxa" w:w="5112"/>
            <w:vAlign w:val="top"/>
          </w:tcPr>
          <w:p>
            <w:pPr>
              <w:spacing w:after="40"/>
            </w:pPr>
            <w:r>
              <w:rPr>
                <w:sz w:val="16"/>
              </w:rPr>
              <w:t>Venue</w:t>
            </w:r>
          </w:p>
        </w:tc>
        <w:tc>
          <w:tcPr>
            <w:tcW w:type="dxa" w:w="5112"/>
            <w:vAlign w:val="top"/>
          </w:tcPr>
          <w:p>
            <w:pPr>
              <w:spacing w:after="40"/>
            </w:pPr>
            <w:r>
              <w:rPr>
                <w:sz w:val="16"/>
              </w:rPr>
              <w:t>Journal/conference</w:t>
            </w:r>
          </w:p>
        </w:tc>
      </w:tr>
      <w:tr>
        <w:tc>
          <w:tcPr>
            <w:tcW w:type="dxa" w:w="5112"/>
            <w:vAlign w:val="top"/>
          </w:tcPr>
          <w:p>
            <w:pPr>
              <w:spacing w:after="40"/>
            </w:pPr>
            <w:r>
              <w:rPr>
                <w:sz w:val="16"/>
              </w:rPr>
              <w:t>Indexing</w:t>
            </w:r>
          </w:p>
        </w:tc>
        <w:tc>
          <w:tcPr>
            <w:tcW w:type="dxa" w:w="5112"/>
            <w:vAlign w:val="top"/>
          </w:tcPr>
          <w:p>
            <w:pPr>
              <w:spacing w:after="40"/>
            </w:pPr>
            <w:r>
              <w:rPr>
                <w:sz w:val="16"/>
              </w:rPr>
              <w:t>Scopus/IEEE/ACM/etc. verified status</w:t>
            </w:r>
          </w:p>
        </w:tc>
      </w:tr>
      <w:tr>
        <w:tc>
          <w:tcPr>
            <w:tcW w:type="dxa" w:w="5112"/>
            <w:vAlign w:val="top"/>
          </w:tcPr>
          <w:p>
            <w:pPr>
              <w:spacing w:after="40"/>
            </w:pPr>
            <w:r>
              <w:rPr>
                <w:sz w:val="16"/>
              </w:rPr>
              <w:t>DOI</w:t>
            </w:r>
          </w:p>
        </w:tc>
        <w:tc>
          <w:tcPr>
            <w:tcW w:type="dxa" w:w="5112"/>
            <w:vAlign w:val="top"/>
          </w:tcPr>
          <w:p>
            <w:pPr>
              <w:spacing w:after="40"/>
            </w:pPr>
            <w:r>
              <w:rPr>
                <w:sz w:val="16"/>
              </w:rPr>
              <w:t>Exact DOI</w:t>
            </w:r>
          </w:p>
        </w:tc>
      </w:tr>
      <w:tr>
        <w:tc>
          <w:tcPr>
            <w:tcW w:type="dxa" w:w="5112"/>
            <w:vAlign w:val="top"/>
          </w:tcPr>
          <w:p>
            <w:pPr>
              <w:spacing w:after="40"/>
            </w:pPr>
            <w:r>
              <w:rPr>
                <w:sz w:val="16"/>
              </w:rPr>
              <w:t>Problem</w:t>
            </w:r>
          </w:p>
        </w:tc>
        <w:tc>
          <w:tcPr>
            <w:tcW w:type="dxa" w:w="5112"/>
            <w:vAlign w:val="top"/>
          </w:tcPr>
          <w:p>
            <w:pPr>
              <w:spacing w:after="40"/>
            </w:pPr>
            <w:r>
              <w:rPr>
                <w:sz w:val="16"/>
              </w:rPr>
              <w:t>One-sentence problem</w:t>
            </w:r>
          </w:p>
        </w:tc>
      </w:tr>
      <w:tr>
        <w:tc>
          <w:tcPr>
            <w:tcW w:type="dxa" w:w="5112"/>
            <w:vAlign w:val="top"/>
          </w:tcPr>
          <w:p>
            <w:pPr>
              <w:spacing w:after="40"/>
            </w:pPr>
            <w:r>
              <w:rPr>
                <w:sz w:val="16"/>
              </w:rPr>
              <w:t>Method</w:t>
            </w:r>
          </w:p>
        </w:tc>
        <w:tc>
          <w:tcPr>
            <w:tcW w:type="dxa" w:w="5112"/>
            <w:vAlign w:val="top"/>
          </w:tcPr>
          <w:p>
            <w:pPr>
              <w:spacing w:after="40"/>
            </w:pPr>
            <w:r>
              <w:rPr>
                <w:sz w:val="16"/>
              </w:rPr>
              <w:t>Algorithm/framework</w:t>
            </w:r>
          </w:p>
        </w:tc>
      </w:tr>
      <w:tr>
        <w:tc>
          <w:tcPr>
            <w:tcW w:type="dxa" w:w="5112"/>
            <w:vAlign w:val="top"/>
          </w:tcPr>
          <w:p>
            <w:pPr>
              <w:spacing w:after="40"/>
            </w:pPr>
            <w:r>
              <w:rPr>
                <w:sz w:val="16"/>
              </w:rPr>
              <w:t>Data/Testbed</w:t>
            </w:r>
          </w:p>
        </w:tc>
        <w:tc>
          <w:tcPr>
            <w:tcW w:type="dxa" w:w="5112"/>
            <w:vAlign w:val="top"/>
          </w:tcPr>
          <w:p>
            <w:pPr>
              <w:spacing w:after="40"/>
            </w:pPr>
            <w:r>
              <w:rPr>
                <w:sz w:val="16"/>
              </w:rPr>
              <w:t>Dataset, simulator, HIL, real vehicle</w:t>
            </w:r>
          </w:p>
        </w:tc>
      </w:tr>
      <w:tr>
        <w:tc>
          <w:tcPr>
            <w:tcW w:type="dxa" w:w="5112"/>
            <w:vAlign w:val="top"/>
          </w:tcPr>
          <w:p>
            <w:pPr>
              <w:spacing w:after="40"/>
            </w:pPr>
            <w:r>
              <w:rPr>
                <w:sz w:val="16"/>
              </w:rPr>
              <w:t>Result</w:t>
            </w:r>
          </w:p>
        </w:tc>
        <w:tc>
          <w:tcPr>
            <w:tcW w:type="dxa" w:w="5112"/>
            <w:vAlign w:val="top"/>
          </w:tcPr>
          <w:p>
            <w:pPr>
              <w:spacing w:after="40"/>
            </w:pPr>
            <w:r>
              <w:rPr>
                <w:sz w:val="16"/>
              </w:rPr>
              <w:t>Measured outcome</w:t>
            </w:r>
          </w:p>
        </w:tc>
      </w:tr>
      <w:tr>
        <w:tc>
          <w:tcPr>
            <w:tcW w:type="dxa" w:w="5112"/>
            <w:vAlign w:val="top"/>
          </w:tcPr>
          <w:p>
            <w:pPr>
              <w:spacing w:after="40"/>
            </w:pPr>
            <w:r>
              <w:rPr>
                <w:sz w:val="16"/>
              </w:rPr>
              <w:t>Limitation</w:t>
            </w:r>
          </w:p>
        </w:tc>
        <w:tc>
          <w:tcPr>
            <w:tcW w:type="dxa" w:w="5112"/>
            <w:vAlign w:val="top"/>
          </w:tcPr>
          <w:p>
            <w:pPr>
              <w:spacing w:after="40"/>
            </w:pPr>
            <w:r>
              <w:rPr>
                <w:sz w:val="16"/>
              </w:rPr>
              <w:t>Explicit or inferred limitation; label inference</w:t>
            </w:r>
          </w:p>
        </w:tc>
      </w:tr>
      <w:tr>
        <w:tc>
          <w:tcPr>
            <w:tcW w:type="dxa" w:w="5112"/>
            <w:vAlign w:val="top"/>
          </w:tcPr>
          <w:p>
            <w:pPr>
              <w:spacing w:after="40"/>
            </w:pPr>
            <w:r>
              <w:rPr>
                <w:sz w:val="16"/>
              </w:rPr>
              <w:t>OTA stage</w:t>
            </w:r>
          </w:p>
        </w:tc>
        <w:tc>
          <w:tcPr>
            <w:tcW w:type="dxa" w:w="5112"/>
            <w:vAlign w:val="top"/>
          </w:tcPr>
          <w:p>
            <w:pPr>
              <w:spacing w:after="40"/>
            </w:pPr>
            <w:r>
              <w:rPr>
                <w:sz w:val="16"/>
              </w:rPr>
              <w:t>Pre-deployment / deployment / post-deployment</w:t>
            </w:r>
          </w:p>
        </w:tc>
      </w:tr>
      <w:tr>
        <w:tc>
          <w:tcPr>
            <w:tcW w:type="dxa" w:w="5112"/>
            <w:vAlign w:val="top"/>
          </w:tcPr>
          <w:p>
            <w:pPr>
              <w:spacing w:after="40"/>
            </w:pPr>
            <w:r>
              <w:rPr>
                <w:sz w:val="16"/>
              </w:rPr>
              <w:t>Safety</w:t>
            </w:r>
          </w:p>
        </w:tc>
        <w:tc>
          <w:tcPr>
            <w:tcW w:type="dxa" w:w="5112"/>
            <w:vAlign w:val="top"/>
          </w:tcPr>
          <w:p>
            <w:pPr>
              <w:spacing w:after="40"/>
            </w:pPr>
            <w:r>
              <w:rPr>
                <w:sz w:val="16"/>
              </w:rPr>
              <w:t>What safety aspect is covered?</w:t>
            </w:r>
          </w:p>
        </w:tc>
      </w:tr>
      <w:tr>
        <w:tc>
          <w:tcPr>
            <w:tcW w:type="dxa" w:w="5112"/>
            <w:vAlign w:val="top"/>
          </w:tcPr>
          <w:p>
            <w:pPr>
              <w:spacing w:after="40"/>
            </w:pPr>
            <w:r>
              <w:rPr>
                <w:sz w:val="16"/>
              </w:rPr>
              <w:t>Security</w:t>
            </w:r>
          </w:p>
        </w:tc>
        <w:tc>
          <w:tcPr>
            <w:tcW w:type="dxa" w:w="5112"/>
            <w:vAlign w:val="top"/>
          </w:tcPr>
          <w:p>
            <w:pPr>
              <w:spacing w:after="40"/>
            </w:pPr>
            <w:r>
              <w:rPr>
                <w:sz w:val="16"/>
              </w:rPr>
              <w:t>What security aspect is covered?</w:t>
            </w:r>
          </w:p>
        </w:tc>
      </w:tr>
      <w:tr>
        <w:tc>
          <w:tcPr>
            <w:tcW w:type="dxa" w:w="5112"/>
            <w:vAlign w:val="top"/>
          </w:tcPr>
          <w:p>
            <w:pPr>
              <w:spacing w:after="40"/>
            </w:pPr>
            <w:r>
              <w:rPr>
                <w:sz w:val="16"/>
              </w:rPr>
              <w:t>Runtime</w:t>
            </w:r>
          </w:p>
        </w:tc>
        <w:tc>
          <w:tcPr>
            <w:tcW w:type="dxa" w:w="5112"/>
            <w:vAlign w:val="top"/>
          </w:tcPr>
          <w:p>
            <w:pPr>
              <w:spacing w:after="40"/>
            </w:pPr>
            <w:r>
              <w:rPr>
                <w:sz w:val="16"/>
              </w:rPr>
              <w:t>What is monitored after deployment?</w:t>
            </w:r>
          </w:p>
        </w:tc>
      </w:tr>
      <w:tr>
        <w:tc>
          <w:tcPr>
            <w:tcW w:type="dxa" w:w="5112"/>
            <w:vAlign w:val="top"/>
          </w:tcPr>
          <w:p>
            <w:pPr>
              <w:spacing w:after="40"/>
            </w:pPr>
            <w:r>
              <w:rPr>
                <w:sz w:val="16"/>
              </w:rPr>
              <w:t>Recovery</w:t>
            </w:r>
          </w:p>
        </w:tc>
        <w:tc>
          <w:tcPr>
            <w:tcW w:type="dxa" w:w="5112"/>
            <w:vAlign w:val="top"/>
          </w:tcPr>
          <w:p>
            <w:pPr>
              <w:spacing w:after="40"/>
            </w:pPr>
            <w:r>
              <w:rPr>
                <w:sz w:val="16"/>
              </w:rPr>
              <w:t>Rollback/degradation/other?</w:t>
            </w:r>
          </w:p>
        </w:tc>
      </w:tr>
      <w:tr>
        <w:tc>
          <w:tcPr>
            <w:tcW w:type="dxa" w:w="5112"/>
            <w:vAlign w:val="top"/>
          </w:tcPr>
          <w:p>
            <w:pPr>
              <w:spacing w:after="40"/>
            </w:pPr>
            <w:r>
              <w:rPr>
                <w:sz w:val="16"/>
              </w:rPr>
              <w:t>Gap relation</w:t>
            </w:r>
          </w:p>
        </w:tc>
        <w:tc>
          <w:tcPr>
            <w:tcW w:type="dxa" w:w="5112"/>
            <w:vAlign w:val="top"/>
          </w:tcPr>
          <w:p>
            <w:pPr>
              <w:spacing w:after="40"/>
            </w:pPr>
            <w:r>
              <w:rPr>
                <w:sz w:val="16"/>
              </w:rPr>
              <w:t>Why it matters to RAVEN</w:t>
            </w:r>
          </w:p>
        </w:tc>
      </w:tr>
      <w:tr>
        <w:tc>
          <w:tcPr>
            <w:tcW w:type="dxa" w:w="5112"/>
            <w:vAlign w:val="top"/>
          </w:tcPr>
          <w:p>
            <w:pPr>
              <w:spacing w:after="40"/>
            </w:pPr>
            <w:r>
              <w:rPr>
                <w:sz w:val="16"/>
              </w:rPr>
              <w:t>Patent overlap</w:t>
            </w:r>
          </w:p>
        </w:tc>
        <w:tc>
          <w:tcPr>
            <w:tcW w:type="dxa" w:w="5112"/>
            <w:vAlign w:val="top"/>
          </w:tcPr>
          <w:p>
            <w:pPr>
              <w:spacing w:after="40"/>
            </w:pPr>
            <w:r>
              <w:rPr>
                <w:sz w:val="16"/>
              </w:rPr>
              <w:t>Potential overlap</w:t>
            </w:r>
          </w:p>
        </w:tc>
      </w:tr>
      <w:tr>
        <w:tc>
          <w:tcPr>
            <w:tcW w:type="dxa" w:w="5112"/>
            <w:vAlign w:val="top"/>
          </w:tcPr>
          <w:p>
            <w:pPr>
              <w:spacing w:after="40"/>
            </w:pPr>
            <w:r>
              <w:rPr>
                <w:sz w:val="16"/>
              </w:rPr>
              <w:t>Decision</w:t>
            </w:r>
          </w:p>
        </w:tc>
        <w:tc>
          <w:tcPr>
            <w:tcW w:type="dxa" w:w="5112"/>
            <w:vAlign w:val="top"/>
          </w:tcPr>
          <w:p>
            <w:pPr>
              <w:spacing w:after="40"/>
            </w:pPr>
            <w:r>
              <w:rPr>
                <w:sz w:val="16"/>
              </w:rPr>
              <w:t>Keep / background / exclude</w:t>
            </w:r>
          </w:p>
        </w:tc>
      </w:tr>
    </w:tbl>
    <w:p>
      <w:pPr>
        <w:pStyle w:val="Heading2"/>
      </w:pPr>
      <w:r>
        <w:t>Recommended search strings</w:t>
      </w:r>
    </w:p>
    <w:p>
      <w:pPr>
        <w:pStyle w:val="ListBullet"/>
        <w:spacing w:after="40"/>
      </w:pPr>
      <w:r>
        <w:t>"over-the-air" AND vehicle AND "runtime assurance"</w:t>
      </w:r>
    </w:p>
    <w:p>
      <w:pPr>
        <w:pStyle w:val="ListBullet"/>
        <w:spacing w:after="40"/>
      </w:pPr>
      <w:r>
        <w:t>"OTA" AND "software-defined vehicle" AND safety AND 2026</w:t>
      </w:r>
    </w:p>
    <w:p>
      <w:pPr>
        <w:pStyle w:val="ListBullet"/>
        <w:spacing w:after="40"/>
      </w:pPr>
      <w:r>
        <w:t>"post-deployment" AND vehicle software AND safety</w:t>
      </w:r>
    </w:p>
    <w:p>
      <w:pPr>
        <w:pStyle w:val="ListBullet"/>
        <w:spacing w:after="40"/>
      </w:pPr>
      <w:r>
        <w:t>"runtime safety envelope" AND automotive</w:t>
      </w:r>
    </w:p>
    <w:p>
      <w:pPr>
        <w:pStyle w:val="ListBullet"/>
        <w:spacing w:after="40"/>
      </w:pPr>
      <w:r>
        <w:t>"safety contract" AND OTA AND vehicle</w:t>
      </w:r>
    </w:p>
    <w:p>
      <w:pPr>
        <w:pStyle w:val="ListBullet"/>
        <w:spacing w:after="40"/>
      </w:pPr>
      <w:r>
        <w:t>"continuous assurance" AND software-defined vehicle</w:t>
      </w:r>
    </w:p>
    <w:p>
      <w:pPr>
        <w:pStyle w:val="ListBullet"/>
        <w:spacing w:after="40"/>
      </w:pPr>
      <w:r>
        <w:t>"OTA" AND anomaly detection AND rollback AND vehicle</w:t>
      </w:r>
    </w:p>
    <w:p>
      <w:pPr>
        <w:pStyle w:val="ListBullet"/>
        <w:spacing w:after="40"/>
      </w:pPr>
      <w:r>
        <w:t>"software update" AND causal inference AND vehicle</w:t>
      </w:r>
    </w:p>
    <w:p>
      <w:pPr>
        <w:pStyle w:val="ListBullet"/>
        <w:spacing w:after="40"/>
      </w:pPr>
      <w:r>
        <w:t>"OTA" AND ECU dependency AND scheduling</w:t>
      </w:r>
    </w:p>
    <w:p>
      <w:pPr>
        <w:pStyle w:val="ListBullet"/>
        <w:spacing w:after="40"/>
      </w:pPr>
      <w:r>
        <w:t>"OTA" AND runtime resource AND CPU AND CAN</w:t>
      </w:r>
    </w:p>
    <w:p>
      <w:r>
        <w:br w:type="page"/>
      </w:r>
    </w:p>
    <w:p>
      <w:pPr>
        <w:pStyle w:val="Heading1"/>
      </w:pPr>
      <w:r>
        <w:t>26. Final Research Position</w:t>
      </w:r>
    </w:p>
    <w:p>
      <w:pPr>
        <w:pStyle w:val="Heading2"/>
      </w:pPr>
      <w:r>
        <w:t>Recommended project statement</w:t>
      </w:r>
    </w:p>
    <w:p>
      <w:pPr>
        <w:spacing w:after="100"/>
      </w:pPr>
      <w:r>
        <w:t>RAVEN-OTA investigates whether verified OTA safety and timing assumptions can be transformed into a machine-checkable Runtime Safety Envelope that remains linked to the deployed software version and is continuously evaluated against changing vehicle, compute and communication conditions, with predictive and graduated response.</w:t>
      </w:r>
    </w:p>
    <w:p>
      <w:pPr>
        <w:pStyle w:val="Heading2"/>
      </w:pPr>
      <w:r>
        <w:t>Why this is a stronger direction than the rejected ideas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40"/>
            </w:pPr>
            <w:r>
              <w:rPr>
                <w:b/>
                <w:sz w:val="16"/>
              </w:rPr>
              <w:t>Rejected/weak direction</w:t>
            </w:r>
          </w:p>
        </w:tc>
        <w:tc>
          <w:tcPr>
            <w:tcW w:type="dxa" w:w="3408"/>
            <w:vAlign w:val="center"/>
          </w:tcPr>
          <w:p>
            <w:pPr>
              <w:spacing w:after="40"/>
            </w:pPr>
            <w:r>
              <w:rPr>
                <w:b/>
                <w:sz w:val="16"/>
              </w:rPr>
              <w:t>Why weak</w:t>
            </w:r>
          </w:p>
        </w:tc>
        <w:tc>
          <w:tcPr>
            <w:tcW w:type="dxa" w:w="3408"/>
            <w:vAlign w:val="center"/>
          </w:tcPr>
          <w:p>
            <w:pPr>
              <w:spacing w:after="40"/>
            </w:pPr>
            <w:r>
              <w:rPr>
                <w:b/>
                <w:sz w:val="16"/>
              </w:rPr>
              <w:t>RAVEN change</w:t>
            </w:r>
          </w:p>
        </w:tc>
      </w:tr>
      <w:tr>
        <w:tc>
          <w:tcPr>
            <w:tcW w:type="dxa" w:w="3408"/>
            <w:vAlign w:val="top"/>
          </w:tcPr>
          <w:p>
            <w:pPr>
              <w:spacing w:after="40"/>
            </w:pPr>
            <w:r>
              <w:rPr>
                <w:sz w:val="16"/>
              </w:rPr>
              <w:t>Runtime-aware OTA installation</w:t>
            </w:r>
          </w:p>
        </w:tc>
        <w:tc>
          <w:tcPr>
            <w:tcW w:type="dxa" w:w="3408"/>
            <w:vAlign w:val="top"/>
          </w:tcPr>
          <w:p>
            <w:pPr>
              <w:spacing w:after="40"/>
            </w:pPr>
            <w:r>
              <w:rPr>
                <w:sz w:val="16"/>
              </w:rPr>
              <w:t>Already addressed by resource-aware OTA systems/patents.</w:t>
            </w:r>
          </w:p>
        </w:tc>
        <w:tc>
          <w:tcPr>
            <w:tcW w:type="dxa" w:w="3408"/>
            <w:vAlign w:val="top"/>
          </w:tcPr>
          <w:p>
            <w:pPr>
              <w:spacing w:after="40"/>
            </w:pPr>
            <w:r>
              <w:rPr>
                <w:sz w:val="16"/>
              </w:rPr>
              <w:t>Focus on post-deployment validity of verification assumptions.</w:t>
            </w:r>
          </w:p>
        </w:tc>
      </w:tr>
      <w:tr>
        <w:tc>
          <w:tcPr>
            <w:tcW w:type="dxa" w:w="3408"/>
            <w:vAlign w:val="top"/>
          </w:tcPr>
          <w:p>
            <w:pPr>
              <w:spacing w:after="40"/>
            </w:pPr>
            <w:r>
              <w:rPr>
                <w:sz w:val="16"/>
              </w:rPr>
              <w:t>Post-OTA anomaly + rollback</w:t>
            </w:r>
          </w:p>
        </w:tc>
        <w:tc>
          <w:tcPr>
            <w:tcW w:type="dxa" w:w="3408"/>
            <w:vAlign w:val="top"/>
          </w:tcPr>
          <w:p>
            <w:pPr>
              <w:spacing w:after="40"/>
            </w:pPr>
            <w:r>
              <w:rPr>
                <w:sz w:val="16"/>
              </w:rPr>
              <w:t>Existing research/patents.</w:t>
            </w:r>
          </w:p>
        </w:tc>
        <w:tc>
          <w:tcPr>
            <w:tcW w:type="dxa" w:w="3408"/>
            <w:vAlign w:val="top"/>
          </w:tcPr>
          <w:p>
            <w:pPr>
              <w:spacing w:after="40"/>
            </w:pPr>
            <w:r>
              <w:rPr>
                <w:sz w:val="16"/>
              </w:rPr>
              <w:t>Make anomaly evidence subordinate to version-specific verified envelope.</w:t>
            </w:r>
          </w:p>
        </w:tc>
      </w:tr>
      <w:tr>
        <w:tc>
          <w:tcPr>
            <w:tcW w:type="dxa" w:w="3408"/>
            <w:vAlign w:val="top"/>
          </w:tcPr>
          <w:p>
            <w:pPr>
              <w:spacing w:after="40"/>
            </w:pPr>
            <w:r>
              <w:rPr>
                <w:sz w:val="16"/>
              </w:rPr>
              <w:t>Causal OTA attribution</w:t>
            </w:r>
          </w:p>
        </w:tc>
        <w:tc>
          <w:tcPr>
            <w:tcW w:type="dxa" w:w="3408"/>
            <w:vAlign w:val="top"/>
          </w:tcPr>
          <w:p>
            <w:pPr>
              <w:spacing w:after="40"/>
            </w:pPr>
            <w:r>
              <w:rPr>
                <w:sz w:val="16"/>
              </w:rPr>
              <w:t>Direct prior art exists.</w:t>
            </w:r>
          </w:p>
        </w:tc>
        <w:tc>
          <w:tcPr>
            <w:tcW w:type="dxa" w:w="3408"/>
            <w:vAlign w:val="top"/>
          </w:tcPr>
          <w:p>
            <w:pPr>
              <w:spacing w:after="40"/>
            </w:pPr>
            <w:r>
              <w:rPr>
                <w:sz w:val="16"/>
              </w:rPr>
              <w:t>Use causality only as optional evidence, not core novelty.</w:t>
            </w:r>
          </w:p>
        </w:tc>
      </w:tr>
      <w:tr>
        <w:tc>
          <w:tcPr>
            <w:tcW w:type="dxa" w:w="3408"/>
            <w:vAlign w:val="top"/>
          </w:tcPr>
          <w:p>
            <w:pPr>
              <w:spacing w:after="40"/>
            </w:pPr>
            <w:r>
              <w:rPr>
                <w:sz w:val="16"/>
              </w:rPr>
              <w:t>Selective rollback</w:t>
            </w:r>
          </w:p>
        </w:tc>
        <w:tc>
          <w:tcPr>
            <w:tcW w:type="dxa" w:w="3408"/>
            <w:vAlign w:val="top"/>
          </w:tcPr>
          <w:p>
            <w:pPr>
              <w:spacing w:after="40"/>
            </w:pPr>
            <w:r>
              <w:rPr>
                <w:sz w:val="16"/>
              </w:rPr>
              <w:t>Existing multi-ECU recovery prior art.</w:t>
            </w:r>
          </w:p>
        </w:tc>
        <w:tc>
          <w:tcPr>
            <w:tcW w:type="dxa" w:w="3408"/>
            <w:vAlign w:val="top"/>
          </w:tcPr>
          <w:p>
            <w:pPr>
              <w:spacing w:after="40"/>
            </w:pPr>
            <w:r>
              <w:rPr>
                <w:sz w:val="16"/>
              </w:rPr>
              <w:t>Treat recovery as one policy action, not invention core.</w:t>
            </w:r>
          </w:p>
        </w:tc>
      </w:tr>
      <w:tr>
        <w:tc>
          <w:tcPr>
            <w:tcW w:type="dxa" w:w="3408"/>
            <w:vAlign w:val="top"/>
          </w:tcPr>
          <w:p>
            <w:pPr>
              <w:spacing w:after="40"/>
            </w:pPr>
            <w:r>
              <w:rPr>
                <w:sz w:val="16"/>
              </w:rPr>
              <w:t>Generic battery/route optimization</w:t>
            </w:r>
          </w:p>
        </w:tc>
        <w:tc>
          <w:tcPr>
            <w:tcW w:type="dxa" w:w="3408"/>
            <w:vAlign w:val="top"/>
          </w:tcPr>
          <w:p>
            <w:pPr>
              <w:spacing w:after="40"/>
            </w:pPr>
            <w:r>
              <w:rPr>
                <w:sz w:val="16"/>
              </w:rPr>
              <w:t>Strong 2026 fleet-aging literature exists.</w:t>
            </w:r>
          </w:p>
        </w:tc>
        <w:tc>
          <w:tcPr>
            <w:tcW w:type="dxa" w:w="3408"/>
            <w:vAlign w:val="top"/>
          </w:tcPr>
          <w:p>
            <w:pPr>
              <w:spacing w:after="40"/>
            </w:pPr>
            <w:r>
              <w:rPr>
                <w:sz w:val="16"/>
              </w:rPr>
              <w:t>Separate routing project; do not mix with OTA paper.</w:t>
            </w:r>
          </w:p>
        </w:tc>
      </w:tr>
    </w:tbl>
    <w:p>
      <w:pPr>
        <w:pStyle w:val="Heading2"/>
      </w:pPr>
      <w:r>
        <w:t>Go / no-go criteria</w:t>
      </w:r>
    </w:p>
    <w:p>
      <w:pPr>
        <w:pStyle w:val="ListBullet"/>
        <w:spacing w:after="40"/>
      </w:pPr>
      <w:r>
        <w:t>GO if a final claim-level search finds no close single reference combining the exact verification-to-envelope-to-runtime-evidence chain and the proposed response mechanism, and the prototype shows measurable benefit.</w:t>
      </w:r>
    </w:p>
    <w:p>
      <w:pPr>
        <w:pStyle w:val="ListBullet"/>
        <w:spacing w:after="40"/>
      </w:pPr>
      <w:r>
        <w:t>REFRAME if prior art covers the full envelope mechanism; narrow to a more specific technical contribution such as version-bound timing-margin prediction or evidence-chain generation.</w:t>
      </w:r>
    </w:p>
    <w:p>
      <w:pPr>
        <w:pStyle w:val="ListBullet"/>
        <w:spacing w:after="40"/>
      </w:pPr>
      <w:r>
        <w:t>NO-GO for patent novelty if a close patent already teaches the same combination. The research paper can still be valuable if the evaluation and scientific contribution are strong.</w:t>
      </w:r>
    </w:p>
    <w:p>
      <w:pPr>
        <w:pStyle w:val="Heading2"/>
      </w:pPr>
      <w:r>
        <w:t>Immediate next steps</w:t>
      </w:r>
    </w:p>
    <w:p>
      <w:pPr>
        <w:pStyle w:val="ListBullet"/>
        <w:spacing w:after="40"/>
      </w:pPr>
      <w:r>
        <w:t>Freeze the exact RAVEN-OTA architecture and vocabulary.</w:t>
      </w:r>
    </w:p>
    <w:p>
      <w:pPr>
        <w:pStyle w:val="ListBullet"/>
        <w:spacing w:after="40"/>
      </w:pPr>
      <w:r>
        <w:t>Build the final 2024–2026 literature matrix with 20+ papers.</w:t>
      </w:r>
    </w:p>
    <w:p>
      <w:pPr>
        <w:pStyle w:val="ListBullet"/>
        <w:spacing w:after="40"/>
      </w:pPr>
      <w:r>
        <w:t>Run a dedicated patent-family search for each candidate claim element.</w:t>
      </w:r>
    </w:p>
    <w:p>
      <w:pPr>
        <w:pStyle w:val="ListBullet"/>
        <w:spacing w:after="40"/>
      </w:pPr>
      <w:r>
        <w:t>Implement the minimum prototype before adding advanced ML.</w:t>
      </w:r>
    </w:p>
    <w:p>
      <w:pPr>
        <w:pStyle w:val="ListBullet"/>
        <w:spacing w:after="40"/>
      </w:pPr>
      <w:r>
        <w:t>Define scenarios, baselines and success metrics before collecting results.</w:t>
      </w:r>
    </w:p>
    <w:p>
      <w:pPr>
        <w:pStyle w:val="ListBullet"/>
        <w:spacing w:after="40"/>
      </w:pPr>
      <w:r>
        <w:t>Only after measured evidence, write the final paper and patent disclosure.</w:t>
      </w:r>
    </w:p>
    <w:p>
      <w:pPr>
        <w:spacing w:after="100"/>
      </w:pPr>
      <w:r>
        <w:t>End of document.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planning document • Current evidence must be re-checked before publication/patent filing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RAVEN-OTA — Full Research, Gap Analysis, Architecture &amp;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