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9F1" w:rsidRPr="00006994" w:rsidRDefault="002169F1" w:rsidP="00D83289">
      <w:pPr>
        <w:spacing w:beforeLines="0" w:afterLines="0" w:line="288" w:lineRule="auto"/>
        <w:jc w:val="center"/>
        <w:rPr>
          <w:rFonts w:cstheme="minorHAnsi"/>
          <w:b/>
          <w:sz w:val="28"/>
          <w:szCs w:val="28"/>
          <w:shd w:val="clear" w:color="auto" w:fill="FFFFFF"/>
        </w:rPr>
      </w:pPr>
      <w:r w:rsidRPr="00006994">
        <w:rPr>
          <w:rFonts w:cstheme="minorHAnsi"/>
          <w:b/>
          <w:sz w:val="28"/>
          <w:szCs w:val="28"/>
          <w:shd w:val="clear" w:color="auto" w:fill="FFFFFF"/>
        </w:rPr>
        <w:t>GRUPOS DE ACCIÓN LOCAL</w:t>
      </w:r>
      <w:r w:rsidR="00D83289">
        <w:rPr>
          <w:rFonts w:cstheme="minorHAnsi"/>
          <w:b/>
          <w:sz w:val="28"/>
          <w:szCs w:val="28"/>
          <w:shd w:val="clear" w:color="auto" w:fill="FFFFFF"/>
        </w:rPr>
        <w:t>. Ribeira Sacra - Courel</w:t>
      </w:r>
    </w:p>
    <w:p w:rsidR="00985A37" w:rsidRDefault="00985A37" w:rsidP="00D83289">
      <w:pPr>
        <w:spacing w:beforeLines="0" w:afterLines="0" w:line="288" w:lineRule="auto"/>
        <w:rPr>
          <w:rFonts w:cstheme="minorHAnsi"/>
          <w:color w:val="212529"/>
          <w:shd w:val="clear" w:color="auto" w:fill="FFFFFF"/>
        </w:rPr>
      </w:pPr>
    </w:p>
    <w:p w:rsidR="008E1B51" w:rsidRDefault="0014026C" w:rsidP="00D83289">
      <w:pPr>
        <w:spacing w:beforeLines="0" w:afterLines="0" w:line="288" w:lineRule="auto"/>
        <w:rPr>
          <w:rFonts w:cstheme="minorHAnsi"/>
          <w:color w:val="212529"/>
          <w:shd w:val="clear" w:color="auto" w:fill="FFFFFF"/>
        </w:rPr>
      </w:pPr>
      <w:r w:rsidRPr="002169F1">
        <w:rPr>
          <w:rFonts w:cstheme="minorHAnsi"/>
          <w:color w:val="212529"/>
          <w:shd w:val="clear" w:color="auto" w:fill="FFFFFF"/>
        </w:rPr>
        <w:t>Los</w:t>
      </w:r>
      <w:r w:rsidR="002169F1">
        <w:rPr>
          <w:rFonts w:cstheme="minorHAnsi"/>
          <w:color w:val="212529"/>
          <w:shd w:val="clear" w:color="auto" w:fill="FFFFFF"/>
        </w:rPr>
        <w:t xml:space="preserve"> </w:t>
      </w:r>
      <w:r w:rsidRPr="002738E8">
        <w:rPr>
          <w:rStyle w:val="Textoennegrita"/>
          <w:rFonts w:cstheme="minorHAnsi"/>
          <w:b w:val="0"/>
          <w:color w:val="212529"/>
          <w:shd w:val="clear" w:color="auto" w:fill="FFFFFF"/>
        </w:rPr>
        <w:t xml:space="preserve">Grupos de Acción Local </w:t>
      </w:r>
      <w:r w:rsidRPr="002169F1">
        <w:rPr>
          <w:rStyle w:val="Textoennegrita"/>
          <w:rFonts w:cstheme="minorHAnsi"/>
          <w:color w:val="212529"/>
          <w:shd w:val="clear" w:color="auto" w:fill="FFFFFF"/>
        </w:rPr>
        <w:t>(GAL)</w:t>
      </w:r>
      <w:r w:rsidR="002738E8">
        <w:rPr>
          <w:rStyle w:val="Textoennegrita"/>
          <w:rFonts w:cstheme="minorHAnsi"/>
          <w:color w:val="212529"/>
          <w:shd w:val="clear" w:color="auto" w:fill="FFFFFF"/>
        </w:rPr>
        <w:t xml:space="preserve"> </w:t>
      </w:r>
      <w:r w:rsidRPr="002169F1">
        <w:rPr>
          <w:rFonts w:cstheme="minorHAnsi"/>
          <w:color w:val="212529"/>
          <w:shd w:val="clear" w:color="auto" w:fill="FFFFFF"/>
        </w:rPr>
        <w:t>o</w:t>
      </w:r>
      <w:r w:rsidR="002169F1">
        <w:rPr>
          <w:rFonts w:cstheme="minorHAnsi"/>
          <w:color w:val="212529"/>
          <w:shd w:val="clear" w:color="auto" w:fill="FFFFFF"/>
        </w:rPr>
        <w:t xml:space="preserve"> </w:t>
      </w:r>
      <w:r w:rsidRPr="002738E8">
        <w:rPr>
          <w:rStyle w:val="Textoennegrita"/>
          <w:rFonts w:cstheme="minorHAnsi"/>
          <w:b w:val="0"/>
          <w:color w:val="212529"/>
          <w:shd w:val="clear" w:color="auto" w:fill="FFFFFF"/>
        </w:rPr>
        <w:t>Grupos de Desarrollo Rural</w:t>
      </w:r>
      <w:r w:rsidR="002169F1">
        <w:rPr>
          <w:rStyle w:val="Textoennegrita"/>
          <w:rFonts w:cstheme="minorHAnsi"/>
          <w:color w:val="212529"/>
          <w:shd w:val="clear" w:color="auto" w:fill="FFFFFF"/>
        </w:rPr>
        <w:t xml:space="preserve"> </w:t>
      </w:r>
      <w:r w:rsidR="009D15E9">
        <w:rPr>
          <w:rStyle w:val="Textoennegrita"/>
          <w:rFonts w:cstheme="minorHAnsi"/>
          <w:color w:val="212529"/>
          <w:shd w:val="clear" w:color="auto" w:fill="FFFFFF"/>
        </w:rPr>
        <w:t xml:space="preserve">(GDR) </w:t>
      </w:r>
      <w:r w:rsidRPr="002169F1">
        <w:rPr>
          <w:rFonts w:cstheme="minorHAnsi"/>
          <w:color w:val="212529"/>
          <w:shd w:val="clear" w:color="auto" w:fill="FFFFFF"/>
        </w:rPr>
        <w:t>son asociaciones público-privadas sin ánimo de lucro, con funcionamiento asambleario y de ámbito comarcal cuya función principal es el diseño, puesta en marcha y gestión de las</w:t>
      </w:r>
      <w:r w:rsidR="002169F1">
        <w:rPr>
          <w:rFonts w:cstheme="minorHAnsi"/>
          <w:color w:val="212529"/>
          <w:shd w:val="clear" w:color="auto" w:fill="FFFFFF"/>
        </w:rPr>
        <w:t xml:space="preserve"> </w:t>
      </w:r>
      <w:r w:rsidRPr="002169F1">
        <w:rPr>
          <w:rStyle w:val="Textoennegrita"/>
          <w:rFonts w:cstheme="minorHAnsi"/>
          <w:b w:val="0"/>
          <w:color w:val="212529"/>
          <w:shd w:val="clear" w:color="auto" w:fill="FFFFFF"/>
        </w:rPr>
        <w:t>Estrategias de Desarrollo Local Participativo</w:t>
      </w:r>
      <w:r w:rsidR="002169F1">
        <w:rPr>
          <w:rFonts w:cstheme="minorHAnsi"/>
          <w:color w:val="212529"/>
          <w:shd w:val="clear" w:color="auto" w:fill="FFFFFF"/>
        </w:rPr>
        <w:t xml:space="preserve"> </w:t>
      </w:r>
      <w:r w:rsidRPr="002169F1">
        <w:rPr>
          <w:rFonts w:cstheme="minorHAnsi"/>
          <w:color w:val="212529"/>
          <w:shd w:val="clear" w:color="auto" w:fill="FFFFFF"/>
        </w:rPr>
        <w:t>(</w:t>
      </w:r>
      <w:r w:rsidRPr="00006994">
        <w:rPr>
          <w:rFonts w:cstheme="minorHAnsi"/>
          <w:shd w:val="clear" w:color="auto" w:fill="FFFFFF"/>
        </w:rPr>
        <w:t>EDLP</w:t>
      </w:r>
      <w:r w:rsidR="002169F1">
        <w:rPr>
          <w:rFonts w:cstheme="minorHAnsi"/>
          <w:color w:val="212529"/>
          <w:shd w:val="clear" w:color="auto" w:fill="FFFFFF"/>
        </w:rPr>
        <w:t>).</w:t>
      </w:r>
    </w:p>
    <w:p w:rsidR="002169F1" w:rsidRPr="002738E8" w:rsidRDefault="002169F1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2738E8">
        <w:rPr>
          <w:rFonts w:asciiTheme="minorHAnsi" w:hAnsiTheme="minorHAnsi" w:cstheme="minorHAnsi"/>
          <w:color w:val="212529"/>
          <w:sz w:val="22"/>
          <w:szCs w:val="22"/>
        </w:rPr>
        <w:t>Las entidades representativas del tejido socioeconómico de la comarca, tanto públicas (Ayuntamientos y Mancomunidades) como privadas (asociaciones, colectivos y empresas), conforman los GAL.</w:t>
      </w:r>
    </w:p>
    <w:p w:rsidR="002169F1" w:rsidRPr="002738E8" w:rsidRDefault="002169F1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2738E8">
        <w:rPr>
          <w:rFonts w:asciiTheme="minorHAnsi" w:hAnsiTheme="minorHAnsi" w:cstheme="minorHAnsi"/>
          <w:color w:val="212529"/>
          <w:sz w:val="22"/>
          <w:szCs w:val="22"/>
        </w:rPr>
        <w:t>Las comunidades autónomas —que gestionan sus correspondientes Programas de Desarrollo Rural (PDR), en los que se incluyen las necesidades específicas de cada territorio en materia de desarrollo rural, seleccionan a los GAL a través de una convocatoria pública en cada periodo de programación.</w:t>
      </w:r>
    </w:p>
    <w:p w:rsidR="002169F1" w:rsidRPr="002738E8" w:rsidRDefault="002169F1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2738E8">
        <w:rPr>
          <w:rFonts w:asciiTheme="minorHAnsi" w:hAnsiTheme="minorHAnsi" w:cstheme="minorHAnsi"/>
          <w:color w:val="212529"/>
          <w:sz w:val="22"/>
          <w:szCs w:val="22"/>
        </w:rPr>
        <w:t>Los GAL están representados en la asamblea de la Red Rural Nacional a través de las dos redes estatales de GAL</w:t>
      </w:r>
      <w:r w:rsidRPr="002738E8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2738E8">
        <w:rPr>
          <w:rFonts w:asciiTheme="minorHAnsi" w:hAnsiTheme="minorHAnsi" w:cstheme="minorHAnsi"/>
          <w:sz w:val="22"/>
          <w:szCs w:val="22"/>
        </w:rPr>
        <w:t xml:space="preserve">la </w:t>
      </w:r>
      <w:hyperlink r:id="rId8" w:tgtFrame="_blank" w:history="1">
        <w:r w:rsidRPr="002738E8">
          <w:rPr>
            <w:rStyle w:val="Hipervnculo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Red Española de Desarrollo Rural</w:t>
        </w:r>
      </w:hyperlink>
      <w:r w:rsidRPr="002738E8">
        <w:rPr>
          <w:rStyle w:val="Textoennegrita"/>
          <w:rFonts w:asciiTheme="minorHAnsi" w:hAnsiTheme="minorHAnsi" w:cstheme="minorHAnsi"/>
          <w:sz w:val="22"/>
          <w:szCs w:val="22"/>
        </w:rPr>
        <w:t xml:space="preserve"> </w:t>
      </w:r>
      <w:r w:rsidRPr="002738E8">
        <w:rPr>
          <w:rFonts w:asciiTheme="minorHAnsi" w:hAnsiTheme="minorHAnsi" w:cstheme="minorHAnsi"/>
          <w:sz w:val="22"/>
          <w:szCs w:val="22"/>
        </w:rPr>
        <w:t xml:space="preserve">y la </w:t>
      </w:r>
      <w:hyperlink r:id="rId9" w:tgtFrame="_blank" w:history="1">
        <w:r w:rsidRPr="002738E8">
          <w:rPr>
            <w:rStyle w:val="Hipervnculo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Red Estatal de Desarrollo Rural</w:t>
        </w:r>
      </w:hyperlink>
      <w:r w:rsidRPr="002738E8">
        <w:rPr>
          <w:rFonts w:asciiTheme="minorHAnsi" w:hAnsiTheme="minorHAnsi" w:cstheme="minorHAnsi"/>
          <w:sz w:val="22"/>
          <w:szCs w:val="22"/>
        </w:rPr>
        <w:t>.</w:t>
      </w:r>
    </w:p>
    <w:p w:rsidR="002738E8" w:rsidRPr="00006994" w:rsidRDefault="002738E8" w:rsidP="00783DC8">
      <w:pPr>
        <w:pStyle w:val="NormalWeb"/>
        <w:shd w:val="clear" w:color="auto" w:fill="FFFFFF"/>
        <w:spacing w:before="240" w:beforeAutospacing="0" w:after="120" w:afterAutospacing="0" w:line="288" w:lineRule="auto"/>
        <w:jc w:val="both"/>
        <w:rPr>
          <w:rFonts w:ascii="Arial" w:hAnsi="Arial" w:cs="Arial"/>
          <w:sz w:val="22"/>
          <w:szCs w:val="22"/>
        </w:rPr>
      </w:pPr>
      <w:r w:rsidRPr="00006994">
        <w:rPr>
          <w:rStyle w:val="Textoennegrita"/>
          <w:rFonts w:ascii="Arial" w:hAnsi="Arial" w:cs="Arial"/>
          <w:sz w:val="22"/>
          <w:szCs w:val="22"/>
        </w:rPr>
        <w:t>Las Estrategias de Desarrollo Local Participativo (EDLP)</w:t>
      </w:r>
    </w:p>
    <w:p w:rsidR="002738E8" w:rsidRPr="002738E8" w:rsidRDefault="002738E8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2738E8">
        <w:rPr>
          <w:rFonts w:asciiTheme="minorHAnsi" w:hAnsiTheme="minorHAnsi" w:cstheme="minorHAnsi"/>
          <w:color w:val="212529"/>
          <w:sz w:val="22"/>
          <w:szCs w:val="22"/>
        </w:rPr>
        <w:t>Las</w:t>
      </w:r>
      <w:r>
        <w:rPr>
          <w:rFonts w:asciiTheme="minorHAnsi" w:hAnsiTheme="minorHAnsi" w:cstheme="minorHAnsi"/>
          <w:color w:val="212529"/>
          <w:sz w:val="22"/>
          <w:szCs w:val="22"/>
        </w:rPr>
        <w:t xml:space="preserve"> </w:t>
      </w:r>
      <w:r w:rsidRPr="002738E8"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>EDLP</w:t>
      </w:r>
      <w:r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 xml:space="preserve"> </w:t>
      </w:r>
      <w:r w:rsidRPr="002738E8">
        <w:rPr>
          <w:rFonts w:asciiTheme="minorHAnsi" w:hAnsiTheme="minorHAnsi" w:cstheme="minorHAnsi"/>
          <w:color w:val="212529"/>
          <w:sz w:val="22"/>
          <w:szCs w:val="22"/>
        </w:rPr>
        <w:t>persiguen</w:t>
      </w:r>
      <w:r>
        <w:rPr>
          <w:rFonts w:asciiTheme="minorHAnsi" w:hAnsiTheme="minorHAnsi" w:cstheme="minorHAnsi"/>
          <w:color w:val="212529"/>
          <w:sz w:val="22"/>
          <w:szCs w:val="22"/>
        </w:rPr>
        <w:t xml:space="preserve"> </w:t>
      </w:r>
      <w:r w:rsidRPr="002738E8"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>satisfacer las necesidades</w:t>
      </w:r>
      <w:r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 xml:space="preserve"> </w:t>
      </w:r>
      <w:r w:rsidRPr="002738E8">
        <w:rPr>
          <w:rFonts w:asciiTheme="minorHAnsi" w:hAnsiTheme="minorHAnsi" w:cstheme="minorHAnsi"/>
          <w:color w:val="212529"/>
          <w:sz w:val="22"/>
          <w:szCs w:val="22"/>
        </w:rPr>
        <w:t>económicas, sociales y medioambientales de</w:t>
      </w:r>
      <w:r>
        <w:rPr>
          <w:rFonts w:asciiTheme="minorHAnsi" w:hAnsiTheme="minorHAnsi" w:cstheme="minorHAnsi"/>
          <w:color w:val="212529"/>
          <w:sz w:val="22"/>
          <w:szCs w:val="22"/>
        </w:rPr>
        <w:t xml:space="preserve"> </w:t>
      </w:r>
      <w:r w:rsidRPr="002738E8"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>una comarca</w:t>
      </w:r>
      <w:r w:rsidRPr="002738E8">
        <w:rPr>
          <w:rFonts w:asciiTheme="minorHAnsi" w:hAnsiTheme="minorHAnsi" w:cstheme="minorHAnsi"/>
          <w:color w:val="212529"/>
          <w:sz w:val="22"/>
          <w:szCs w:val="22"/>
        </w:rPr>
        <w:t>, así como</w:t>
      </w:r>
      <w:r>
        <w:rPr>
          <w:rFonts w:asciiTheme="minorHAnsi" w:hAnsiTheme="minorHAnsi" w:cstheme="minorHAnsi"/>
          <w:color w:val="212529"/>
          <w:sz w:val="22"/>
          <w:szCs w:val="22"/>
        </w:rPr>
        <w:t xml:space="preserve"> </w:t>
      </w:r>
      <w:r w:rsidRPr="002738E8"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>reforzar y aumentar su potencial</w:t>
      </w:r>
      <w:r>
        <w:rPr>
          <w:rStyle w:val="Textoennegrita"/>
          <w:rFonts w:asciiTheme="minorHAnsi" w:hAnsiTheme="minorHAnsi" w:cstheme="minorHAnsi"/>
          <w:b w:val="0"/>
          <w:color w:val="212529"/>
          <w:sz w:val="22"/>
          <w:szCs w:val="22"/>
        </w:rPr>
        <w:t xml:space="preserve"> </w:t>
      </w:r>
      <w:r w:rsidRPr="002738E8">
        <w:rPr>
          <w:rFonts w:asciiTheme="minorHAnsi" w:hAnsiTheme="minorHAnsi" w:cstheme="minorHAnsi"/>
          <w:color w:val="212529"/>
          <w:sz w:val="22"/>
          <w:szCs w:val="22"/>
        </w:rPr>
        <w:t>a través de sus recursos endógenos, es decir, del propio territorio.</w:t>
      </w:r>
    </w:p>
    <w:p w:rsidR="002738E8" w:rsidRPr="002738E8" w:rsidRDefault="002738E8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2738E8">
        <w:rPr>
          <w:rFonts w:asciiTheme="minorHAnsi" w:hAnsiTheme="minorHAnsi" w:cstheme="minorHAnsi"/>
          <w:color w:val="212529"/>
          <w:sz w:val="22"/>
          <w:szCs w:val="22"/>
        </w:rPr>
        <w:t>Para ello, se analizan las debilidades, amenazas, fortalezas y oportunidades de la zona, a través de la implicación de los actores locales, dado su conocimiento del área y la importancia de que participen en su gobernanza. La estrategia se elabora conjuntamente, haciendo partícipe a la comunidad en su desarrollo.</w:t>
      </w:r>
    </w:p>
    <w:p w:rsidR="002738E8" w:rsidRPr="00783DC8" w:rsidRDefault="002738E8" w:rsidP="00BF34BC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783DC8">
        <w:rPr>
          <w:rFonts w:asciiTheme="minorHAnsi" w:hAnsiTheme="minorHAnsi" w:cstheme="minorHAnsi"/>
          <w:color w:val="212529"/>
          <w:sz w:val="22"/>
          <w:szCs w:val="22"/>
        </w:rPr>
        <w:t>Así, sus objetivos son la dinamización del área, la creación de infraestructuras, la generación de empresas y empleo y la permanencia y/o ampliación de la oferta de servicios.</w:t>
      </w:r>
    </w:p>
    <w:p w:rsidR="002738E8" w:rsidRPr="00783DC8" w:rsidRDefault="002738E8" w:rsidP="00783DC8">
      <w:pPr>
        <w:pStyle w:val="NormalWeb"/>
        <w:shd w:val="clear" w:color="auto" w:fill="FFFFFF"/>
        <w:spacing w:beforeAutospacing="0" w:after="120" w:afterAutospacing="0" w:line="288" w:lineRule="auto"/>
        <w:jc w:val="both"/>
        <w:rPr>
          <w:rFonts w:asciiTheme="minorHAnsi" w:hAnsiTheme="minorHAnsi" w:cstheme="minorHAnsi"/>
          <w:color w:val="212529"/>
          <w:sz w:val="22"/>
          <w:szCs w:val="22"/>
        </w:rPr>
      </w:pPr>
      <w:r w:rsidRPr="00783DC8">
        <w:rPr>
          <w:rFonts w:asciiTheme="minorHAnsi" w:hAnsiTheme="minorHAnsi" w:cstheme="minorHAnsi"/>
          <w:color w:val="212529"/>
          <w:sz w:val="22"/>
          <w:szCs w:val="22"/>
        </w:rPr>
        <w:t xml:space="preserve">En el siguiente mapa </w:t>
      </w:r>
      <w:r w:rsidR="0068535E" w:rsidRPr="00783DC8">
        <w:rPr>
          <w:rFonts w:asciiTheme="minorHAnsi" w:hAnsiTheme="minorHAnsi" w:cstheme="minorHAnsi"/>
          <w:color w:val="212529"/>
          <w:sz w:val="22"/>
          <w:szCs w:val="22"/>
        </w:rPr>
        <w:t xml:space="preserve">se pueden observar las 24 zonas de los </w:t>
      </w:r>
      <w:r w:rsidRPr="00783DC8">
        <w:rPr>
          <w:rFonts w:asciiTheme="minorHAnsi" w:hAnsiTheme="minorHAnsi" w:cstheme="minorHAnsi"/>
          <w:color w:val="212529"/>
          <w:sz w:val="22"/>
          <w:szCs w:val="22"/>
        </w:rPr>
        <w:t>GAL existentes en la actualidad</w:t>
      </w:r>
      <w:r w:rsidR="00CE3BBB" w:rsidRPr="00783DC8">
        <w:rPr>
          <w:rFonts w:asciiTheme="minorHAnsi" w:hAnsiTheme="minorHAnsi" w:cstheme="minorHAnsi"/>
          <w:color w:val="212529"/>
          <w:sz w:val="22"/>
          <w:szCs w:val="22"/>
        </w:rPr>
        <w:t xml:space="preserve"> en Galicia.</w:t>
      </w:r>
    </w:p>
    <w:p w:rsidR="0068535E" w:rsidRDefault="0068535E" w:rsidP="002738E8">
      <w:pPr>
        <w:spacing w:beforeLines="0" w:afterLines="0" w:line="288" w:lineRule="auto"/>
        <w:rPr>
          <w:rFonts w:cstheme="minorHAnsi"/>
        </w:rPr>
      </w:pPr>
      <w:r>
        <w:rPr>
          <w:rFonts w:cstheme="minorHAnsi"/>
          <w:noProof/>
          <w:lang w:eastAsia="es-ES"/>
        </w:rPr>
        <w:lastRenderedPageBreak/>
        <w:drawing>
          <wp:inline distT="0" distB="0" distL="0" distR="0">
            <wp:extent cx="5759450" cy="5979160"/>
            <wp:effectExtent l="19050" t="0" r="0" b="0"/>
            <wp:docPr id="1" name="0 Imagen" descr="Captura de pantalla 2024-04-11 10.47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4-04-11 10.47.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5E" w:rsidRDefault="0068535E" w:rsidP="00E51116">
      <w:pPr>
        <w:spacing w:beforeLines="0" w:afterLines="0" w:line="288" w:lineRule="auto"/>
        <w:rPr>
          <w:rFonts w:cstheme="minorHAnsi"/>
        </w:rPr>
      </w:pPr>
    </w:p>
    <w:p w:rsidR="0068535E" w:rsidRDefault="00D97D54" w:rsidP="0089374C">
      <w:pPr>
        <w:spacing w:beforeLines="0" w:afterLines="0" w:line="288" w:lineRule="auto"/>
        <w:rPr>
          <w:rFonts w:cstheme="minorHAnsi"/>
        </w:rPr>
      </w:pPr>
      <w:r>
        <w:rPr>
          <w:rFonts w:cstheme="minorHAnsi"/>
        </w:rPr>
        <w:t xml:space="preserve">GDR-06. </w:t>
      </w:r>
      <w:r w:rsidR="0068535E" w:rsidRPr="00335B0B">
        <w:rPr>
          <w:rFonts w:cstheme="minorHAnsi"/>
          <w:b/>
        </w:rPr>
        <w:t xml:space="preserve">GAL Ribeira Sacra </w:t>
      </w:r>
      <w:r w:rsidR="00830165" w:rsidRPr="00335B0B">
        <w:rPr>
          <w:rFonts w:cstheme="minorHAnsi"/>
          <w:b/>
        </w:rPr>
        <w:t>–</w:t>
      </w:r>
      <w:r w:rsidR="0068535E" w:rsidRPr="00335B0B">
        <w:rPr>
          <w:rFonts w:cstheme="minorHAnsi"/>
          <w:b/>
        </w:rPr>
        <w:t xml:space="preserve"> Courel</w:t>
      </w:r>
      <w:r w:rsidR="00830165">
        <w:rPr>
          <w:rFonts w:cstheme="minorHAnsi"/>
        </w:rPr>
        <w:t xml:space="preserve"> (</w:t>
      </w:r>
      <w:r w:rsidR="0068535E">
        <w:rPr>
          <w:rFonts w:cstheme="minorHAnsi"/>
        </w:rPr>
        <w:t>Lugo</w:t>
      </w:r>
      <w:r w:rsidR="00830165">
        <w:rPr>
          <w:rFonts w:cstheme="minorHAnsi"/>
        </w:rPr>
        <w:t>)</w:t>
      </w:r>
      <w:r w:rsidR="0068535E">
        <w:rPr>
          <w:rFonts w:cstheme="minorHAnsi"/>
        </w:rPr>
        <w:t xml:space="preserve">, engloba doce municipios, entre los que se encuentra la zona piloto de </w:t>
      </w:r>
      <w:r w:rsidR="0068535E" w:rsidRPr="00BF34BC">
        <w:rPr>
          <w:rFonts w:cstheme="minorHAnsi"/>
          <w:u w:val="single"/>
        </w:rPr>
        <w:t>Folgoso do Courel</w:t>
      </w:r>
      <w:r w:rsidR="0068535E">
        <w:rPr>
          <w:rFonts w:cstheme="minorHAnsi"/>
        </w:rPr>
        <w:t>.</w:t>
      </w:r>
      <w:r w:rsidR="00E51116">
        <w:rPr>
          <w:rFonts w:cstheme="minorHAnsi"/>
        </w:rPr>
        <w:t xml:space="preserve"> El número de habitantes </w:t>
      </w:r>
      <w:r w:rsidR="00455B58">
        <w:rPr>
          <w:rFonts w:cstheme="minorHAnsi"/>
        </w:rPr>
        <w:t xml:space="preserve">del GAL </w:t>
      </w:r>
      <w:r w:rsidR="00E51116">
        <w:rPr>
          <w:rFonts w:cstheme="minorHAnsi"/>
        </w:rPr>
        <w:t xml:space="preserve">es </w:t>
      </w:r>
      <w:r w:rsidR="00455B58">
        <w:rPr>
          <w:rFonts w:cstheme="minorHAnsi"/>
        </w:rPr>
        <w:t xml:space="preserve">de </w:t>
      </w:r>
      <w:r w:rsidR="00E51116">
        <w:rPr>
          <w:rFonts w:cstheme="minorHAnsi"/>
        </w:rPr>
        <w:t>40.901</w:t>
      </w:r>
      <w:r w:rsidR="00455B58">
        <w:rPr>
          <w:rFonts w:cstheme="minorHAnsi"/>
        </w:rPr>
        <w:t xml:space="preserve">, la superficie es de </w:t>
      </w:r>
      <w:r w:rsidR="00455B58" w:rsidRPr="00455B58">
        <w:rPr>
          <w:rFonts w:cstheme="minorHAnsi"/>
        </w:rPr>
        <w:t>1</w:t>
      </w:r>
      <w:r w:rsidR="00455B58">
        <w:rPr>
          <w:rFonts w:cstheme="minorHAnsi"/>
        </w:rPr>
        <w:t>.</w:t>
      </w:r>
      <w:r w:rsidR="00455B58" w:rsidRPr="00455B58">
        <w:rPr>
          <w:rFonts w:cstheme="minorHAnsi"/>
        </w:rPr>
        <w:t>963</w:t>
      </w:r>
      <w:r w:rsidR="00455B58">
        <w:rPr>
          <w:rFonts w:cstheme="minorHAnsi"/>
        </w:rPr>
        <w:t>,</w:t>
      </w:r>
      <w:r w:rsidR="00455B58" w:rsidRPr="00455B58">
        <w:rPr>
          <w:rFonts w:cstheme="minorHAnsi"/>
        </w:rPr>
        <w:t>3 km</w:t>
      </w:r>
      <w:r w:rsidR="00455B58">
        <w:rPr>
          <w:rFonts w:cstheme="minorHAnsi"/>
          <w:vertAlign w:val="superscript"/>
        </w:rPr>
        <w:t>2</w:t>
      </w:r>
      <w:r w:rsidR="0089374C">
        <w:rPr>
          <w:rFonts w:cstheme="minorHAnsi"/>
        </w:rPr>
        <w:t xml:space="preserve"> y l</w:t>
      </w:r>
      <w:r w:rsidR="00E51116">
        <w:rPr>
          <w:rFonts w:cstheme="minorHAnsi"/>
        </w:rPr>
        <w:t xml:space="preserve">a densidad de población (hab/km) es de </w:t>
      </w:r>
      <w:r w:rsidR="00E51116" w:rsidRPr="00783DC8">
        <w:rPr>
          <w:rFonts w:cstheme="minorHAnsi"/>
        </w:rPr>
        <w:t>20</w:t>
      </w:r>
      <w:r w:rsidR="00783DC8" w:rsidRPr="00783DC8">
        <w:rPr>
          <w:rFonts w:cstheme="minorHAnsi"/>
        </w:rPr>
        <w:t>,</w:t>
      </w:r>
      <w:r w:rsidR="00455B58">
        <w:rPr>
          <w:rFonts w:cstheme="minorHAnsi"/>
        </w:rPr>
        <w:t>8</w:t>
      </w:r>
      <w:r w:rsidR="00E51116" w:rsidRPr="00783DC8">
        <w:rPr>
          <w:rFonts w:cstheme="minorHAnsi"/>
        </w:rPr>
        <w:t>.</w:t>
      </w:r>
    </w:p>
    <w:p w:rsidR="0068535E" w:rsidRDefault="0068535E" w:rsidP="0089374C">
      <w:pPr>
        <w:spacing w:beforeLines="0" w:afterLines="0" w:line="288" w:lineRule="auto"/>
        <w:rPr>
          <w:rFonts w:cstheme="minorHAnsi"/>
        </w:rPr>
      </w:pPr>
    </w:p>
    <w:p w:rsidR="002738E8" w:rsidRDefault="002738E8" w:rsidP="0089374C">
      <w:pPr>
        <w:spacing w:beforeLines="0" w:afterLines="0" w:line="288" w:lineRule="auto"/>
      </w:pPr>
      <w:r w:rsidRPr="00CE3BBB">
        <w:rPr>
          <w:rFonts w:cstheme="minorHAnsi"/>
          <w:i/>
        </w:rPr>
        <w:t>Se puede acceder al visor de los Grupos de Acción Local</w:t>
      </w:r>
      <w:r w:rsidR="0068535E" w:rsidRPr="00CE3BBB">
        <w:rPr>
          <w:rFonts w:cstheme="minorHAnsi"/>
          <w:i/>
        </w:rPr>
        <w:t xml:space="preserve"> a través del siguiente enlace</w:t>
      </w:r>
      <w:r w:rsidR="0068535E">
        <w:rPr>
          <w:rFonts w:cstheme="minorHAnsi"/>
        </w:rPr>
        <w:t xml:space="preserve"> </w:t>
      </w:r>
      <w:hyperlink r:id="rId11" w:history="1">
        <w:r w:rsidR="0068535E" w:rsidRPr="004666DC">
          <w:rPr>
            <w:rStyle w:val="Hipervnculo"/>
            <w:rFonts w:cstheme="minorHAnsi"/>
          </w:rPr>
          <w:t>https://redruralnacional.es/visores_rrn/gal</w:t>
        </w:r>
      </w:hyperlink>
    </w:p>
    <w:p w:rsidR="00CE3BBB" w:rsidRDefault="00CE3BBB" w:rsidP="0068535E">
      <w:pPr>
        <w:spacing w:beforeLines="0" w:afterLines="0" w:line="288" w:lineRule="auto"/>
        <w:rPr>
          <w:rFonts w:cstheme="minorHAnsi"/>
        </w:rPr>
      </w:pPr>
    </w:p>
    <w:p w:rsidR="00CE3BBB" w:rsidRDefault="00CE3BBB" w:rsidP="00006994">
      <w:pPr>
        <w:spacing w:beforeLines="0" w:afterLines="0" w:line="288" w:lineRule="auto"/>
        <w:rPr>
          <w:rFonts w:ascii="Lora" w:hAnsi="Lora"/>
          <w:i/>
          <w:iCs/>
          <w:color w:val="000000"/>
          <w:shd w:val="clear" w:color="auto" w:fill="F7F7F7"/>
        </w:rPr>
      </w:pPr>
    </w:p>
    <w:sectPr w:rsidR="00CE3BBB" w:rsidSect="000257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3A6" w:rsidRDefault="002C53A6" w:rsidP="002738E8">
      <w:pPr>
        <w:spacing w:before="120" w:after="120" w:line="240" w:lineRule="auto"/>
      </w:pPr>
      <w:r>
        <w:separator/>
      </w:r>
    </w:p>
  </w:endnote>
  <w:endnote w:type="continuationSeparator" w:id="1">
    <w:p w:rsidR="002C53A6" w:rsidRDefault="002C53A6" w:rsidP="002738E8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Piedepgina"/>
      <w:spacing w:before="120" w:after="12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85985"/>
      <w:docPartObj>
        <w:docPartGallery w:val="Page Numbers (Bottom of Page)"/>
        <w:docPartUnique/>
      </w:docPartObj>
    </w:sdtPr>
    <w:sdtContent>
      <w:p w:rsidR="002738E8" w:rsidRDefault="00366C2F" w:rsidP="002738E8">
        <w:pPr>
          <w:pStyle w:val="Piedepgina"/>
          <w:spacing w:beforeLines="0" w:afterLines="0"/>
          <w:jc w:val="center"/>
        </w:pPr>
        <w:r w:rsidRPr="002738E8">
          <w:rPr>
            <w:sz w:val="18"/>
            <w:szCs w:val="18"/>
          </w:rPr>
          <w:fldChar w:fldCharType="begin"/>
        </w:r>
        <w:r w:rsidR="002738E8" w:rsidRPr="002738E8">
          <w:rPr>
            <w:sz w:val="18"/>
            <w:szCs w:val="18"/>
          </w:rPr>
          <w:instrText xml:space="preserve"> PAGE   \* MERGEFORMAT </w:instrText>
        </w:r>
        <w:r w:rsidRPr="002738E8">
          <w:rPr>
            <w:sz w:val="18"/>
            <w:szCs w:val="18"/>
          </w:rPr>
          <w:fldChar w:fldCharType="separate"/>
        </w:r>
        <w:r w:rsidR="00455B58">
          <w:rPr>
            <w:noProof/>
            <w:sz w:val="18"/>
            <w:szCs w:val="18"/>
          </w:rPr>
          <w:t>2</w:t>
        </w:r>
        <w:r w:rsidRPr="002738E8">
          <w:rPr>
            <w:sz w:val="18"/>
            <w:szCs w:val="18"/>
          </w:rPr>
          <w:fldChar w:fldCharType="end"/>
        </w:r>
      </w:p>
    </w:sdtContent>
  </w:sdt>
  <w:p w:rsidR="002738E8" w:rsidRDefault="002738E8" w:rsidP="002738E8">
    <w:pPr>
      <w:pStyle w:val="Piedepgina"/>
      <w:spacing w:before="120" w:after="12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Piedepgina"/>
      <w:spacing w:before="120" w:after="12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3A6" w:rsidRDefault="002C53A6" w:rsidP="002738E8">
      <w:pPr>
        <w:spacing w:before="120" w:after="120" w:line="240" w:lineRule="auto"/>
      </w:pPr>
      <w:r>
        <w:separator/>
      </w:r>
    </w:p>
  </w:footnote>
  <w:footnote w:type="continuationSeparator" w:id="1">
    <w:p w:rsidR="002C53A6" w:rsidRDefault="002C53A6" w:rsidP="002738E8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8E8" w:rsidRDefault="002738E8" w:rsidP="002738E8">
    <w:pPr>
      <w:pStyle w:val="Encabezado"/>
      <w:spacing w:before="120" w:after="12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81AD3"/>
    <w:multiLevelType w:val="multilevel"/>
    <w:tmpl w:val="722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026C"/>
    <w:rsid w:val="00000ADF"/>
    <w:rsid w:val="00006994"/>
    <w:rsid w:val="000257EB"/>
    <w:rsid w:val="0014026C"/>
    <w:rsid w:val="00165D62"/>
    <w:rsid w:val="00184FA8"/>
    <w:rsid w:val="001853B4"/>
    <w:rsid w:val="002169F1"/>
    <w:rsid w:val="002229A3"/>
    <w:rsid w:val="002312AD"/>
    <w:rsid w:val="00247E64"/>
    <w:rsid w:val="002738E8"/>
    <w:rsid w:val="002C53A6"/>
    <w:rsid w:val="00335B0B"/>
    <w:rsid w:val="003626E5"/>
    <w:rsid w:val="00366C2F"/>
    <w:rsid w:val="00373979"/>
    <w:rsid w:val="003A0846"/>
    <w:rsid w:val="003C2E26"/>
    <w:rsid w:val="00400D21"/>
    <w:rsid w:val="00421A05"/>
    <w:rsid w:val="00454D1E"/>
    <w:rsid w:val="00455B58"/>
    <w:rsid w:val="004A6560"/>
    <w:rsid w:val="005A59F6"/>
    <w:rsid w:val="005E2633"/>
    <w:rsid w:val="00656619"/>
    <w:rsid w:val="0066321A"/>
    <w:rsid w:val="0068535E"/>
    <w:rsid w:val="00686996"/>
    <w:rsid w:val="00744475"/>
    <w:rsid w:val="007444CE"/>
    <w:rsid w:val="0075716A"/>
    <w:rsid w:val="00783DC8"/>
    <w:rsid w:val="00794F68"/>
    <w:rsid w:val="00830165"/>
    <w:rsid w:val="00884BE5"/>
    <w:rsid w:val="0089374C"/>
    <w:rsid w:val="008E1B51"/>
    <w:rsid w:val="00956E52"/>
    <w:rsid w:val="00985A37"/>
    <w:rsid w:val="009C43A3"/>
    <w:rsid w:val="009D15E9"/>
    <w:rsid w:val="00A53E6A"/>
    <w:rsid w:val="00A75437"/>
    <w:rsid w:val="00B65F74"/>
    <w:rsid w:val="00BF317E"/>
    <w:rsid w:val="00BF34BC"/>
    <w:rsid w:val="00C47605"/>
    <w:rsid w:val="00CE3BBB"/>
    <w:rsid w:val="00D11187"/>
    <w:rsid w:val="00D83289"/>
    <w:rsid w:val="00D97D54"/>
    <w:rsid w:val="00DD3BAF"/>
    <w:rsid w:val="00E51116"/>
    <w:rsid w:val="00E847DA"/>
    <w:rsid w:val="00EC08E2"/>
    <w:rsid w:val="00F051EB"/>
    <w:rsid w:val="00F12D52"/>
    <w:rsid w:val="00F2672A"/>
    <w:rsid w:val="00F85885"/>
    <w:rsid w:val="00FE6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Lines="50" w:afterLines="5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B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402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9F1"/>
    <w:pPr>
      <w:spacing w:beforeLines="0" w:beforeAutospacing="1" w:afterLines="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169F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2738E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738E8"/>
  </w:style>
  <w:style w:type="paragraph" w:styleId="Piedepgina">
    <w:name w:val="footer"/>
    <w:basedOn w:val="Normal"/>
    <w:link w:val="PiedepginaCar"/>
    <w:uiPriority w:val="99"/>
    <w:unhideWhenUsed/>
    <w:rsid w:val="002738E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8E8"/>
  </w:style>
  <w:style w:type="paragraph" w:styleId="Textodeglobo">
    <w:name w:val="Balloon Text"/>
    <w:basedOn w:val="Normal"/>
    <w:link w:val="TextodegloboCar"/>
    <w:uiPriority w:val="99"/>
    <w:semiHidden/>
    <w:unhideWhenUsed/>
    <w:rsid w:val="006853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53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dr.es/es/portal.do;jsessionid=D35D55E11E389466F26BD3FDDAC4F706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druralnacional.es/visores_rrn/g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destatal.e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DC7B6-9E98-4CDF-B889-894E8745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Braulio</cp:lastModifiedBy>
  <cp:revision>25</cp:revision>
  <dcterms:created xsi:type="dcterms:W3CDTF">2024-04-11T08:23:00Z</dcterms:created>
  <dcterms:modified xsi:type="dcterms:W3CDTF">2024-04-13T16:13:00Z</dcterms:modified>
</cp:coreProperties>
</file>