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E838A" w14:textId="77777777" w:rsidR="000406F8" w:rsidRPr="000406F8" w:rsidRDefault="000406F8" w:rsidP="000406F8">
      <w:pPr>
        <w:jc w:val="center"/>
      </w:pPr>
      <w:r w:rsidRPr="000406F8">
        <w:rPr>
          <w:b/>
          <w:bCs/>
        </w:rPr>
        <w:t>IASF 2026 – Project Abstract</w:t>
      </w:r>
    </w:p>
    <w:p w14:paraId="1E79069F" w14:textId="77777777" w:rsidR="000406F8" w:rsidRPr="000406F8" w:rsidRDefault="00000000" w:rsidP="000406F8">
      <w:pPr>
        <w:jc w:val="center"/>
      </w:pPr>
      <w:r w:rsidRPr="00D0173F">
        <w:rPr>
          <w:vertAlign w:val="superscript"/>
        </w:rPr>
        <w:pict w14:anchorId="0FA6A5AC">
          <v:rect id="_x0000_i1025" style="width:0;height:1.5pt" o:hralign="center" o:hrstd="t" o:hr="t" fillcolor="#a0a0a0" stroked="f"/>
        </w:pict>
      </w:r>
    </w:p>
    <w:p w14:paraId="23FFD229" w14:textId="77777777" w:rsidR="000406F8" w:rsidRPr="000406F8" w:rsidRDefault="000406F8" w:rsidP="000406F8">
      <w:pPr>
        <w:rPr>
          <w:b/>
          <w:bCs/>
        </w:rPr>
      </w:pPr>
      <w:r w:rsidRPr="000406F8">
        <w:rPr>
          <w:b/>
          <w:bCs/>
        </w:rPr>
        <w:t>1. Title Page</w:t>
      </w:r>
    </w:p>
    <w:p w14:paraId="2084EF17" w14:textId="266D740B" w:rsidR="003C6039" w:rsidRPr="000406F8" w:rsidRDefault="000406F8" w:rsidP="000406F8">
      <w:r w:rsidRPr="000406F8">
        <w:rPr>
          <w:b/>
          <w:bCs/>
        </w:rPr>
        <w:t>Project Title:</w:t>
      </w:r>
      <w:r w:rsidRPr="000406F8">
        <w:t xml:space="preserve"> Path to Power</w:t>
      </w:r>
      <w:r w:rsidRPr="000406F8">
        <w:br/>
      </w:r>
      <w:r w:rsidRPr="000406F8">
        <w:rPr>
          <w:b/>
          <w:bCs/>
        </w:rPr>
        <w:t>Team Name:</w:t>
      </w:r>
      <w:r w:rsidRPr="000406F8">
        <w:t xml:space="preserve"> Team Neuron</w:t>
      </w:r>
      <w:r w:rsidRPr="000406F8">
        <w:br/>
      </w:r>
      <w:r w:rsidRPr="000406F8">
        <w:rPr>
          <w:b/>
          <w:bCs/>
        </w:rPr>
        <w:t>College Name:</w:t>
      </w:r>
      <w:r w:rsidRPr="000406F8">
        <w:t xml:space="preserve"> Anurag University</w:t>
      </w:r>
      <w:r w:rsidR="003C6039">
        <w:br/>
      </w:r>
      <w:r w:rsidR="003C6039" w:rsidRPr="003C6039">
        <w:rPr>
          <w:b/>
          <w:bCs/>
        </w:rPr>
        <w:t>Student chapter:</w:t>
      </w:r>
      <w:r w:rsidR="00CE434F">
        <w:rPr>
          <w:b/>
          <w:bCs/>
        </w:rPr>
        <w:t xml:space="preserve"> </w:t>
      </w:r>
      <w:r w:rsidR="003C6039" w:rsidRPr="00CE434F">
        <w:t>Anurag univer</w:t>
      </w:r>
      <w:r w:rsidR="00CE434F" w:rsidRPr="00CE434F">
        <w:t>sity IUCEE student chapter</w:t>
      </w:r>
    </w:p>
    <w:p w14:paraId="12168C91" w14:textId="77777777" w:rsidR="000406F8" w:rsidRPr="000406F8" w:rsidRDefault="000406F8" w:rsidP="000406F8">
      <w:pPr>
        <w:rPr>
          <w:b/>
          <w:bCs/>
        </w:rPr>
      </w:pPr>
      <w:r w:rsidRPr="000406F8">
        <w:rPr>
          <w:b/>
          <w:bCs/>
        </w:rPr>
        <w:t>2. Chosen SDG Target</w:t>
      </w:r>
    </w:p>
    <w:p w14:paraId="061B5C10" w14:textId="77777777" w:rsidR="000406F8" w:rsidRPr="000406F8" w:rsidRDefault="000406F8" w:rsidP="000406F8">
      <w:r w:rsidRPr="000406F8">
        <w:rPr>
          <w:b/>
          <w:bCs/>
        </w:rPr>
        <w:t>SDG 7:</w:t>
      </w:r>
      <w:r w:rsidRPr="000406F8">
        <w:t xml:space="preserve"> Ensure access to affordable, reliable, sustainable, and modern energy for all.</w:t>
      </w:r>
      <w:r w:rsidRPr="000406F8">
        <w:br/>
      </w:r>
      <w:r w:rsidRPr="000406F8">
        <w:rPr>
          <w:b/>
          <w:bCs/>
        </w:rPr>
        <w:t>Target 7.1:</w:t>
      </w:r>
      <w:r w:rsidRPr="000406F8">
        <w:t xml:space="preserve"> By 2030, ensure universal access to affordable, reliable, and modern energy services.</w:t>
      </w:r>
    </w:p>
    <w:p w14:paraId="62A78CEE" w14:textId="77777777" w:rsidR="000406F8" w:rsidRPr="000406F8" w:rsidRDefault="000406F8" w:rsidP="000406F8">
      <w:pPr>
        <w:rPr>
          <w:b/>
          <w:bCs/>
        </w:rPr>
      </w:pPr>
      <w:r w:rsidRPr="000406F8">
        <w:rPr>
          <w:b/>
          <w:bCs/>
        </w:rPr>
        <w:t>3. Problem Statement</w:t>
      </w:r>
    </w:p>
    <w:p w14:paraId="50D66C5D" w14:textId="77777777" w:rsidR="000406F8" w:rsidRPr="000406F8" w:rsidRDefault="000406F8" w:rsidP="000406F8">
      <w:r w:rsidRPr="000406F8">
        <w:t>Disruptions in street lighting affect safety and mobility. To reduce grid load and save electricity, there is a growing need for decentralized, sustainable energy solutions. Using piezoelectric systems to harvest energy from footsteps and vehicles offers a practical, cost-effective way to power streetlights or charging stations in railway stations, especially in off-grid or low-resource areas.</w:t>
      </w:r>
    </w:p>
    <w:p w14:paraId="4D0806D3" w14:textId="77777777" w:rsidR="000406F8" w:rsidRPr="000406F8" w:rsidRDefault="000406F8" w:rsidP="000406F8">
      <w:pPr>
        <w:rPr>
          <w:b/>
          <w:bCs/>
        </w:rPr>
      </w:pPr>
      <w:r w:rsidRPr="000406F8">
        <w:rPr>
          <w:b/>
          <w:bCs/>
        </w:rPr>
        <w:t>4. Abstract</w:t>
      </w:r>
    </w:p>
    <w:p w14:paraId="47FA9ABA" w14:textId="77777777" w:rsidR="000406F8" w:rsidRDefault="000406F8" w:rsidP="000406F8">
      <w:r w:rsidRPr="000406F8">
        <w:t>India’s rising energy demand and a 14 GW power deficit in 2024 cause frequent outages in rural areas, impacting public services like street lighting. These outages create safety risks, limit evening activities, and put extra pressure on the power grid. This project offers a low-cost, sustainable solution using piezoelectric tiles that capture mechanical energy from footsteps or slow-moving carts. The electricity generated is stored and used to power LED streetlights, creating an off-grid, reliable lighting system. This reduces grid stress, improves rural infrastructure, and encourages clean energy use. The system is scalable, modular, and community-focused, supporting India’s sustainability and energy resilience goals.</w:t>
      </w:r>
    </w:p>
    <w:p w14:paraId="76A4640B" w14:textId="168C54FB" w:rsidR="00473A56" w:rsidRPr="000406F8" w:rsidRDefault="00473A56" w:rsidP="000406F8">
      <w:r>
        <w:rPr>
          <w:noProof/>
        </w:rPr>
        <w:drawing>
          <wp:inline distT="0" distB="0" distL="0" distR="0" wp14:anchorId="52FE361B" wp14:editId="66C5ABB8">
            <wp:extent cx="2710180" cy="1891665"/>
            <wp:effectExtent l="0" t="0" r="0" b="0"/>
            <wp:docPr id="86392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20629"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10180" cy="1891665"/>
                    </a:xfrm>
                    <a:prstGeom prst="rect">
                      <a:avLst/>
                    </a:prstGeom>
                    <a:noFill/>
                    <a:ln>
                      <a:noFill/>
                    </a:ln>
                  </pic:spPr>
                </pic:pic>
              </a:graphicData>
            </a:graphic>
          </wp:inline>
        </w:drawing>
      </w:r>
      <w:r w:rsidR="00B06FB7" w:rsidRPr="00B06FB7">
        <w:rPr>
          <w:noProof/>
        </w:rPr>
        <w:t xml:space="preserve"> </w:t>
      </w:r>
      <w:r w:rsidR="00B06FB7">
        <w:rPr>
          <w:noProof/>
        </w:rPr>
        <w:drawing>
          <wp:inline distT="0" distB="0" distL="0" distR="0" wp14:anchorId="6BFA56F4" wp14:editId="4BCD16A3">
            <wp:extent cx="2901118" cy="1869869"/>
            <wp:effectExtent l="0" t="0" r="0" b="0"/>
            <wp:docPr id="485974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7459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08267" cy="1874477"/>
                    </a:xfrm>
                    <a:prstGeom prst="rect">
                      <a:avLst/>
                    </a:prstGeom>
                    <a:noFill/>
                    <a:ln>
                      <a:noFill/>
                    </a:ln>
                  </pic:spPr>
                </pic:pic>
              </a:graphicData>
            </a:graphic>
          </wp:inline>
        </w:drawing>
      </w:r>
    </w:p>
    <w:p w14:paraId="111DC6E8" w14:textId="77777777" w:rsidR="004E576C" w:rsidRDefault="004E576C" w:rsidP="000406F8">
      <w:pPr>
        <w:rPr>
          <w:b/>
          <w:bCs/>
        </w:rPr>
      </w:pPr>
    </w:p>
    <w:p w14:paraId="740EB5BF" w14:textId="0DF52875" w:rsidR="000406F8" w:rsidRPr="000406F8" w:rsidRDefault="000406F8" w:rsidP="000406F8">
      <w:pPr>
        <w:rPr>
          <w:b/>
          <w:bCs/>
        </w:rPr>
      </w:pPr>
      <w:r w:rsidRPr="000406F8">
        <w:rPr>
          <w:b/>
          <w:bCs/>
        </w:rPr>
        <w:t>5. Proposed Solution &amp; Objectives</w:t>
      </w:r>
    </w:p>
    <w:p w14:paraId="735F5AF7" w14:textId="77777777" w:rsidR="000406F8" w:rsidRPr="000406F8" w:rsidRDefault="000406F8" w:rsidP="000406F8">
      <w:r w:rsidRPr="000406F8">
        <w:rPr>
          <w:b/>
          <w:bCs/>
        </w:rPr>
        <w:t>Proposed Solution:</w:t>
      </w:r>
      <w:r w:rsidRPr="000406F8">
        <w:br/>
        <w:t>Install piezoelectric energy-harvesting tiles on village pathways or at railway stations to convert mechanical pressure into electricity, which powers nearby LED streetlights and charging stations.</w:t>
      </w:r>
    </w:p>
    <w:p w14:paraId="2C31BC3A" w14:textId="77777777" w:rsidR="000406F8" w:rsidRPr="000406F8" w:rsidRDefault="000406F8" w:rsidP="000406F8">
      <w:r w:rsidRPr="000406F8">
        <w:rPr>
          <w:b/>
          <w:bCs/>
        </w:rPr>
        <w:t>Objectives:</w:t>
      </w:r>
    </w:p>
    <w:p w14:paraId="0B0ED8B6" w14:textId="77777777" w:rsidR="000406F8" w:rsidRPr="000406F8" w:rsidRDefault="000406F8" w:rsidP="000406F8">
      <w:pPr>
        <w:numPr>
          <w:ilvl w:val="0"/>
          <w:numId w:val="7"/>
        </w:numPr>
      </w:pPr>
      <w:r w:rsidRPr="000406F8">
        <w:t>Provide sustainable, off-grid street lighting and charging facilities in rural areas.</w:t>
      </w:r>
    </w:p>
    <w:p w14:paraId="539C7736" w14:textId="77777777" w:rsidR="000406F8" w:rsidRPr="000406F8" w:rsidRDefault="000406F8" w:rsidP="000406F8">
      <w:pPr>
        <w:numPr>
          <w:ilvl w:val="0"/>
          <w:numId w:val="7"/>
        </w:numPr>
      </w:pPr>
      <w:r w:rsidRPr="000406F8">
        <w:t>Reduce dependence on the main power grid.</w:t>
      </w:r>
    </w:p>
    <w:p w14:paraId="34963C31" w14:textId="77777777" w:rsidR="000406F8" w:rsidRPr="000406F8" w:rsidRDefault="000406F8" w:rsidP="000406F8">
      <w:pPr>
        <w:numPr>
          <w:ilvl w:val="0"/>
          <w:numId w:val="7"/>
        </w:numPr>
      </w:pPr>
      <w:r w:rsidRPr="000406F8">
        <w:t>Use clean, renewable mechanical energy.</w:t>
      </w:r>
    </w:p>
    <w:p w14:paraId="028FFB05" w14:textId="77777777" w:rsidR="000406F8" w:rsidRPr="000406F8" w:rsidRDefault="000406F8" w:rsidP="000406F8">
      <w:pPr>
        <w:numPr>
          <w:ilvl w:val="0"/>
          <w:numId w:val="7"/>
        </w:numPr>
      </w:pPr>
      <w:r w:rsidRPr="000406F8">
        <w:t xml:space="preserve">Improve safety and extend usable hours for villagers and </w:t>
      </w:r>
      <w:proofErr w:type="spellStart"/>
      <w:r w:rsidRPr="000406F8">
        <w:t>travelers</w:t>
      </w:r>
      <w:proofErr w:type="spellEnd"/>
      <w:r w:rsidRPr="000406F8">
        <w:t>.</w:t>
      </w:r>
    </w:p>
    <w:p w14:paraId="689DB2C6" w14:textId="77777777" w:rsidR="000406F8" w:rsidRPr="000406F8" w:rsidRDefault="000406F8" w:rsidP="000406F8">
      <w:pPr>
        <w:rPr>
          <w:b/>
          <w:bCs/>
        </w:rPr>
      </w:pPr>
      <w:r w:rsidRPr="000406F8">
        <w:rPr>
          <w:b/>
          <w:bCs/>
        </w:rPr>
        <w:t>6. Detailed Explanation of the Solution</w:t>
      </w:r>
    </w:p>
    <w:p w14:paraId="04E04C79" w14:textId="77777777" w:rsidR="000406F8" w:rsidRPr="000406F8" w:rsidRDefault="000406F8" w:rsidP="000406F8">
      <w:r w:rsidRPr="000406F8">
        <w:rPr>
          <w:b/>
          <w:bCs/>
        </w:rPr>
        <w:t>Working Principle:</w:t>
      </w:r>
    </w:p>
    <w:p w14:paraId="2BE26FB6" w14:textId="77777777" w:rsidR="000406F8" w:rsidRPr="000406F8" w:rsidRDefault="000406F8" w:rsidP="000406F8">
      <w:pPr>
        <w:numPr>
          <w:ilvl w:val="0"/>
          <w:numId w:val="8"/>
        </w:numPr>
      </w:pPr>
      <w:r w:rsidRPr="000406F8">
        <w:t>Piezoelectric materials in pathway tiles generate voltage when stepped on or pressed by carts.</w:t>
      </w:r>
    </w:p>
    <w:p w14:paraId="28E463F9" w14:textId="77777777" w:rsidR="000406F8" w:rsidRPr="000406F8" w:rsidRDefault="000406F8" w:rsidP="000406F8">
      <w:pPr>
        <w:numPr>
          <w:ilvl w:val="0"/>
          <w:numId w:val="8"/>
        </w:numPr>
      </w:pPr>
      <w:r w:rsidRPr="000406F8">
        <w:t>A bridge rectifier converts the AC output into DC.</w:t>
      </w:r>
    </w:p>
    <w:p w14:paraId="5CDC0C8A" w14:textId="77777777" w:rsidR="000406F8" w:rsidRPr="000406F8" w:rsidRDefault="000406F8" w:rsidP="000406F8">
      <w:pPr>
        <w:numPr>
          <w:ilvl w:val="0"/>
          <w:numId w:val="8"/>
        </w:numPr>
      </w:pPr>
      <w:r w:rsidRPr="000406F8">
        <w:t>Energy is stored in rechargeable batteries or supercapacitors.</w:t>
      </w:r>
    </w:p>
    <w:p w14:paraId="00D9F61C" w14:textId="77777777" w:rsidR="000406F8" w:rsidRPr="000406F8" w:rsidRDefault="000406F8" w:rsidP="000406F8">
      <w:pPr>
        <w:numPr>
          <w:ilvl w:val="0"/>
          <w:numId w:val="8"/>
        </w:numPr>
      </w:pPr>
      <w:r w:rsidRPr="000406F8">
        <w:t>Stored energy powers LED streetlights or charging ports, which may include motion sensors for efficiency.</w:t>
      </w:r>
    </w:p>
    <w:p w14:paraId="44C339D5" w14:textId="77777777" w:rsidR="000406F8" w:rsidRPr="000406F8" w:rsidRDefault="000406F8" w:rsidP="000406F8">
      <w:r w:rsidRPr="000406F8">
        <w:rPr>
          <w:b/>
          <w:bCs/>
        </w:rPr>
        <w:t>Workflow:</w:t>
      </w:r>
      <w:r w:rsidRPr="000406F8">
        <w:br/>
        <w:t>[Mechanical Pressure] → [Piezoelectric Tile] → [Rectifier Circuit] → [Battery] → [LED Light + Motion Sensor]</w:t>
      </w:r>
    </w:p>
    <w:p w14:paraId="108E79EC" w14:textId="77777777" w:rsidR="000406F8" w:rsidRPr="000406F8" w:rsidRDefault="000406F8" w:rsidP="000406F8">
      <w:r w:rsidRPr="000406F8">
        <w:rPr>
          <w:b/>
          <w:bCs/>
        </w:rPr>
        <w:t>Interdisciplinary Aspects:</w:t>
      </w:r>
    </w:p>
    <w:p w14:paraId="44E813FF" w14:textId="77777777" w:rsidR="000406F8" w:rsidRPr="000406F8" w:rsidRDefault="000406F8" w:rsidP="000406F8">
      <w:pPr>
        <w:numPr>
          <w:ilvl w:val="0"/>
          <w:numId w:val="9"/>
        </w:numPr>
      </w:pPr>
      <w:r w:rsidRPr="000406F8">
        <w:rPr>
          <w:b/>
          <w:bCs/>
        </w:rPr>
        <w:t>Electrical Engineering:</w:t>
      </w:r>
      <w:r w:rsidRPr="000406F8">
        <w:t xml:space="preserve"> Energy conversion and circuit design</w:t>
      </w:r>
    </w:p>
    <w:p w14:paraId="1653FF7F" w14:textId="77777777" w:rsidR="000406F8" w:rsidRPr="000406F8" w:rsidRDefault="000406F8" w:rsidP="000406F8">
      <w:pPr>
        <w:numPr>
          <w:ilvl w:val="0"/>
          <w:numId w:val="9"/>
        </w:numPr>
      </w:pPr>
      <w:r w:rsidRPr="000406F8">
        <w:rPr>
          <w:b/>
          <w:bCs/>
        </w:rPr>
        <w:t>Mechanical Engineering:</w:t>
      </w:r>
      <w:r w:rsidRPr="000406F8">
        <w:t xml:space="preserve"> Tile structure and material optimization</w:t>
      </w:r>
    </w:p>
    <w:p w14:paraId="2F7D6728" w14:textId="77777777" w:rsidR="000406F8" w:rsidRPr="000406F8" w:rsidRDefault="000406F8" w:rsidP="000406F8">
      <w:pPr>
        <w:numPr>
          <w:ilvl w:val="0"/>
          <w:numId w:val="9"/>
        </w:numPr>
      </w:pPr>
      <w:r w:rsidRPr="000406F8">
        <w:rPr>
          <w:b/>
          <w:bCs/>
        </w:rPr>
        <w:t>Civil Engineering:</w:t>
      </w:r>
      <w:r w:rsidRPr="000406F8">
        <w:t xml:space="preserve"> Installation planning and durability</w:t>
      </w:r>
    </w:p>
    <w:p w14:paraId="78EB2FF6" w14:textId="77777777" w:rsidR="000406F8" w:rsidRPr="000406F8" w:rsidRDefault="000406F8" w:rsidP="000406F8">
      <w:pPr>
        <w:numPr>
          <w:ilvl w:val="0"/>
          <w:numId w:val="9"/>
        </w:numPr>
      </w:pPr>
      <w:r w:rsidRPr="000406F8">
        <w:rPr>
          <w:b/>
          <w:bCs/>
        </w:rPr>
        <w:t>Design Thinking:</w:t>
      </w:r>
      <w:r w:rsidRPr="000406F8">
        <w:t xml:space="preserve"> User-</w:t>
      </w:r>
      <w:proofErr w:type="spellStart"/>
      <w:r w:rsidRPr="000406F8">
        <w:t>centered</w:t>
      </w:r>
      <w:proofErr w:type="spellEnd"/>
      <w:r w:rsidRPr="000406F8">
        <w:t>, community-focused innovation</w:t>
      </w:r>
    </w:p>
    <w:p w14:paraId="719BE6AD" w14:textId="77777777" w:rsidR="000406F8" w:rsidRPr="000406F8" w:rsidRDefault="000406F8" w:rsidP="000406F8">
      <w:pPr>
        <w:rPr>
          <w:b/>
          <w:bCs/>
        </w:rPr>
      </w:pPr>
      <w:r w:rsidRPr="000406F8">
        <w:rPr>
          <w:b/>
          <w:bCs/>
        </w:rPr>
        <w:t>7. Proof of Concept</w:t>
      </w:r>
    </w:p>
    <w:p w14:paraId="04ED73DC" w14:textId="77777777" w:rsidR="000406F8" w:rsidRPr="000406F8" w:rsidRDefault="000406F8" w:rsidP="000406F8">
      <w:r w:rsidRPr="000406F8">
        <w:rPr>
          <w:b/>
          <w:bCs/>
        </w:rPr>
        <w:t>Prototype:</w:t>
      </w:r>
    </w:p>
    <w:p w14:paraId="24827FE3" w14:textId="77777777" w:rsidR="000406F8" w:rsidRPr="000406F8" w:rsidRDefault="000406F8" w:rsidP="000406F8">
      <w:pPr>
        <w:numPr>
          <w:ilvl w:val="0"/>
          <w:numId w:val="10"/>
        </w:numPr>
      </w:pPr>
      <w:r w:rsidRPr="000406F8">
        <w:t>Three piezoelectric tile units mounted on an acrylic base.</w:t>
      </w:r>
    </w:p>
    <w:p w14:paraId="3D70ED73" w14:textId="77777777" w:rsidR="000406F8" w:rsidRPr="000406F8" w:rsidRDefault="000406F8" w:rsidP="000406F8">
      <w:pPr>
        <w:numPr>
          <w:ilvl w:val="0"/>
          <w:numId w:val="10"/>
        </w:numPr>
      </w:pPr>
      <w:r w:rsidRPr="000406F8">
        <w:lastRenderedPageBreak/>
        <w:t>Output ranges from 5 to 20V with pressure; connected to a 12V battery.</w:t>
      </w:r>
    </w:p>
    <w:p w14:paraId="30522148" w14:textId="77777777" w:rsidR="000406F8" w:rsidRPr="000406F8" w:rsidRDefault="000406F8" w:rsidP="000406F8">
      <w:pPr>
        <w:numPr>
          <w:ilvl w:val="0"/>
          <w:numId w:val="10"/>
        </w:numPr>
      </w:pPr>
      <w:r w:rsidRPr="000406F8">
        <w:t>Powered a 10W LED for over five hours after daily use.</w:t>
      </w:r>
    </w:p>
    <w:p w14:paraId="59D38C17" w14:textId="77777777" w:rsidR="000406F8" w:rsidRPr="000406F8" w:rsidRDefault="000406F8" w:rsidP="000406F8">
      <w:r w:rsidRPr="000406F8">
        <w:rPr>
          <w:b/>
          <w:bCs/>
        </w:rPr>
        <w:t>Technologies Used:</w:t>
      </w:r>
    </w:p>
    <w:p w14:paraId="23B22C64" w14:textId="77777777" w:rsidR="000406F8" w:rsidRPr="000406F8" w:rsidRDefault="000406F8" w:rsidP="000406F8">
      <w:pPr>
        <w:numPr>
          <w:ilvl w:val="0"/>
          <w:numId w:val="11"/>
        </w:numPr>
      </w:pPr>
      <w:r w:rsidRPr="000406F8">
        <w:t>Piezo discs (recycled from buzzers)</w:t>
      </w:r>
    </w:p>
    <w:p w14:paraId="055DD099" w14:textId="77777777" w:rsidR="000406F8" w:rsidRPr="000406F8" w:rsidRDefault="000406F8" w:rsidP="000406F8">
      <w:pPr>
        <w:numPr>
          <w:ilvl w:val="0"/>
          <w:numId w:val="11"/>
        </w:numPr>
      </w:pPr>
      <w:r w:rsidRPr="000406F8">
        <w:t>Rechargeable Li-ion battery</w:t>
      </w:r>
    </w:p>
    <w:p w14:paraId="7B183001" w14:textId="77777777" w:rsidR="000406F8" w:rsidRPr="000406F8" w:rsidRDefault="000406F8" w:rsidP="000406F8">
      <w:pPr>
        <w:numPr>
          <w:ilvl w:val="0"/>
          <w:numId w:val="11"/>
        </w:numPr>
      </w:pPr>
      <w:r w:rsidRPr="000406F8">
        <w:t>Bridge rectifier and basic charge controller</w:t>
      </w:r>
    </w:p>
    <w:p w14:paraId="69F69FEE" w14:textId="77777777" w:rsidR="000406F8" w:rsidRPr="000406F8" w:rsidRDefault="000406F8" w:rsidP="000406F8">
      <w:pPr>
        <w:numPr>
          <w:ilvl w:val="0"/>
          <w:numId w:val="11"/>
        </w:numPr>
      </w:pPr>
      <w:r w:rsidRPr="000406F8">
        <w:t>Motion-activated LED light module</w:t>
      </w:r>
    </w:p>
    <w:p w14:paraId="35625A2F" w14:textId="77777777" w:rsidR="000406F8" w:rsidRPr="000406F8" w:rsidRDefault="000406F8" w:rsidP="000406F8">
      <w:r w:rsidRPr="000406F8">
        <w:rPr>
          <w:b/>
          <w:bCs/>
        </w:rPr>
        <w:t>Initial Testing Results:</w:t>
      </w:r>
    </w:p>
    <w:p w14:paraId="192A860F" w14:textId="77777777" w:rsidR="000406F8" w:rsidRPr="000406F8" w:rsidRDefault="000406F8" w:rsidP="000406F8">
      <w:pPr>
        <w:numPr>
          <w:ilvl w:val="0"/>
          <w:numId w:val="12"/>
        </w:numPr>
      </w:pPr>
      <w:r w:rsidRPr="000406F8">
        <w:t>Effective in areas with foot traffic like schools, pathways, and entrances</w:t>
      </w:r>
    </w:p>
    <w:p w14:paraId="0F659DC8" w14:textId="77777777" w:rsidR="000406F8" w:rsidRPr="000406F8" w:rsidRDefault="000406F8" w:rsidP="000406F8">
      <w:pPr>
        <w:numPr>
          <w:ilvl w:val="0"/>
          <w:numId w:val="12"/>
        </w:numPr>
      </w:pPr>
      <w:r w:rsidRPr="000406F8">
        <w:t>Improved power efficiency with motion-based activation</w:t>
      </w:r>
    </w:p>
    <w:p w14:paraId="4862BB33" w14:textId="77777777" w:rsidR="000406F8" w:rsidRPr="000406F8" w:rsidRDefault="000406F8" w:rsidP="000406F8">
      <w:pPr>
        <w:rPr>
          <w:b/>
          <w:bCs/>
        </w:rPr>
      </w:pPr>
      <w:r w:rsidRPr="000406F8">
        <w:rPr>
          <w:b/>
          <w:bCs/>
        </w:rPr>
        <w:t>8. Expected Outcomes</w:t>
      </w:r>
    </w:p>
    <w:p w14:paraId="0EB4808D" w14:textId="77777777" w:rsidR="000406F8" w:rsidRPr="000406F8" w:rsidRDefault="000406F8" w:rsidP="000406F8">
      <w:r w:rsidRPr="000406F8">
        <w:rPr>
          <w:b/>
          <w:bCs/>
        </w:rPr>
        <w:t>Short-Term:</w:t>
      </w:r>
    </w:p>
    <w:p w14:paraId="3DB45FB7" w14:textId="77777777" w:rsidR="000406F8" w:rsidRPr="000406F8" w:rsidRDefault="000406F8" w:rsidP="000406F8">
      <w:pPr>
        <w:numPr>
          <w:ilvl w:val="0"/>
          <w:numId w:val="13"/>
        </w:numPr>
      </w:pPr>
      <w:r w:rsidRPr="000406F8">
        <w:t>Functional pilot tested on a village pathway</w:t>
      </w:r>
    </w:p>
    <w:p w14:paraId="4BC8B5B0" w14:textId="77777777" w:rsidR="000406F8" w:rsidRPr="000406F8" w:rsidRDefault="000406F8" w:rsidP="000406F8">
      <w:pPr>
        <w:numPr>
          <w:ilvl w:val="0"/>
          <w:numId w:val="13"/>
        </w:numPr>
      </w:pPr>
      <w:r w:rsidRPr="000406F8">
        <w:t>Increased awareness and interest in clean energy solutions</w:t>
      </w:r>
    </w:p>
    <w:p w14:paraId="6DEF0258" w14:textId="77777777" w:rsidR="000406F8" w:rsidRPr="000406F8" w:rsidRDefault="000406F8" w:rsidP="000406F8">
      <w:r w:rsidRPr="000406F8">
        <w:rPr>
          <w:b/>
          <w:bCs/>
        </w:rPr>
        <w:t>Long-Term:</w:t>
      </w:r>
    </w:p>
    <w:p w14:paraId="0539C8E8" w14:textId="77777777" w:rsidR="000406F8" w:rsidRPr="000406F8" w:rsidRDefault="000406F8" w:rsidP="000406F8">
      <w:pPr>
        <w:numPr>
          <w:ilvl w:val="0"/>
          <w:numId w:val="14"/>
        </w:numPr>
      </w:pPr>
      <w:r w:rsidRPr="000406F8">
        <w:t>Scalable smart village lighting systems</w:t>
      </w:r>
    </w:p>
    <w:p w14:paraId="14DD2528" w14:textId="77777777" w:rsidR="000406F8" w:rsidRPr="000406F8" w:rsidRDefault="000406F8" w:rsidP="000406F8">
      <w:pPr>
        <w:numPr>
          <w:ilvl w:val="0"/>
          <w:numId w:val="14"/>
        </w:numPr>
      </w:pPr>
      <w:r w:rsidRPr="000406F8">
        <w:t>Reduced consumption of grid energy</w:t>
      </w:r>
    </w:p>
    <w:p w14:paraId="02E71DD7" w14:textId="77777777" w:rsidR="000406F8" w:rsidRPr="000406F8" w:rsidRDefault="000406F8" w:rsidP="000406F8">
      <w:pPr>
        <w:numPr>
          <w:ilvl w:val="0"/>
          <w:numId w:val="14"/>
        </w:numPr>
      </w:pPr>
      <w:r w:rsidRPr="000406F8">
        <w:t>Improved safety and mobility at night in rural areas</w:t>
      </w:r>
    </w:p>
    <w:p w14:paraId="77707E52" w14:textId="77777777" w:rsidR="000406F8" w:rsidRPr="000406F8" w:rsidRDefault="000406F8" w:rsidP="000406F8">
      <w:r w:rsidRPr="000406F8">
        <w:rPr>
          <w:b/>
          <w:bCs/>
        </w:rPr>
        <w:t>Environmental Impact:</w:t>
      </w:r>
    </w:p>
    <w:p w14:paraId="31AAF8FE" w14:textId="77777777" w:rsidR="000406F8" w:rsidRPr="000406F8" w:rsidRDefault="000406F8" w:rsidP="000406F8">
      <w:pPr>
        <w:numPr>
          <w:ilvl w:val="0"/>
          <w:numId w:val="15"/>
        </w:numPr>
      </w:pPr>
      <w:r w:rsidRPr="000406F8">
        <w:t>Renewable and non-polluting energy solution</w:t>
      </w:r>
    </w:p>
    <w:p w14:paraId="071EF3BB" w14:textId="77777777" w:rsidR="000406F8" w:rsidRPr="000406F8" w:rsidRDefault="000406F8" w:rsidP="000406F8">
      <w:r w:rsidRPr="000406F8">
        <w:rPr>
          <w:b/>
          <w:bCs/>
        </w:rPr>
        <w:t>Social Impact:</w:t>
      </w:r>
    </w:p>
    <w:p w14:paraId="4978FD0A" w14:textId="77777777" w:rsidR="000406F8" w:rsidRPr="000406F8" w:rsidRDefault="000406F8" w:rsidP="000406F8">
      <w:pPr>
        <w:numPr>
          <w:ilvl w:val="0"/>
          <w:numId w:val="16"/>
        </w:numPr>
      </w:pPr>
      <w:r w:rsidRPr="000406F8">
        <w:t>Better access and security for rural communities</w:t>
      </w:r>
    </w:p>
    <w:p w14:paraId="419033A3" w14:textId="77777777" w:rsidR="000406F8" w:rsidRPr="000406F8" w:rsidRDefault="000406F8" w:rsidP="000406F8">
      <w:r w:rsidRPr="000406F8">
        <w:rPr>
          <w:b/>
          <w:bCs/>
        </w:rPr>
        <w:t>Economic Impact:</w:t>
      </w:r>
    </w:p>
    <w:p w14:paraId="5419C73C" w14:textId="77777777" w:rsidR="000406F8" w:rsidRPr="000406F8" w:rsidRDefault="000406F8" w:rsidP="000406F8">
      <w:pPr>
        <w:numPr>
          <w:ilvl w:val="0"/>
          <w:numId w:val="17"/>
        </w:numPr>
      </w:pPr>
      <w:r w:rsidRPr="000406F8">
        <w:t>Low maintenance and operating costs</w:t>
      </w:r>
    </w:p>
    <w:p w14:paraId="7BFD2C86" w14:textId="77777777" w:rsidR="000406F8" w:rsidRPr="000406F8" w:rsidRDefault="000406F8" w:rsidP="000406F8">
      <w:pPr>
        <w:numPr>
          <w:ilvl w:val="0"/>
          <w:numId w:val="17"/>
        </w:numPr>
      </w:pPr>
      <w:r w:rsidRPr="000406F8">
        <w:t>Reduced government expenses on rural electrification</w:t>
      </w:r>
    </w:p>
    <w:p w14:paraId="3AA207D1" w14:textId="77777777" w:rsidR="000406F8" w:rsidRPr="000406F8" w:rsidRDefault="000406F8" w:rsidP="000406F8">
      <w:pPr>
        <w:rPr>
          <w:b/>
          <w:bCs/>
        </w:rPr>
      </w:pPr>
      <w:r w:rsidRPr="000406F8">
        <w:rPr>
          <w:b/>
          <w:bCs/>
        </w:rPr>
        <w:t>9. Resources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2672"/>
        <w:gridCol w:w="2065"/>
      </w:tblGrid>
      <w:tr w:rsidR="000406F8" w:rsidRPr="000406F8" w14:paraId="554799B4" w14:textId="77777777" w:rsidTr="000406F8">
        <w:trPr>
          <w:tblHeader/>
          <w:tblCellSpacing w:w="15" w:type="dxa"/>
        </w:trPr>
        <w:tc>
          <w:tcPr>
            <w:tcW w:w="0" w:type="auto"/>
            <w:vAlign w:val="center"/>
            <w:hideMark/>
          </w:tcPr>
          <w:p w14:paraId="7512AF92" w14:textId="77777777" w:rsidR="000406F8" w:rsidRPr="000406F8" w:rsidRDefault="000406F8" w:rsidP="000406F8">
            <w:pPr>
              <w:rPr>
                <w:b/>
                <w:bCs/>
              </w:rPr>
            </w:pPr>
            <w:r w:rsidRPr="000406F8">
              <w:rPr>
                <w:b/>
                <w:bCs/>
              </w:rPr>
              <w:lastRenderedPageBreak/>
              <w:t>Component</w:t>
            </w:r>
          </w:p>
        </w:tc>
        <w:tc>
          <w:tcPr>
            <w:tcW w:w="0" w:type="auto"/>
            <w:vAlign w:val="center"/>
            <w:hideMark/>
          </w:tcPr>
          <w:p w14:paraId="68E65B4A" w14:textId="77777777" w:rsidR="000406F8" w:rsidRPr="000406F8" w:rsidRDefault="000406F8" w:rsidP="000406F8">
            <w:pPr>
              <w:rPr>
                <w:b/>
                <w:bCs/>
              </w:rPr>
            </w:pPr>
            <w:r w:rsidRPr="000406F8">
              <w:rPr>
                <w:b/>
                <w:bCs/>
              </w:rPr>
              <w:t>Description</w:t>
            </w:r>
          </w:p>
        </w:tc>
        <w:tc>
          <w:tcPr>
            <w:tcW w:w="0" w:type="auto"/>
            <w:vAlign w:val="center"/>
            <w:hideMark/>
          </w:tcPr>
          <w:p w14:paraId="68490B69" w14:textId="77777777" w:rsidR="000406F8" w:rsidRPr="000406F8" w:rsidRDefault="000406F8" w:rsidP="000406F8">
            <w:pPr>
              <w:rPr>
                <w:b/>
                <w:bCs/>
              </w:rPr>
            </w:pPr>
            <w:r w:rsidRPr="000406F8">
              <w:rPr>
                <w:b/>
                <w:bCs/>
              </w:rPr>
              <w:t>Approx. Cost (INR)</w:t>
            </w:r>
          </w:p>
        </w:tc>
      </w:tr>
      <w:tr w:rsidR="000406F8" w:rsidRPr="000406F8" w14:paraId="6BCB54AD" w14:textId="77777777" w:rsidTr="000406F8">
        <w:trPr>
          <w:tblCellSpacing w:w="15" w:type="dxa"/>
        </w:trPr>
        <w:tc>
          <w:tcPr>
            <w:tcW w:w="0" w:type="auto"/>
            <w:vAlign w:val="center"/>
            <w:hideMark/>
          </w:tcPr>
          <w:p w14:paraId="36E07112" w14:textId="77777777" w:rsidR="000406F8" w:rsidRPr="000406F8" w:rsidRDefault="000406F8" w:rsidP="000406F8">
            <w:r w:rsidRPr="000406F8">
              <w:t>Piezoelectric Tiles</w:t>
            </w:r>
          </w:p>
        </w:tc>
        <w:tc>
          <w:tcPr>
            <w:tcW w:w="0" w:type="auto"/>
            <w:vAlign w:val="center"/>
            <w:hideMark/>
          </w:tcPr>
          <w:p w14:paraId="5B5EA1D8" w14:textId="77777777" w:rsidR="000406F8" w:rsidRPr="000406F8" w:rsidRDefault="000406F8" w:rsidP="000406F8">
            <w:r w:rsidRPr="000406F8">
              <w:t>Energy generation</w:t>
            </w:r>
          </w:p>
        </w:tc>
        <w:tc>
          <w:tcPr>
            <w:tcW w:w="0" w:type="auto"/>
            <w:vAlign w:val="center"/>
            <w:hideMark/>
          </w:tcPr>
          <w:p w14:paraId="5873C14C" w14:textId="77777777" w:rsidR="000406F8" w:rsidRPr="000406F8" w:rsidRDefault="000406F8" w:rsidP="000406F8">
            <w:r w:rsidRPr="000406F8">
              <w:t>₹100–300 each</w:t>
            </w:r>
          </w:p>
        </w:tc>
      </w:tr>
      <w:tr w:rsidR="000406F8" w:rsidRPr="000406F8" w14:paraId="3285EDEF" w14:textId="77777777" w:rsidTr="000406F8">
        <w:trPr>
          <w:tblCellSpacing w:w="15" w:type="dxa"/>
        </w:trPr>
        <w:tc>
          <w:tcPr>
            <w:tcW w:w="0" w:type="auto"/>
            <w:vAlign w:val="center"/>
            <w:hideMark/>
          </w:tcPr>
          <w:p w14:paraId="727C6968" w14:textId="77777777" w:rsidR="000406F8" w:rsidRPr="000406F8" w:rsidRDefault="000406F8" w:rsidP="000406F8">
            <w:r w:rsidRPr="000406F8">
              <w:t>Bridge Rectifier Diodes</w:t>
            </w:r>
          </w:p>
        </w:tc>
        <w:tc>
          <w:tcPr>
            <w:tcW w:w="0" w:type="auto"/>
            <w:vAlign w:val="center"/>
            <w:hideMark/>
          </w:tcPr>
          <w:p w14:paraId="29E49EAA" w14:textId="77777777" w:rsidR="000406F8" w:rsidRPr="000406F8" w:rsidRDefault="000406F8" w:rsidP="000406F8">
            <w:r w:rsidRPr="000406F8">
              <w:t>AC to DC conversion</w:t>
            </w:r>
          </w:p>
        </w:tc>
        <w:tc>
          <w:tcPr>
            <w:tcW w:w="0" w:type="auto"/>
            <w:vAlign w:val="center"/>
            <w:hideMark/>
          </w:tcPr>
          <w:p w14:paraId="42A7982E" w14:textId="77777777" w:rsidR="000406F8" w:rsidRPr="000406F8" w:rsidRDefault="000406F8" w:rsidP="000406F8">
            <w:r w:rsidRPr="000406F8">
              <w:t>₹10–20</w:t>
            </w:r>
          </w:p>
        </w:tc>
      </w:tr>
      <w:tr w:rsidR="000406F8" w:rsidRPr="000406F8" w14:paraId="1BC49361" w14:textId="77777777" w:rsidTr="000406F8">
        <w:trPr>
          <w:tblCellSpacing w:w="15" w:type="dxa"/>
        </w:trPr>
        <w:tc>
          <w:tcPr>
            <w:tcW w:w="0" w:type="auto"/>
            <w:vAlign w:val="center"/>
            <w:hideMark/>
          </w:tcPr>
          <w:p w14:paraId="5705BFC4" w14:textId="77777777" w:rsidR="000406F8" w:rsidRPr="000406F8" w:rsidRDefault="000406F8" w:rsidP="000406F8">
            <w:r w:rsidRPr="000406F8">
              <w:t>Rechargeable Battery</w:t>
            </w:r>
          </w:p>
        </w:tc>
        <w:tc>
          <w:tcPr>
            <w:tcW w:w="0" w:type="auto"/>
            <w:vAlign w:val="center"/>
            <w:hideMark/>
          </w:tcPr>
          <w:p w14:paraId="129AA928" w14:textId="77777777" w:rsidR="000406F8" w:rsidRPr="000406F8" w:rsidRDefault="000406F8" w:rsidP="000406F8">
            <w:r w:rsidRPr="000406F8">
              <w:t>Stores generated power</w:t>
            </w:r>
          </w:p>
        </w:tc>
        <w:tc>
          <w:tcPr>
            <w:tcW w:w="0" w:type="auto"/>
            <w:vAlign w:val="center"/>
            <w:hideMark/>
          </w:tcPr>
          <w:p w14:paraId="52582D09" w14:textId="77777777" w:rsidR="000406F8" w:rsidRPr="000406F8" w:rsidRDefault="000406F8" w:rsidP="000406F8">
            <w:r w:rsidRPr="000406F8">
              <w:t>₹500–1000</w:t>
            </w:r>
          </w:p>
        </w:tc>
      </w:tr>
      <w:tr w:rsidR="000406F8" w:rsidRPr="000406F8" w14:paraId="149B905A" w14:textId="77777777" w:rsidTr="000406F8">
        <w:trPr>
          <w:tblCellSpacing w:w="15" w:type="dxa"/>
        </w:trPr>
        <w:tc>
          <w:tcPr>
            <w:tcW w:w="0" w:type="auto"/>
            <w:vAlign w:val="center"/>
            <w:hideMark/>
          </w:tcPr>
          <w:p w14:paraId="5F56B34C" w14:textId="77777777" w:rsidR="000406F8" w:rsidRPr="000406F8" w:rsidRDefault="000406F8" w:rsidP="000406F8">
            <w:r w:rsidRPr="000406F8">
              <w:t>LED Streetlight (10–20W)</w:t>
            </w:r>
          </w:p>
        </w:tc>
        <w:tc>
          <w:tcPr>
            <w:tcW w:w="0" w:type="auto"/>
            <w:vAlign w:val="center"/>
            <w:hideMark/>
          </w:tcPr>
          <w:p w14:paraId="1C295A41" w14:textId="77777777" w:rsidR="000406F8" w:rsidRPr="000406F8" w:rsidRDefault="000406F8" w:rsidP="000406F8">
            <w:r w:rsidRPr="000406F8">
              <w:t>Energy-efficient lighting</w:t>
            </w:r>
          </w:p>
        </w:tc>
        <w:tc>
          <w:tcPr>
            <w:tcW w:w="0" w:type="auto"/>
            <w:vAlign w:val="center"/>
            <w:hideMark/>
          </w:tcPr>
          <w:p w14:paraId="79783BD0" w14:textId="77777777" w:rsidR="000406F8" w:rsidRPr="000406F8" w:rsidRDefault="000406F8" w:rsidP="000406F8">
            <w:r w:rsidRPr="000406F8">
              <w:t>₹300–500</w:t>
            </w:r>
          </w:p>
        </w:tc>
      </w:tr>
      <w:tr w:rsidR="000406F8" w:rsidRPr="000406F8" w14:paraId="0FCD946D" w14:textId="77777777" w:rsidTr="000406F8">
        <w:trPr>
          <w:tblCellSpacing w:w="15" w:type="dxa"/>
        </w:trPr>
        <w:tc>
          <w:tcPr>
            <w:tcW w:w="0" w:type="auto"/>
            <w:vAlign w:val="center"/>
            <w:hideMark/>
          </w:tcPr>
          <w:p w14:paraId="2EFD94DA" w14:textId="77777777" w:rsidR="000406F8" w:rsidRPr="000406F8" w:rsidRDefault="000406F8" w:rsidP="000406F8">
            <w:r w:rsidRPr="000406F8">
              <w:t>Motion Sensor (Optional)</w:t>
            </w:r>
          </w:p>
        </w:tc>
        <w:tc>
          <w:tcPr>
            <w:tcW w:w="0" w:type="auto"/>
            <w:vAlign w:val="center"/>
            <w:hideMark/>
          </w:tcPr>
          <w:p w14:paraId="514445F6" w14:textId="77777777" w:rsidR="000406F8" w:rsidRPr="000406F8" w:rsidRDefault="000406F8" w:rsidP="000406F8">
            <w:r w:rsidRPr="000406F8">
              <w:t>Power-saving component</w:t>
            </w:r>
          </w:p>
        </w:tc>
        <w:tc>
          <w:tcPr>
            <w:tcW w:w="0" w:type="auto"/>
            <w:vAlign w:val="center"/>
            <w:hideMark/>
          </w:tcPr>
          <w:p w14:paraId="433CD53E" w14:textId="77777777" w:rsidR="000406F8" w:rsidRPr="000406F8" w:rsidRDefault="000406F8" w:rsidP="000406F8">
            <w:r w:rsidRPr="000406F8">
              <w:t>₹100–150</w:t>
            </w:r>
          </w:p>
        </w:tc>
      </w:tr>
      <w:tr w:rsidR="000406F8" w:rsidRPr="000406F8" w14:paraId="7E2FB3CA" w14:textId="77777777" w:rsidTr="000406F8">
        <w:trPr>
          <w:tblCellSpacing w:w="15" w:type="dxa"/>
        </w:trPr>
        <w:tc>
          <w:tcPr>
            <w:tcW w:w="0" w:type="auto"/>
            <w:vAlign w:val="center"/>
            <w:hideMark/>
          </w:tcPr>
          <w:p w14:paraId="5CC3D876" w14:textId="77777777" w:rsidR="000406F8" w:rsidRPr="000406F8" w:rsidRDefault="000406F8" w:rsidP="000406F8">
            <w:r w:rsidRPr="000406F8">
              <w:t>Tile Base &amp; Housing</w:t>
            </w:r>
          </w:p>
        </w:tc>
        <w:tc>
          <w:tcPr>
            <w:tcW w:w="0" w:type="auto"/>
            <w:vAlign w:val="center"/>
            <w:hideMark/>
          </w:tcPr>
          <w:p w14:paraId="60540FEA" w14:textId="77777777" w:rsidR="000406F8" w:rsidRPr="000406F8" w:rsidRDefault="000406F8" w:rsidP="000406F8">
            <w:r w:rsidRPr="000406F8">
              <w:t>Acrylic or steel base</w:t>
            </w:r>
          </w:p>
        </w:tc>
        <w:tc>
          <w:tcPr>
            <w:tcW w:w="0" w:type="auto"/>
            <w:vAlign w:val="center"/>
            <w:hideMark/>
          </w:tcPr>
          <w:p w14:paraId="13F3772D" w14:textId="77777777" w:rsidR="000406F8" w:rsidRPr="000406F8" w:rsidRDefault="000406F8" w:rsidP="000406F8">
            <w:r w:rsidRPr="000406F8">
              <w:t>₹300–400</w:t>
            </w:r>
          </w:p>
        </w:tc>
      </w:tr>
      <w:tr w:rsidR="000406F8" w:rsidRPr="000406F8" w14:paraId="765DF32A" w14:textId="77777777" w:rsidTr="000406F8">
        <w:trPr>
          <w:tblCellSpacing w:w="15" w:type="dxa"/>
        </w:trPr>
        <w:tc>
          <w:tcPr>
            <w:tcW w:w="0" w:type="auto"/>
            <w:vAlign w:val="center"/>
            <w:hideMark/>
          </w:tcPr>
          <w:p w14:paraId="0711404D" w14:textId="77777777" w:rsidR="000406F8" w:rsidRPr="000406F8" w:rsidRDefault="000406F8" w:rsidP="000406F8">
            <w:r w:rsidRPr="000406F8">
              <w:t>Charge Controller</w:t>
            </w:r>
          </w:p>
        </w:tc>
        <w:tc>
          <w:tcPr>
            <w:tcW w:w="0" w:type="auto"/>
            <w:vAlign w:val="center"/>
            <w:hideMark/>
          </w:tcPr>
          <w:p w14:paraId="3BDC7D73" w14:textId="77777777" w:rsidR="000406F8" w:rsidRPr="000406F8" w:rsidRDefault="000406F8" w:rsidP="000406F8">
            <w:r w:rsidRPr="000406F8">
              <w:t>Battery protection</w:t>
            </w:r>
          </w:p>
        </w:tc>
        <w:tc>
          <w:tcPr>
            <w:tcW w:w="0" w:type="auto"/>
            <w:vAlign w:val="center"/>
            <w:hideMark/>
          </w:tcPr>
          <w:p w14:paraId="14C57674" w14:textId="77777777" w:rsidR="000406F8" w:rsidRPr="000406F8" w:rsidRDefault="000406F8" w:rsidP="000406F8">
            <w:r w:rsidRPr="000406F8">
              <w:t>₹200–300</w:t>
            </w:r>
          </w:p>
        </w:tc>
      </w:tr>
    </w:tbl>
    <w:p w14:paraId="0D4686DA" w14:textId="77777777" w:rsidR="000406F8" w:rsidRPr="000406F8" w:rsidRDefault="000406F8" w:rsidP="000406F8">
      <w:r w:rsidRPr="000406F8">
        <w:rPr>
          <w:b/>
          <w:bCs/>
        </w:rPr>
        <w:t>Estimated Total (per unit):</w:t>
      </w:r>
      <w:r w:rsidRPr="000406F8">
        <w:t xml:space="preserve"> ₹1500–2500 (Prototype scale)</w:t>
      </w:r>
    </w:p>
    <w:p w14:paraId="65AFFE95" w14:textId="77777777" w:rsidR="000406F8" w:rsidRPr="000406F8" w:rsidRDefault="000406F8" w:rsidP="000406F8">
      <w:r w:rsidRPr="000406F8">
        <w:rPr>
          <w:b/>
          <w:bCs/>
        </w:rPr>
        <w:t>Expertise Needed:</w:t>
      </w:r>
    </w:p>
    <w:p w14:paraId="2BC68C79" w14:textId="77777777" w:rsidR="000406F8" w:rsidRPr="000406F8" w:rsidRDefault="000406F8" w:rsidP="000406F8">
      <w:pPr>
        <w:numPr>
          <w:ilvl w:val="0"/>
          <w:numId w:val="18"/>
        </w:numPr>
      </w:pPr>
      <w:r w:rsidRPr="000406F8">
        <w:t>Energy Systems Engineer</w:t>
      </w:r>
    </w:p>
    <w:p w14:paraId="7B07B879" w14:textId="77777777" w:rsidR="000406F8" w:rsidRPr="000406F8" w:rsidRDefault="000406F8" w:rsidP="000406F8">
      <w:pPr>
        <w:numPr>
          <w:ilvl w:val="0"/>
          <w:numId w:val="18"/>
        </w:numPr>
      </w:pPr>
      <w:r w:rsidRPr="000406F8">
        <w:t>Fabrication Mentor</w:t>
      </w:r>
    </w:p>
    <w:p w14:paraId="723CF4D6" w14:textId="77777777" w:rsidR="000406F8" w:rsidRPr="000406F8" w:rsidRDefault="000406F8" w:rsidP="000406F8">
      <w:pPr>
        <w:numPr>
          <w:ilvl w:val="0"/>
          <w:numId w:val="18"/>
        </w:numPr>
      </w:pPr>
      <w:r w:rsidRPr="000406F8">
        <w:t>Community Outreach Advisor</w:t>
      </w:r>
    </w:p>
    <w:p w14:paraId="2789B1C0" w14:textId="77777777" w:rsidR="000406F8" w:rsidRPr="000406F8" w:rsidRDefault="000406F8" w:rsidP="000406F8">
      <w:pPr>
        <w:rPr>
          <w:b/>
          <w:bCs/>
        </w:rPr>
      </w:pPr>
      <w:r w:rsidRPr="000406F8">
        <w:rPr>
          <w:b/>
          <w:bCs/>
        </w:rPr>
        <w:t>10. Team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1"/>
        <w:gridCol w:w="1381"/>
        <w:gridCol w:w="539"/>
        <w:gridCol w:w="1187"/>
      </w:tblGrid>
      <w:tr w:rsidR="000406F8" w:rsidRPr="000406F8" w14:paraId="663552A6" w14:textId="77777777" w:rsidTr="000406F8">
        <w:trPr>
          <w:tblHeader/>
          <w:tblCellSpacing w:w="15" w:type="dxa"/>
        </w:trPr>
        <w:tc>
          <w:tcPr>
            <w:tcW w:w="0" w:type="auto"/>
            <w:vAlign w:val="center"/>
            <w:hideMark/>
          </w:tcPr>
          <w:p w14:paraId="6874DDE7" w14:textId="77777777" w:rsidR="000406F8" w:rsidRPr="000406F8" w:rsidRDefault="000406F8" w:rsidP="000406F8">
            <w:pPr>
              <w:rPr>
                <w:b/>
                <w:bCs/>
              </w:rPr>
            </w:pPr>
            <w:r w:rsidRPr="000406F8">
              <w:rPr>
                <w:b/>
                <w:bCs/>
              </w:rPr>
              <w:t>Name</w:t>
            </w:r>
          </w:p>
        </w:tc>
        <w:tc>
          <w:tcPr>
            <w:tcW w:w="0" w:type="auto"/>
            <w:vAlign w:val="center"/>
            <w:hideMark/>
          </w:tcPr>
          <w:p w14:paraId="6671C7E0" w14:textId="77777777" w:rsidR="000406F8" w:rsidRPr="000406F8" w:rsidRDefault="000406F8" w:rsidP="000406F8">
            <w:pPr>
              <w:rPr>
                <w:b/>
                <w:bCs/>
              </w:rPr>
            </w:pPr>
            <w:r w:rsidRPr="000406F8">
              <w:rPr>
                <w:b/>
                <w:bCs/>
              </w:rPr>
              <w:t>Department</w:t>
            </w:r>
          </w:p>
        </w:tc>
        <w:tc>
          <w:tcPr>
            <w:tcW w:w="0" w:type="auto"/>
            <w:vAlign w:val="center"/>
            <w:hideMark/>
          </w:tcPr>
          <w:p w14:paraId="360DB7DD" w14:textId="77777777" w:rsidR="000406F8" w:rsidRPr="000406F8" w:rsidRDefault="000406F8" w:rsidP="000406F8">
            <w:pPr>
              <w:rPr>
                <w:b/>
                <w:bCs/>
              </w:rPr>
            </w:pPr>
            <w:r w:rsidRPr="000406F8">
              <w:rPr>
                <w:b/>
                <w:bCs/>
              </w:rPr>
              <w:t>Year</w:t>
            </w:r>
          </w:p>
        </w:tc>
        <w:tc>
          <w:tcPr>
            <w:tcW w:w="0" w:type="auto"/>
            <w:vAlign w:val="center"/>
            <w:hideMark/>
          </w:tcPr>
          <w:p w14:paraId="47536ACF" w14:textId="77777777" w:rsidR="000406F8" w:rsidRPr="000406F8" w:rsidRDefault="000406F8" w:rsidP="000406F8">
            <w:pPr>
              <w:rPr>
                <w:b/>
                <w:bCs/>
              </w:rPr>
            </w:pPr>
            <w:r w:rsidRPr="000406F8">
              <w:rPr>
                <w:b/>
                <w:bCs/>
              </w:rPr>
              <w:t>Role</w:t>
            </w:r>
          </w:p>
        </w:tc>
      </w:tr>
      <w:tr w:rsidR="000406F8" w:rsidRPr="000406F8" w14:paraId="6223F53A" w14:textId="77777777" w:rsidTr="000406F8">
        <w:trPr>
          <w:tblCellSpacing w:w="15" w:type="dxa"/>
        </w:trPr>
        <w:tc>
          <w:tcPr>
            <w:tcW w:w="0" w:type="auto"/>
            <w:vAlign w:val="center"/>
            <w:hideMark/>
          </w:tcPr>
          <w:p w14:paraId="26B0A723" w14:textId="77777777" w:rsidR="000406F8" w:rsidRPr="000406F8" w:rsidRDefault="000406F8" w:rsidP="000406F8">
            <w:r w:rsidRPr="000406F8">
              <w:t>M. Chinmayee</w:t>
            </w:r>
          </w:p>
        </w:tc>
        <w:tc>
          <w:tcPr>
            <w:tcW w:w="0" w:type="auto"/>
            <w:vAlign w:val="center"/>
            <w:hideMark/>
          </w:tcPr>
          <w:p w14:paraId="6208B4B7" w14:textId="77777777" w:rsidR="000406F8" w:rsidRPr="000406F8" w:rsidRDefault="000406F8" w:rsidP="000406F8">
            <w:r w:rsidRPr="000406F8">
              <w:t>CSE</w:t>
            </w:r>
          </w:p>
        </w:tc>
        <w:tc>
          <w:tcPr>
            <w:tcW w:w="0" w:type="auto"/>
            <w:vAlign w:val="center"/>
            <w:hideMark/>
          </w:tcPr>
          <w:p w14:paraId="0309C9DE" w14:textId="77777777" w:rsidR="000406F8" w:rsidRPr="000406F8" w:rsidRDefault="000406F8" w:rsidP="000406F8">
            <w:r w:rsidRPr="000406F8">
              <w:t>III</w:t>
            </w:r>
          </w:p>
        </w:tc>
        <w:tc>
          <w:tcPr>
            <w:tcW w:w="0" w:type="auto"/>
            <w:vAlign w:val="center"/>
            <w:hideMark/>
          </w:tcPr>
          <w:p w14:paraId="29920704" w14:textId="77777777" w:rsidR="000406F8" w:rsidRPr="000406F8" w:rsidRDefault="000406F8" w:rsidP="000406F8">
            <w:r w:rsidRPr="000406F8">
              <w:t>Team Lead</w:t>
            </w:r>
          </w:p>
        </w:tc>
      </w:tr>
      <w:tr w:rsidR="000406F8" w:rsidRPr="000406F8" w14:paraId="43F41B0A" w14:textId="77777777" w:rsidTr="000406F8">
        <w:trPr>
          <w:tblCellSpacing w:w="15" w:type="dxa"/>
        </w:trPr>
        <w:tc>
          <w:tcPr>
            <w:tcW w:w="0" w:type="auto"/>
            <w:vAlign w:val="center"/>
            <w:hideMark/>
          </w:tcPr>
          <w:p w14:paraId="18839B92" w14:textId="77777777" w:rsidR="000406F8" w:rsidRPr="000406F8" w:rsidRDefault="000406F8" w:rsidP="000406F8">
            <w:r w:rsidRPr="000406F8">
              <w:t xml:space="preserve">D. </w:t>
            </w:r>
            <w:proofErr w:type="spellStart"/>
            <w:r w:rsidRPr="000406F8">
              <w:t>Sumad</w:t>
            </w:r>
            <w:proofErr w:type="spellEnd"/>
            <w:r w:rsidRPr="000406F8">
              <w:t xml:space="preserve"> Reddy</w:t>
            </w:r>
          </w:p>
        </w:tc>
        <w:tc>
          <w:tcPr>
            <w:tcW w:w="0" w:type="auto"/>
            <w:vAlign w:val="center"/>
            <w:hideMark/>
          </w:tcPr>
          <w:p w14:paraId="0BF4004A" w14:textId="77777777" w:rsidR="000406F8" w:rsidRPr="000406F8" w:rsidRDefault="000406F8" w:rsidP="000406F8">
            <w:r w:rsidRPr="000406F8">
              <w:t>ECE</w:t>
            </w:r>
          </w:p>
        </w:tc>
        <w:tc>
          <w:tcPr>
            <w:tcW w:w="0" w:type="auto"/>
            <w:vAlign w:val="center"/>
            <w:hideMark/>
          </w:tcPr>
          <w:p w14:paraId="2ABBDEF7" w14:textId="77777777" w:rsidR="000406F8" w:rsidRPr="000406F8" w:rsidRDefault="000406F8" w:rsidP="000406F8">
            <w:r w:rsidRPr="000406F8">
              <w:t>IV</w:t>
            </w:r>
          </w:p>
        </w:tc>
        <w:tc>
          <w:tcPr>
            <w:tcW w:w="0" w:type="auto"/>
            <w:vAlign w:val="center"/>
            <w:hideMark/>
          </w:tcPr>
          <w:p w14:paraId="04657988" w14:textId="77777777" w:rsidR="000406F8" w:rsidRPr="000406F8" w:rsidRDefault="000406F8" w:rsidP="000406F8"/>
        </w:tc>
      </w:tr>
      <w:tr w:rsidR="000406F8" w:rsidRPr="000406F8" w14:paraId="5AA0ECCF" w14:textId="77777777" w:rsidTr="000406F8">
        <w:trPr>
          <w:tblCellSpacing w:w="15" w:type="dxa"/>
        </w:trPr>
        <w:tc>
          <w:tcPr>
            <w:tcW w:w="0" w:type="auto"/>
            <w:vAlign w:val="center"/>
            <w:hideMark/>
          </w:tcPr>
          <w:p w14:paraId="06BE3729" w14:textId="77777777" w:rsidR="000406F8" w:rsidRPr="000406F8" w:rsidRDefault="000406F8" w:rsidP="000406F8">
            <w:proofErr w:type="spellStart"/>
            <w:r w:rsidRPr="000406F8">
              <w:t>Srivarsha</w:t>
            </w:r>
            <w:proofErr w:type="spellEnd"/>
            <w:r w:rsidRPr="000406F8">
              <w:t xml:space="preserve"> Bollampalli</w:t>
            </w:r>
          </w:p>
        </w:tc>
        <w:tc>
          <w:tcPr>
            <w:tcW w:w="0" w:type="auto"/>
            <w:vAlign w:val="center"/>
            <w:hideMark/>
          </w:tcPr>
          <w:p w14:paraId="4A56E248" w14:textId="77777777" w:rsidR="000406F8" w:rsidRPr="000406F8" w:rsidRDefault="000406F8" w:rsidP="000406F8">
            <w:r w:rsidRPr="000406F8">
              <w:t>CSE</w:t>
            </w:r>
          </w:p>
        </w:tc>
        <w:tc>
          <w:tcPr>
            <w:tcW w:w="0" w:type="auto"/>
            <w:vAlign w:val="center"/>
            <w:hideMark/>
          </w:tcPr>
          <w:p w14:paraId="0233BB74" w14:textId="77777777" w:rsidR="000406F8" w:rsidRPr="000406F8" w:rsidRDefault="000406F8" w:rsidP="000406F8">
            <w:r w:rsidRPr="000406F8">
              <w:t>III</w:t>
            </w:r>
          </w:p>
        </w:tc>
        <w:tc>
          <w:tcPr>
            <w:tcW w:w="0" w:type="auto"/>
            <w:vAlign w:val="center"/>
            <w:hideMark/>
          </w:tcPr>
          <w:p w14:paraId="15AAF5B5" w14:textId="77777777" w:rsidR="000406F8" w:rsidRPr="000406F8" w:rsidRDefault="000406F8" w:rsidP="000406F8"/>
        </w:tc>
      </w:tr>
      <w:tr w:rsidR="000406F8" w:rsidRPr="000406F8" w14:paraId="511DC338" w14:textId="77777777" w:rsidTr="000406F8">
        <w:trPr>
          <w:tblCellSpacing w:w="15" w:type="dxa"/>
        </w:trPr>
        <w:tc>
          <w:tcPr>
            <w:tcW w:w="0" w:type="auto"/>
            <w:vAlign w:val="center"/>
            <w:hideMark/>
          </w:tcPr>
          <w:p w14:paraId="6AA999B0" w14:textId="77777777" w:rsidR="000406F8" w:rsidRPr="000406F8" w:rsidRDefault="000406F8" w:rsidP="000406F8">
            <w:r w:rsidRPr="000406F8">
              <w:t>G. Greshmi Ratna</w:t>
            </w:r>
          </w:p>
        </w:tc>
        <w:tc>
          <w:tcPr>
            <w:tcW w:w="0" w:type="auto"/>
            <w:vAlign w:val="center"/>
            <w:hideMark/>
          </w:tcPr>
          <w:p w14:paraId="0779E2A3" w14:textId="77777777" w:rsidR="000406F8" w:rsidRPr="000406F8" w:rsidRDefault="000406F8" w:rsidP="000406F8">
            <w:r w:rsidRPr="000406F8">
              <w:t>CSE</w:t>
            </w:r>
          </w:p>
        </w:tc>
        <w:tc>
          <w:tcPr>
            <w:tcW w:w="0" w:type="auto"/>
            <w:vAlign w:val="center"/>
            <w:hideMark/>
          </w:tcPr>
          <w:p w14:paraId="69F837B1" w14:textId="77777777" w:rsidR="000406F8" w:rsidRPr="000406F8" w:rsidRDefault="000406F8" w:rsidP="000406F8">
            <w:r w:rsidRPr="000406F8">
              <w:t>III</w:t>
            </w:r>
          </w:p>
        </w:tc>
        <w:tc>
          <w:tcPr>
            <w:tcW w:w="0" w:type="auto"/>
            <w:vAlign w:val="center"/>
            <w:hideMark/>
          </w:tcPr>
          <w:p w14:paraId="727D6F25" w14:textId="77777777" w:rsidR="000406F8" w:rsidRPr="000406F8" w:rsidRDefault="000406F8" w:rsidP="000406F8"/>
        </w:tc>
      </w:tr>
      <w:tr w:rsidR="000406F8" w:rsidRPr="000406F8" w14:paraId="23176F5F" w14:textId="77777777" w:rsidTr="000406F8">
        <w:trPr>
          <w:tblCellSpacing w:w="15" w:type="dxa"/>
        </w:trPr>
        <w:tc>
          <w:tcPr>
            <w:tcW w:w="0" w:type="auto"/>
            <w:vAlign w:val="center"/>
            <w:hideMark/>
          </w:tcPr>
          <w:p w14:paraId="7DD72105" w14:textId="77777777" w:rsidR="000406F8" w:rsidRPr="000406F8" w:rsidRDefault="000406F8" w:rsidP="000406F8">
            <w:r w:rsidRPr="000406F8">
              <w:t>Anwesha Sahu</w:t>
            </w:r>
          </w:p>
        </w:tc>
        <w:tc>
          <w:tcPr>
            <w:tcW w:w="0" w:type="auto"/>
            <w:vAlign w:val="center"/>
            <w:hideMark/>
          </w:tcPr>
          <w:p w14:paraId="411AA950" w14:textId="77777777" w:rsidR="000406F8" w:rsidRPr="000406F8" w:rsidRDefault="000406F8" w:rsidP="000406F8">
            <w:r w:rsidRPr="000406F8">
              <w:t>CSE</w:t>
            </w:r>
          </w:p>
        </w:tc>
        <w:tc>
          <w:tcPr>
            <w:tcW w:w="0" w:type="auto"/>
            <w:vAlign w:val="center"/>
            <w:hideMark/>
          </w:tcPr>
          <w:p w14:paraId="36DE3C80" w14:textId="77777777" w:rsidR="000406F8" w:rsidRPr="000406F8" w:rsidRDefault="000406F8" w:rsidP="000406F8">
            <w:r w:rsidRPr="000406F8">
              <w:t>III</w:t>
            </w:r>
          </w:p>
        </w:tc>
        <w:tc>
          <w:tcPr>
            <w:tcW w:w="0" w:type="auto"/>
            <w:vAlign w:val="center"/>
            <w:hideMark/>
          </w:tcPr>
          <w:p w14:paraId="06C3DD8F" w14:textId="77777777" w:rsidR="000406F8" w:rsidRPr="000406F8" w:rsidRDefault="000406F8" w:rsidP="000406F8"/>
        </w:tc>
      </w:tr>
    </w:tbl>
    <w:p w14:paraId="551860BC" w14:textId="77777777" w:rsidR="000406F8" w:rsidRPr="000406F8" w:rsidRDefault="000406F8" w:rsidP="000406F8">
      <w:r w:rsidRPr="000406F8">
        <w:rPr>
          <w:b/>
          <w:bCs/>
        </w:rPr>
        <w:t>Faculty Mentor:</w:t>
      </w:r>
      <w:r w:rsidRPr="000406F8">
        <w:br/>
        <w:t xml:space="preserve">Name: Dr. </w:t>
      </w:r>
      <w:proofErr w:type="spellStart"/>
      <w:r w:rsidRPr="000406F8">
        <w:t>Narendhar</w:t>
      </w:r>
      <w:proofErr w:type="spellEnd"/>
      <w:r w:rsidRPr="000406F8">
        <w:t xml:space="preserve"> Singh</w:t>
      </w:r>
      <w:r w:rsidRPr="000406F8">
        <w:br/>
        <w:t>Designation: Associate Professor, ECE</w:t>
      </w:r>
      <w:r w:rsidRPr="000406F8">
        <w:br/>
        <w:t xml:space="preserve">Email: </w:t>
      </w:r>
      <w:hyperlink r:id="rId7" w:history="1">
        <w:r w:rsidRPr="000406F8">
          <w:rPr>
            <w:rStyle w:val="Hyperlink"/>
          </w:rPr>
          <w:t>narendarsinghece@anurag.edu.in</w:t>
        </w:r>
      </w:hyperlink>
    </w:p>
    <w:p w14:paraId="091AF965" w14:textId="3E212D47" w:rsidR="003E0605" w:rsidRDefault="003E0605" w:rsidP="003E0605"/>
    <w:sectPr w:rsidR="003E0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8CD"/>
    <w:multiLevelType w:val="multilevel"/>
    <w:tmpl w:val="4348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195E"/>
    <w:multiLevelType w:val="multilevel"/>
    <w:tmpl w:val="9EB8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35FBC"/>
    <w:multiLevelType w:val="multilevel"/>
    <w:tmpl w:val="0DB2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A49A6"/>
    <w:multiLevelType w:val="multilevel"/>
    <w:tmpl w:val="4670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51E1E"/>
    <w:multiLevelType w:val="multilevel"/>
    <w:tmpl w:val="1256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67815"/>
    <w:multiLevelType w:val="multilevel"/>
    <w:tmpl w:val="1E0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72932"/>
    <w:multiLevelType w:val="multilevel"/>
    <w:tmpl w:val="4868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A12DB"/>
    <w:multiLevelType w:val="multilevel"/>
    <w:tmpl w:val="180A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0411"/>
    <w:multiLevelType w:val="multilevel"/>
    <w:tmpl w:val="6744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064D0"/>
    <w:multiLevelType w:val="multilevel"/>
    <w:tmpl w:val="AAFE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2D7541"/>
    <w:multiLevelType w:val="multilevel"/>
    <w:tmpl w:val="0F9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51D9F"/>
    <w:multiLevelType w:val="multilevel"/>
    <w:tmpl w:val="2606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95900"/>
    <w:multiLevelType w:val="multilevel"/>
    <w:tmpl w:val="6054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A3237"/>
    <w:multiLevelType w:val="multilevel"/>
    <w:tmpl w:val="6E8E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3688A"/>
    <w:multiLevelType w:val="multilevel"/>
    <w:tmpl w:val="821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722A4"/>
    <w:multiLevelType w:val="multilevel"/>
    <w:tmpl w:val="4B8C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30BBC"/>
    <w:multiLevelType w:val="multilevel"/>
    <w:tmpl w:val="C4A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C614D"/>
    <w:multiLevelType w:val="multilevel"/>
    <w:tmpl w:val="4774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4302">
    <w:abstractNumId w:val="9"/>
  </w:num>
  <w:num w:numId="2" w16cid:durableId="719672660">
    <w:abstractNumId w:val="6"/>
  </w:num>
  <w:num w:numId="3" w16cid:durableId="1368066898">
    <w:abstractNumId w:val="8"/>
  </w:num>
  <w:num w:numId="4" w16cid:durableId="1393426665">
    <w:abstractNumId w:val="1"/>
  </w:num>
  <w:num w:numId="5" w16cid:durableId="1291012401">
    <w:abstractNumId w:val="2"/>
  </w:num>
  <w:num w:numId="6" w16cid:durableId="171144915">
    <w:abstractNumId w:val="7"/>
  </w:num>
  <w:num w:numId="7" w16cid:durableId="466363087">
    <w:abstractNumId w:val="15"/>
  </w:num>
  <w:num w:numId="8" w16cid:durableId="321660843">
    <w:abstractNumId w:val="3"/>
  </w:num>
  <w:num w:numId="9" w16cid:durableId="425156332">
    <w:abstractNumId w:val="0"/>
  </w:num>
  <w:num w:numId="10" w16cid:durableId="933323241">
    <w:abstractNumId w:val="11"/>
  </w:num>
  <w:num w:numId="11" w16cid:durableId="240529016">
    <w:abstractNumId w:val="13"/>
  </w:num>
  <w:num w:numId="12" w16cid:durableId="511069097">
    <w:abstractNumId w:val="16"/>
  </w:num>
  <w:num w:numId="13" w16cid:durableId="1573808144">
    <w:abstractNumId w:val="14"/>
  </w:num>
  <w:num w:numId="14" w16cid:durableId="1245644425">
    <w:abstractNumId w:val="17"/>
  </w:num>
  <w:num w:numId="15" w16cid:durableId="1893926072">
    <w:abstractNumId w:val="12"/>
  </w:num>
  <w:num w:numId="16" w16cid:durableId="797454906">
    <w:abstractNumId w:val="10"/>
  </w:num>
  <w:num w:numId="17" w16cid:durableId="1191726103">
    <w:abstractNumId w:val="5"/>
  </w:num>
  <w:num w:numId="18" w16cid:durableId="464275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05"/>
    <w:rsid w:val="000406F8"/>
    <w:rsid w:val="003C6039"/>
    <w:rsid w:val="003E0605"/>
    <w:rsid w:val="00473A56"/>
    <w:rsid w:val="004E0C52"/>
    <w:rsid w:val="004E576C"/>
    <w:rsid w:val="00B06FB7"/>
    <w:rsid w:val="00C82632"/>
    <w:rsid w:val="00CE434F"/>
    <w:rsid w:val="00D01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8D06"/>
  <w15:chartTrackingRefBased/>
  <w15:docId w15:val="{76300143-2146-480B-98BD-609828DC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605"/>
    <w:rPr>
      <w:rFonts w:eastAsiaTheme="majorEastAsia" w:cstheme="majorBidi"/>
      <w:color w:val="272727" w:themeColor="text1" w:themeTint="D8"/>
    </w:rPr>
  </w:style>
  <w:style w:type="paragraph" w:styleId="Title">
    <w:name w:val="Title"/>
    <w:basedOn w:val="Normal"/>
    <w:next w:val="Normal"/>
    <w:link w:val="TitleChar"/>
    <w:uiPriority w:val="10"/>
    <w:qFormat/>
    <w:rsid w:val="003E0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605"/>
    <w:pPr>
      <w:spacing w:before="160"/>
      <w:jc w:val="center"/>
    </w:pPr>
    <w:rPr>
      <w:i/>
      <w:iCs/>
      <w:color w:val="404040" w:themeColor="text1" w:themeTint="BF"/>
    </w:rPr>
  </w:style>
  <w:style w:type="character" w:customStyle="1" w:styleId="QuoteChar">
    <w:name w:val="Quote Char"/>
    <w:basedOn w:val="DefaultParagraphFont"/>
    <w:link w:val="Quote"/>
    <w:uiPriority w:val="29"/>
    <w:rsid w:val="003E0605"/>
    <w:rPr>
      <w:i/>
      <w:iCs/>
      <w:color w:val="404040" w:themeColor="text1" w:themeTint="BF"/>
    </w:rPr>
  </w:style>
  <w:style w:type="paragraph" w:styleId="ListParagraph">
    <w:name w:val="List Paragraph"/>
    <w:basedOn w:val="Normal"/>
    <w:uiPriority w:val="34"/>
    <w:qFormat/>
    <w:rsid w:val="003E0605"/>
    <w:pPr>
      <w:ind w:left="720"/>
      <w:contextualSpacing/>
    </w:pPr>
  </w:style>
  <w:style w:type="character" w:styleId="IntenseEmphasis">
    <w:name w:val="Intense Emphasis"/>
    <w:basedOn w:val="DefaultParagraphFont"/>
    <w:uiPriority w:val="21"/>
    <w:qFormat/>
    <w:rsid w:val="003E0605"/>
    <w:rPr>
      <w:i/>
      <w:iCs/>
      <w:color w:val="0F4761" w:themeColor="accent1" w:themeShade="BF"/>
    </w:rPr>
  </w:style>
  <w:style w:type="paragraph" w:styleId="IntenseQuote">
    <w:name w:val="Intense Quote"/>
    <w:basedOn w:val="Normal"/>
    <w:next w:val="Normal"/>
    <w:link w:val="IntenseQuoteChar"/>
    <w:uiPriority w:val="30"/>
    <w:qFormat/>
    <w:rsid w:val="003E0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605"/>
    <w:rPr>
      <w:i/>
      <w:iCs/>
      <w:color w:val="0F4761" w:themeColor="accent1" w:themeShade="BF"/>
    </w:rPr>
  </w:style>
  <w:style w:type="character" w:styleId="IntenseReference">
    <w:name w:val="Intense Reference"/>
    <w:basedOn w:val="DefaultParagraphFont"/>
    <w:uiPriority w:val="32"/>
    <w:qFormat/>
    <w:rsid w:val="003E0605"/>
    <w:rPr>
      <w:b/>
      <w:bCs/>
      <w:smallCaps/>
      <w:color w:val="0F4761" w:themeColor="accent1" w:themeShade="BF"/>
      <w:spacing w:val="5"/>
    </w:rPr>
  </w:style>
  <w:style w:type="character" w:styleId="Hyperlink">
    <w:name w:val="Hyperlink"/>
    <w:basedOn w:val="DefaultParagraphFont"/>
    <w:uiPriority w:val="99"/>
    <w:unhideWhenUsed/>
    <w:rsid w:val="003E0605"/>
    <w:rPr>
      <w:color w:val="467886" w:themeColor="hyperlink"/>
      <w:u w:val="single"/>
    </w:rPr>
  </w:style>
  <w:style w:type="character" w:styleId="UnresolvedMention">
    <w:name w:val="Unresolved Mention"/>
    <w:basedOn w:val="DefaultParagraphFont"/>
    <w:uiPriority w:val="99"/>
    <w:semiHidden/>
    <w:unhideWhenUsed/>
    <w:rsid w:val="003E0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738021">
      <w:bodyDiv w:val="1"/>
      <w:marLeft w:val="0"/>
      <w:marRight w:val="0"/>
      <w:marTop w:val="0"/>
      <w:marBottom w:val="0"/>
      <w:divBdr>
        <w:top w:val="none" w:sz="0" w:space="0" w:color="auto"/>
        <w:left w:val="none" w:sz="0" w:space="0" w:color="auto"/>
        <w:bottom w:val="none" w:sz="0" w:space="0" w:color="auto"/>
        <w:right w:val="none" w:sz="0" w:space="0" w:color="auto"/>
      </w:divBdr>
    </w:div>
    <w:div w:id="1353917405">
      <w:bodyDiv w:val="1"/>
      <w:marLeft w:val="0"/>
      <w:marRight w:val="0"/>
      <w:marTop w:val="0"/>
      <w:marBottom w:val="0"/>
      <w:divBdr>
        <w:top w:val="none" w:sz="0" w:space="0" w:color="auto"/>
        <w:left w:val="none" w:sz="0" w:space="0" w:color="auto"/>
        <w:bottom w:val="none" w:sz="0" w:space="0" w:color="auto"/>
        <w:right w:val="none" w:sz="0" w:space="0" w:color="auto"/>
      </w:divBdr>
    </w:div>
    <w:div w:id="1556116440">
      <w:bodyDiv w:val="1"/>
      <w:marLeft w:val="0"/>
      <w:marRight w:val="0"/>
      <w:marTop w:val="0"/>
      <w:marBottom w:val="0"/>
      <w:divBdr>
        <w:top w:val="none" w:sz="0" w:space="0" w:color="auto"/>
        <w:left w:val="none" w:sz="0" w:space="0" w:color="auto"/>
        <w:bottom w:val="none" w:sz="0" w:space="0" w:color="auto"/>
        <w:right w:val="none" w:sz="0" w:space="0" w:color="auto"/>
      </w:divBdr>
    </w:div>
    <w:div w:id="204532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rendarsinghece@anurag.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Greshmi Ratna</dc:creator>
  <cp:keywords/>
  <dc:description/>
  <cp:lastModifiedBy>Greshmi Ratna</cp:lastModifiedBy>
  <cp:revision>8</cp:revision>
  <dcterms:created xsi:type="dcterms:W3CDTF">2025-07-01T08:30:00Z</dcterms:created>
  <dcterms:modified xsi:type="dcterms:W3CDTF">2025-07-01T10:12:00Z</dcterms:modified>
</cp:coreProperties>
</file>