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SkyDrop Testing and Maintenance Plan</w:t>
      </w:r>
    </w:p>
    <w:p>
      <w:pPr>
        <w:pStyle w:val="Subtitle"/>
      </w:pPr>
      <w:r>
        <w:t>Software Development Processes   Lab 4</w:t>
        <w:br/>
        <w:t>Yuning Yao   2065</w:t>
      </w:r>
    </w:p>
    <w:p>
      <w:r>
        <w:t>This plan tests the five components from Lab 3 against the streamlined Lab 2 requirements. It retains Lab 1’s core operational, recipient, retailer, manufacturer and regulatory interests. Safety, access control and consistent delivery records take priority. Test outcomes below are expected results, not completed test evidence.</w:t>
      </w:r>
    </w:p>
    <w:p>
      <w:pPr>
        <w:pStyle w:val="Heading1"/>
      </w:pPr>
      <w:r>
        <w:t>Task 1 Creating a testing plan</w:t>
      </w:r>
    </w:p>
    <w:p>
      <w:r>
        <w:t>C1 is the responsive web portal; C2 the depot application; C3 the modular cloud application; C4 the relational database; C5 private photo storage. Native customer app testing is deferred with R23. Manufacturer flight-control software remains outside SkyDrop’s implementation scope, but its interfaces require joint testing.</w:t>
      </w:r>
    </w:p>
    <w:p>
      <w:pPr>
        <w:pStyle w:val="Heading2"/>
      </w:pPr>
      <w:r>
        <w:t>Web and depot components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2"/>
        <w:gridCol w:w="1944"/>
        <w:gridCol w:w="6451"/>
      </w:tblGrid>
      <w:tr>
        <w:trPr>
          <w:cantSplit/>
          <w:tblHeader/>
        </w:trPr>
        <w:tc>
          <w:tcPr>
            <w:tcW w:type="dxa" w:w="1642"/>
            <w:vAlign w:val="center"/>
            <w:tcMar>
              <w:top w:w="75" w:type="dxa"/>
              <w:bottom w:w="75" w:type="dxa"/>
              <w:left w:w="75" w:type="dxa"/>
              <w:right w:w="75" w:type="dxa"/>
            </w:tcMar>
            <w:shd w:fill="DFEAF3"/>
          </w:tcPr>
          <w:p>
            <w:pPr>
              <w:spacing w:after="40" w:line="245" w:lineRule="auto"/>
            </w:pPr>
            <w:r>
              <w:rPr>
                <w:b/>
                <w:sz w:val="18"/>
              </w:rPr>
              <w:t>Test and scope</w:t>
            </w:r>
          </w:p>
        </w:tc>
        <w:tc>
          <w:tcPr>
            <w:tcW w:type="dxa" w:w="1944"/>
            <w:vAlign w:val="center"/>
            <w:tcMar>
              <w:top w:w="75" w:type="dxa"/>
              <w:bottom w:w="75" w:type="dxa"/>
              <w:left w:w="75" w:type="dxa"/>
              <w:right w:w="75" w:type="dxa"/>
            </w:tcMar>
            <w:shd w:fill="DFEAF3"/>
          </w:tcPr>
          <w:p>
            <w:pPr>
              <w:spacing w:after="40" w:line="245" w:lineRule="auto"/>
            </w:pPr>
            <w:r>
              <w:rPr>
                <w:b/>
                <w:sz w:val="18"/>
              </w:rPr>
              <w:t>Method</w:t>
            </w:r>
          </w:p>
        </w:tc>
        <w:tc>
          <w:tcPr>
            <w:tcW w:type="dxa" w:w="6451"/>
            <w:vAlign w:val="center"/>
            <w:tcMar>
              <w:top w:w="75" w:type="dxa"/>
              <w:bottom w:w="75" w:type="dxa"/>
              <w:left w:w="75" w:type="dxa"/>
              <w:right w:w="75" w:type="dxa"/>
            </w:tcMar>
            <w:shd w:fill="DFEAF3"/>
          </w:tcPr>
          <w:p>
            <w:pPr>
              <w:spacing w:after="40" w:line="245" w:lineRule="auto"/>
            </w:pPr>
            <w:r>
              <w:rPr>
                <w:b/>
                <w:sz w:val="18"/>
              </w:rPr>
              <w:t>Example and expected result</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T01 C1</w:t>
              <w:br/>
              <w:t>R01 R02</w:t>
            </w:r>
          </w:p>
        </w:tc>
        <w:tc>
          <w:tcPr>
            <w:tcW w:type="dxa" w:w="1944"/>
            <w:vAlign w:val="center"/>
            <w:tcMar>
              <w:top w:w="75" w:type="dxa"/>
              <w:bottom w:w="75" w:type="dxa"/>
              <w:left w:w="75" w:type="dxa"/>
              <w:right w:w="75" w:type="dxa"/>
            </w:tcMar>
          </w:tcPr>
          <w:p>
            <w:pPr>
              <w:spacing w:after="40" w:line="245" w:lineRule="auto"/>
            </w:pPr>
            <w:r>
              <w:rPr>
                <w:b w:val="0"/>
                <w:sz w:val="18"/>
              </w:rPr>
              <w:t>Usability and browser compatibility</w:t>
            </w:r>
          </w:p>
        </w:tc>
        <w:tc>
          <w:tcPr>
            <w:tcW w:type="dxa" w:w="6451"/>
            <w:vAlign w:val="center"/>
            <w:tcMar>
              <w:top w:w="75" w:type="dxa"/>
              <w:bottom w:w="75" w:type="dxa"/>
              <w:left w:w="75" w:type="dxa"/>
              <w:right w:w="75" w:type="dxa"/>
            </w:tcMar>
          </w:tcPr>
          <w:p>
            <w:pPr>
              <w:spacing w:after="40" w:line="245" w:lineRule="auto"/>
            </w:pPr>
            <w:r>
              <w:rPr>
                <w:b w:val="0"/>
                <w:sz w:val="18"/>
              </w:rPr>
              <w:t>On the agreed phone and desktop browsers, select a mapped drop point and track an order. Controls remain usable without clipping; the saved coordinates match the selected point.</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T02 C1</w:t>
              <w:br/>
              <w:t>R03 R04 R12 R16</w:t>
            </w:r>
          </w:p>
        </w:tc>
        <w:tc>
          <w:tcPr>
            <w:tcW w:type="dxa" w:w="1944"/>
            <w:vAlign w:val="center"/>
            <w:tcMar>
              <w:top w:w="75" w:type="dxa"/>
              <w:bottom w:w="75" w:type="dxa"/>
              <w:left w:w="75" w:type="dxa"/>
              <w:right w:w="75" w:type="dxa"/>
            </w:tcMar>
          </w:tcPr>
          <w:p>
            <w:pPr>
              <w:spacing w:after="40" w:line="245" w:lineRule="auto"/>
            </w:pPr>
            <w:r>
              <w:rPr>
                <w:b w:val="0"/>
                <w:sz w:val="18"/>
              </w:rPr>
              <w:t>Functional UI testing</w:t>
            </w:r>
          </w:p>
        </w:tc>
        <w:tc>
          <w:tcPr>
            <w:tcW w:type="dxa" w:w="6451"/>
            <w:vAlign w:val="center"/>
            <w:tcMar>
              <w:top w:w="75" w:type="dxa"/>
              <w:bottom w:w="75" w:type="dxa"/>
              <w:left w:w="75" w:type="dxa"/>
              <w:right w:w="75" w:type="dxa"/>
            </w:tcMar>
          </w:tcPr>
          <w:p>
            <w:pPr>
              <w:spacing w:after="40" w:line="245" w:lineRule="auto"/>
            </w:pPr>
            <w:r>
              <w:rPr>
                <w:b w:val="0"/>
                <w:sz w:val="18"/>
              </w:rPr>
              <w:t>Inject delivered, failed and delayed-photo events. The matching order shows the correct outcome, failure reason, history and photo; a missing photo is explicitly pending.</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T03 C1 and C3</w:t>
              <w:br/>
              <w:t>R17 R18</w:t>
            </w:r>
          </w:p>
        </w:tc>
        <w:tc>
          <w:tcPr>
            <w:tcW w:type="dxa" w:w="1944"/>
            <w:vAlign w:val="center"/>
            <w:tcMar>
              <w:top w:w="75" w:type="dxa"/>
              <w:bottom w:w="75" w:type="dxa"/>
              <w:left w:w="75" w:type="dxa"/>
              <w:right w:w="75" w:type="dxa"/>
            </w:tcMar>
          </w:tcPr>
          <w:p>
            <w:pPr>
              <w:spacing w:after="40" w:line="245" w:lineRule="auto"/>
            </w:pPr>
            <w:r>
              <w:rPr>
                <w:b w:val="0"/>
                <w:sz w:val="18"/>
              </w:rPr>
              <w:t>Authorisation testing</w:t>
            </w:r>
          </w:p>
        </w:tc>
        <w:tc>
          <w:tcPr>
            <w:tcW w:type="dxa" w:w="6451"/>
            <w:vAlign w:val="center"/>
            <w:tcMar>
              <w:top w:w="75" w:type="dxa"/>
              <w:bottom w:w="75" w:type="dxa"/>
              <w:left w:w="75" w:type="dxa"/>
              <w:right w:w="75" w:type="dxa"/>
            </w:tcMar>
          </w:tcPr>
          <w:p>
            <w:pPr>
              <w:spacing w:after="40" w:line="245" w:lineRule="auto"/>
            </w:pPr>
            <w:r>
              <w:rPr>
                <w:b w:val="0"/>
                <w:sz w:val="18"/>
              </w:rPr>
              <w:t>As recipient A, request recipient B’s order and photo by changing IDs: access is denied. As support staff, call the command endpoint directly: denied and audited, even if the UI control is hidden.</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T04 C2</w:t>
              <w:br/>
              <w:t>R05</w:t>
            </w:r>
          </w:p>
        </w:tc>
        <w:tc>
          <w:tcPr>
            <w:tcW w:type="dxa" w:w="1944"/>
            <w:vAlign w:val="center"/>
            <w:tcMar>
              <w:top w:w="75" w:type="dxa"/>
              <w:bottom w:w="75" w:type="dxa"/>
              <w:left w:w="75" w:type="dxa"/>
              <w:right w:w="75" w:type="dxa"/>
            </w:tcMar>
          </w:tcPr>
          <w:p>
            <w:pPr>
              <w:spacing w:after="40" w:line="245" w:lineRule="auto"/>
            </w:pPr>
            <w:r>
              <w:rPr>
                <w:b w:val="0"/>
                <w:sz w:val="18"/>
              </w:rPr>
              <w:t>Functional and integration testing</w:t>
            </w:r>
          </w:p>
        </w:tc>
        <w:tc>
          <w:tcPr>
            <w:tcW w:type="dxa" w:w="6451"/>
            <w:vAlign w:val="center"/>
            <w:tcMar>
              <w:top w:w="75" w:type="dxa"/>
              <w:bottom w:w="75" w:type="dxa"/>
              <w:left w:w="75" w:type="dxa"/>
              <w:right w:w="75" w:type="dxa"/>
            </w:tcMar>
          </w:tcPr>
          <w:p>
            <w:pPr>
              <w:spacing w:after="40" w:line="245" w:lineRule="auto"/>
            </w:pPr>
            <w:r>
              <w:rPr>
                <w:b w:val="0"/>
                <w:sz w:val="18"/>
              </w:rPr>
              <w:t>Scan a parcel into and out of the depot, then retry the same event ID. One entry and one exit event remain, with correct timestamps and no duplicate parcel.</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T05 C2 and drone</w:t>
              <w:br/>
              <w:t>R06 R21</w:t>
            </w:r>
          </w:p>
        </w:tc>
        <w:tc>
          <w:tcPr>
            <w:tcW w:type="dxa" w:w="1944"/>
            <w:vAlign w:val="center"/>
            <w:tcMar>
              <w:top w:w="75" w:type="dxa"/>
              <w:bottom w:w="75" w:type="dxa"/>
              <w:left w:w="75" w:type="dxa"/>
              <w:right w:w="75" w:type="dxa"/>
            </w:tcMar>
          </w:tcPr>
          <w:p>
            <w:pPr>
              <w:spacing w:after="40" w:line="245" w:lineRule="auto"/>
            </w:pPr>
            <w:r>
              <w:rPr>
                <w:b w:val="0"/>
                <w:sz w:val="18"/>
              </w:rPr>
              <w:t>Hardware interface and fault injection</w:t>
            </w:r>
          </w:p>
        </w:tc>
        <w:tc>
          <w:tcPr>
            <w:tcW w:type="dxa" w:w="6451"/>
            <w:vAlign w:val="center"/>
            <w:tcMar>
              <w:top w:w="75" w:type="dxa"/>
              <w:bottom w:w="75" w:type="dxa"/>
              <w:left w:w="75" w:type="dxa"/>
              <w:right w:w="75" w:type="dxa"/>
            </w:tcMar>
          </w:tcPr>
          <w:p>
            <w:pPr>
              <w:spacing w:after="40" w:line="245" w:lineRule="auto"/>
            </w:pPr>
            <w:r>
              <w:rPr>
                <w:b w:val="0"/>
                <w:sz w:val="18"/>
              </w:rPr>
              <w:t>Program approved coordinates into the selected drone and verify its matching acknowledgement. Drop the Bluetooth connection or return the wrong flight ID: dispatch is blocked until the uncertain state is reconciled.</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T06 C2 and C3</w:t>
              <w:br/>
              <w:t>R06 R07 R08</w:t>
            </w:r>
          </w:p>
        </w:tc>
        <w:tc>
          <w:tcPr>
            <w:tcW w:type="dxa" w:w="1944"/>
            <w:vAlign w:val="center"/>
            <w:tcMar>
              <w:top w:w="75" w:type="dxa"/>
              <w:bottom w:w="75" w:type="dxa"/>
              <w:left w:w="75" w:type="dxa"/>
              <w:right w:w="75" w:type="dxa"/>
            </w:tcMar>
          </w:tcPr>
          <w:p>
            <w:pPr>
              <w:spacing w:after="40" w:line="245" w:lineRule="auto"/>
            </w:pPr>
            <w:r>
              <w:rPr>
                <w:b w:val="0"/>
                <w:sz w:val="18"/>
              </w:rPr>
              <w:t>Workflow regression testing</w:t>
            </w:r>
          </w:p>
        </w:tc>
        <w:tc>
          <w:tcPr>
            <w:tcW w:type="dxa" w:w="6451"/>
            <w:vAlign w:val="center"/>
            <w:tcMar>
              <w:top w:w="75" w:type="dxa"/>
              <w:bottom w:w="75" w:type="dxa"/>
              <w:left w:w="75" w:type="dxa"/>
              <w:right w:w="75" w:type="dxa"/>
            </w:tcMar>
          </w:tcPr>
          <w:p>
            <w:pPr>
              <w:spacing w:after="40" w:line="245" w:lineRule="auto"/>
            </w:pPr>
            <w:r>
              <w:rPr>
                <w:b w:val="0"/>
                <w:sz w:val="18"/>
              </w:rPr>
              <w:t>Change the drop point after preparation, or let the daylight check expire. Scan out again: the old approval cannot authorise dispatch; fresh validation and any necessary reprogramming are required.</w:t>
            </w:r>
          </w:p>
        </w:tc>
      </w:tr>
    </w:tbl>
    <w:p>
      <w:pPr>
        <w:spacing w:after="0"/>
      </w:pPr>
    </w:p>
    <w:p>
      <w:r>
        <w:t>Resources: representative phones and browsers, scanner, Bluetooth adapter, test drone or manufacturer simulator, and role-specific test accounts. Warehouse staff and recipients validate usability; developers run automated checks.</w:t>
      </w:r>
    </w:p>
    <w:p>
      <w:r>
        <w:br w:type="page"/>
      </w:r>
    </w:p>
    <w:p>
      <w:pPr>
        <w:pStyle w:val="Heading1"/>
      </w:pPr>
      <w:r>
        <w:t>Cloud logic and external interfaces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2"/>
        <w:gridCol w:w="1944"/>
        <w:gridCol w:w="6451"/>
      </w:tblGrid>
      <w:tr>
        <w:trPr>
          <w:cantSplit/>
          <w:tblHeader/>
        </w:trPr>
        <w:tc>
          <w:tcPr>
            <w:tcW w:type="dxa" w:w="1642"/>
            <w:vAlign w:val="center"/>
            <w:tcMar>
              <w:top w:w="75" w:type="dxa"/>
              <w:bottom w:w="75" w:type="dxa"/>
              <w:left w:w="75" w:type="dxa"/>
              <w:right w:w="75" w:type="dxa"/>
            </w:tcMar>
            <w:shd w:fill="DFEAF3"/>
          </w:tcPr>
          <w:p>
            <w:pPr>
              <w:spacing w:after="40" w:line="245" w:lineRule="auto"/>
            </w:pPr>
            <w:r>
              <w:rPr>
                <w:b/>
                <w:sz w:val="18"/>
              </w:rPr>
              <w:t>Test and scope</w:t>
            </w:r>
          </w:p>
        </w:tc>
        <w:tc>
          <w:tcPr>
            <w:tcW w:type="dxa" w:w="1944"/>
            <w:vAlign w:val="center"/>
            <w:tcMar>
              <w:top w:w="75" w:type="dxa"/>
              <w:bottom w:w="75" w:type="dxa"/>
              <w:left w:w="75" w:type="dxa"/>
              <w:right w:w="75" w:type="dxa"/>
            </w:tcMar>
            <w:shd w:fill="DFEAF3"/>
          </w:tcPr>
          <w:p>
            <w:pPr>
              <w:spacing w:after="40" w:line="245" w:lineRule="auto"/>
            </w:pPr>
            <w:r>
              <w:rPr>
                <w:b/>
                <w:sz w:val="18"/>
              </w:rPr>
              <w:t>Method</w:t>
            </w:r>
          </w:p>
        </w:tc>
        <w:tc>
          <w:tcPr>
            <w:tcW w:type="dxa" w:w="6451"/>
            <w:vAlign w:val="center"/>
            <w:tcMar>
              <w:top w:w="75" w:type="dxa"/>
              <w:bottom w:w="75" w:type="dxa"/>
              <w:left w:w="75" w:type="dxa"/>
              <w:right w:w="75" w:type="dxa"/>
            </w:tcMar>
            <w:shd w:fill="DFEAF3"/>
          </w:tcPr>
          <w:p>
            <w:pPr>
              <w:spacing w:after="40" w:line="245" w:lineRule="auto"/>
            </w:pPr>
            <w:r>
              <w:rPr>
                <w:b/>
                <w:sz w:val="18"/>
              </w:rPr>
              <w:t>Example and expected result</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T07 C3</w:t>
              <w:br/>
              <w:t>R07 R22</w:t>
            </w:r>
          </w:p>
        </w:tc>
        <w:tc>
          <w:tcPr>
            <w:tcW w:type="dxa" w:w="1944"/>
            <w:vAlign w:val="center"/>
            <w:tcMar>
              <w:top w:w="75" w:type="dxa"/>
              <w:bottom w:w="75" w:type="dxa"/>
              <w:left w:w="75" w:type="dxa"/>
              <w:right w:w="75" w:type="dxa"/>
            </w:tcMar>
          </w:tcPr>
          <w:p>
            <w:pPr>
              <w:spacing w:after="40" w:line="245" w:lineRule="auto"/>
            </w:pPr>
            <w:r>
              <w:rPr>
                <w:b w:val="0"/>
                <w:sz w:val="18"/>
              </w:rPr>
              <w:t>Unit and boundary testing</w:t>
            </w:r>
          </w:p>
        </w:tc>
        <w:tc>
          <w:tcPr>
            <w:tcW w:type="dxa" w:w="6451"/>
            <w:vAlign w:val="center"/>
            <w:tcMar>
              <w:top w:w="75" w:type="dxa"/>
              <w:bottom w:w="75" w:type="dxa"/>
              <w:left w:w="75" w:type="dxa"/>
              <w:right w:w="75" w:type="dxa"/>
            </w:tcMar>
          </w:tcPr>
          <w:p>
            <w:pPr>
              <w:spacing w:after="40" w:line="245" w:lineRule="auto"/>
            </w:pPr>
            <w:r>
              <w:rPr>
                <w:b w:val="0"/>
                <w:sz w:val="18"/>
              </w:rPr>
              <w:t>With a test policy of four miles normally and three miles at wind ≥15 mph, test 14.9/15/15.1 mph and points just inside/on/outside each radius. Apply the configured boundary rule. Restricted-zone, roof and unverified points must never pass; unknown weather holds dispatch.</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T08 C3</w:t>
              <w:br/>
              <w:t>R08</w:t>
            </w:r>
          </w:p>
        </w:tc>
        <w:tc>
          <w:tcPr>
            <w:tcW w:type="dxa" w:w="1944"/>
            <w:vAlign w:val="center"/>
            <w:tcMar>
              <w:top w:w="75" w:type="dxa"/>
              <w:bottom w:w="75" w:type="dxa"/>
              <w:left w:w="75" w:type="dxa"/>
              <w:right w:w="75" w:type="dxa"/>
            </w:tcMar>
          </w:tcPr>
          <w:p>
            <w:pPr>
              <w:spacing w:after="40" w:line="245" w:lineRule="auto"/>
            </w:pPr>
            <w:r>
              <w:rPr>
                <w:b w:val="0"/>
                <w:sz w:val="18"/>
              </w:rPr>
              <w:t>Boundary and decision testing</w:t>
            </w:r>
          </w:p>
        </w:tc>
        <w:tc>
          <w:tcPr>
            <w:tcW w:type="dxa" w:w="6451"/>
            <w:vAlign w:val="center"/>
            <w:tcMar>
              <w:top w:w="75" w:type="dxa"/>
              <w:bottom w:w="75" w:type="dxa"/>
              <w:left w:w="75" w:type="dxa"/>
              <w:right w:w="75" w:type="dxa"/>
            </w:tcMar>
          </w:tcPr>
          <w:p>
            <w:pPr>
              <w:spacing w:after="40" w:line="245" w:lineRule="auto"/>
            </w:pPr>
            <w:r>
              <w:rPr>
                <w:b w:val="0"/>
                <w:sz w:val="18"/>
              </w:rPr>
              <w:t>Let T be dusk minus estimated round trip and approved margin. Test just before, at and after T, including winter/summer and UK clock changes. Use the approved equality rule; incomplete or uncertain return estimates block dispatch.</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T09 C3 and C4</w:t>
              <w:br/>
              <w:t>R09 R10 R11</w:t>
            </w:r>
          </w:p>
        </w:tc>
        <w:tc>
          <w:tcPr>
            <w:tcW w:type="dxa" w:w="1944"/>
            <w:vAlign w:val="center"/>
            <w:tcMar>
              <w:top w:w="75" w:type="dxa"/>
              <w:bottom w:w="75" w:type="dxa"/>
              <w:left w:w="75" w:type="dxa"/>
              <w:right w:w="75" w:type="dxa"/>
            </w:tcMar>
          </w:tcPr>
          <w:p>
            <w:pPr>
              <w:spacing w:after="40" w:line="245" w:lineRule="auto"/>
            </w:pPr>
            <w:r>
              <w:rPr>
                <w:b w:val="0"/>
                <w:sz w:val="18"/>
              </w:rPr>
              <w:t>Telemetry integration and fault testing</w:t>
            </w:r>
          </w:p>
        </w:tc>
        <w:tc>
          <w:tcPr>
            <w:tcW w:type="dxa" w:w="6451"/>
            <w:vAlign w:val="center"/>
            <w:tcMar>
              <w:top w:w="75" w:type="dxa"/>
              <w:bottom w:w="75" w:type="dxa"/>
              <w:left w:w="75" w:type="dxa"/>
              <w:right w:w="75" w:type="dxa"/>
            </w:tcMar>
          </w:tcPr>
          <w:p>
            <w:pPr>
              <w:spacing w:after="40" w:line="245" w:lineRule="auto"/>
            </w:pPr>
            <w:r>
              <w:rPr>
                <w:b w:val="0"/>
                <w:sz w:val="18"/>
              </w:rPr>
              <w:t>Send new, duplicate and older samples: current readings stay newest and history remains correct. Stop updates and inject a serious-fault event: show stale data and alert maintenance with drone ID, last location and its time within the agreed alert limit.</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T10 C3 and drone</w:t>
              <w:br/>
              <w:t>R13 R17 R21</w:t>
            </w:r>
          </w:p>
        </w:tc>
        <w:tc>
          <w:tcPr>
            <w:tcW w:type="dxa" w:w="1944"/>
            <w:vAlign w:val="center"/>
            <w:tcMar>
              <w:top w:w="75" w:type="dxa"/>
              <w:bottom w:w="75" w:type="dxa"/>
              <w:left w:w="75" w:type="dxa"/>
              <w:right w:w="75" w:type="dxa"/>
            </w:tcMar>
          </w:tcPr>
          <w:p>
            <w:pPr>
              <w:spacing w:after="40" w:line="245" w:lineRule="auto"/>
            </w:pPr>
            <w:r>
              <w:rPr>
                <w:b w:val="0"/>
                <w:sz w:val="18"/>
              </w:rPr>
              <w:t>Protocol and state transition testing</w:t>
            </w:r>
          </w:p>
        </w:tc>
        <w:tc>
          <w:tcPr>
            <w:tcW w:type="dxa" w:w="6451"/>
            <w:vAlign w:val="center"/>
            <w:tcMar>
              <w:top w:w="75" w:type="dxa"/>
              <w:bottom w:w="75" w:type="dxa"/>
              <w:left w:w="75" w:type="dxa"/>
              <w:right w:w="75" w:type="dxa"/>
            </w:tcMar>
          </w:tcPr>
          <w:p>
            <w:pPr>
              <w:spacing w:after="40" w:line="245" w:lineRule="auto"/>
            </w:pPr>
            <w:r>
              <w:rPr>
                <w:b w:val="0"/>
                <w:sz w:val="18"/>
              </w:rPr>
              <w:t>Queue Return to Base for D17: only D17 receives it in its next status response. Test duplicate delivery, lost acknowledgement, expiry and Land Immediately precedence: no duplicate execution or false completion; state changes and failures are audited and visible.</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T11 C3 and retailer</w:t>
              <w:br/>
              <w:t>R14 R15 R16</w:t>
            </w:r>
          </w:p>
        </w:tc>
        <w:tc>
          <w:tcPr>
            <w:tcW w:type="dxa" w:w="1944"/>
            <w:vAlign w:val="center"/>
            <w:tcMar>
              <w:top w:w="75" w:type="dxa"/>
              <w:bottom w:w="75" w:type="dxa"/>
              <w:left w:w="75" w:type="dxa"/>
              <w:right w:w="75" w:type="dxa"/>
            </w:tcMar>
          </w:tcPr>
          <w:p>
            <w:pPr>
              <w:spacing w:after="40" w:line="245" w:lineRule="auto"/>
            </w:pPr>
            <w:r>
              <w:rPr>
                <w:b w:val="0"/>
                <w:sz w:val="18"/>
              </w:rPr>
              <w:t>API contract testing</w:t>
            </w:r>
          </w:p>
        </w:tc>
        <w:tc>
          <w:tcPr>
            <w:tcW w:type="dxa" w:w="6451"/>
            <w:vAlign w:val="center"/>
            <w:tcMar>
              <w:top w:w="75" w:type="dxa"/>
              <w:bottom w:w="75" w:type="dxa"/>
              <w:left w:w="75" w:type="dxa"/>
              <w:right w:w="75" w:type="dxa"/>
            </w:tcMar>
          </w:tcPr>
          <w:p>
            <w:pPr>
              <w:spacing w:after="40" w:line="245" w:lineRule="auto"/>
            </w:pPr>
            <w:r>
              <w:rPr>
                <w:b w:val="0"/>
                <w:sz w:val="18"/>
              </w:rPr>
              <w:t>Replay delivery confirmation and query status/proof as the owning retailer. One outcome is recorded and the correct photo or pending state is returned. Unknown orders and a different retailer return the agreed error without leaking data.</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T12 C3 C4 C5</w:t>
              <w:br/>
              <w:t>R20</w:t>
            </w:r>
          </w:p>
        </w:tc>
        <w:tc>
          <w:tcPr>
            <w:tcW w:type="dxa" w:w="1944"/>
            <w:vAlign w:val="center"/>
            <w:tcMar>
              <w:top w:w="75" w:type="dxa"/>
              <w:bottom w:w="75" w:type="dxa"/>
              <w:left w:w="75" w:type="dxa"/>
              <w:right w:w="75" w:type="dxa"/>
            </w:tcMar>
          </w:tcPr>
          <w:p>
            <w:pPr>
              <w:spacing w:after="40" w:line="245" w:lineRule="auto"/>
            </w:pPr>
            <w:r>
              <w:rPr>
                <w:b w:val="0"/>
                <w:sz w:val="18"/>
              </w:rPr>
              <w:t>Load and endurance testing</w:t>
            </w:r>
          </w:p>
        </w:tc>
        <w:tc>
          <w:tcPr>
            <w:tcW w:type="dxa" w:w="6451"/>
            <w:vAlign w:val="center"/>
            <w:tcMar>
              <w:top w:w="75" w:type="dxa"/>
              <w:bottom w:w="75" w:type="dxa"/>
              <w:left w:w="75" w:type="dxa"/>
              <w:right w:w="75" w:type="dxa"/>
            </w:tcMar>
          </w:tcPr>
          <w:p>
            <w:pPr>
              <w:spacing w:after="40" w:line="245" w:lineRule="auto"/>
            </w:pPr>
            <w:r>
              <w:rPr>
                <w:b w:val="0"/>
                <w:sz w:val="18"/>
              </w:rPr>
              <w:t>Simulate 175 drones plus 2,500 deliveries over a representative operating day, with concurrent staff/retailer requests. Apply agreed bursts, telemetry rates and photo sizes. No acknowledged records are lost; latency, alert delay, errors and queues meet approved limits.</w:t>
            </w:r>
          </w:p>
        </w:tc>
      </w:tr>
    </w:tbl>
    <w:p>
      <w:pPr>
        <w:spacing w:after="0"/>
      </w:pPr>
    </w:p>
    <w:p>
      <w:pPr>
        <w:pStyle w:val="Heading2"/>
      </w:pPr>
      <w:r>
        <w:t>Configuration and measurable limits</w:t>
      </w:r>
    </w:p>
    <w:p>
      <w:r>
        <w:t>T07 uses a candidate test configuration, not an approved wind policy. The COO must select fixed or weather-dependent coverage, boundary treatment and ground verification. Operations and the manufacturer must approve the round-trip estimate, dusk rule and margin before T08 acceptance.</w:t>
      </w:r>
    </w:p>
    <w:p>
      <w:r>
        <w:t>Before performance acceptance, agree telemetry interval, stale threshold, alert/command timeouts, photo sizes, request mix, peak concurrency and response targets. Record these with the run. A daily delivery total alone is not a peak-load model. Missing limits leave the related acceptance check blocked, not passed.</w:t>
      </w:r>
    </w:p>
    <w:p>
      <w:r>
        <w:br w:type="page"/>
      </w:r>
    </w:p>
    <w:p>
      <w:pPr>
        <w:pStyle w:val="Heading1"/>
      </w:pPr>
      <w:r>
        <w:t>Data stores and complete workflows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642"/>
        <w:gridCol w:w="1944"/>
        <w:gridCol w:w="6451"/>
      </w:tblGrid>
      <w:tr>
        <w:trPr>
          <w:cantSplit/>
          <w:tblHeader/>
        </w:trPr>
        <w:tc>
          <w:tcPr>
            <w:tcW w:type="dxa" w:w="1642"/>
            <w:vAlign w:val="center"/>
            <w:tcMar>
              <w:top w:w="75" w:type="dxa"/>
              <w:bottom w:w="75" w:type="dxa"/>
              <w:left w:w="75" w:type="dxa"/>
              <w:right w:w="75" w:type="dxa"/>
            </w:tcMar>
            <w:shd w:fill="DFEAF3"/>
          </w:tcPr>
          <w:p>
            <w:pPr>
              <w:spacing w:after="40" w:line="245" w:lineRule="auto"/>
            </w:pPr>
            <w:r>
              <w:rPr>
                <w:b/>
                <w:sz w:val="18"/>
              </w:rPr>
              <w:t>Test and scope</w:t>
            </w:r>
          </w:p>
        </w:tc>
        <w:tc>
          <w:tcPr>
            <w:tcW w:type="dxa" w:w="1944"/>
            <w:vAlign w:val="center"/>
            <w:tcMar>
              <w:top w:w="75" w:type="dxa"/>
              <w:bottom w:w="75" w:type="dxa"/>
              <w:left w:w="75" w:type="dxa"/>
              <w:right w:w="75" w:type="dxa"/>
            </w:tcMar>
            <w:shd w:fill="DFEAF3"/>
          </w:tcPr>
          <w:p>
            <w:pPr>
              <w:spacing w:after="40" w:line="245" w:lineRule="auto"/>
            </w:pPr>
            <w:r>
              <w:rPr>
                <w:b/>
                <w:sz w:val="18"/>
              </w:rPr>
              <w:t>Method</w:t>
            </w:r>
          </w:p>
        </w:tc>
        <w:tc>
          <w:tcPr>
            <w:tcW w:type="dxa" w:w="6451"/>
            <w:vAlign w:val="center"/>
            <w:tcMar>
              <w:top w:w="75" w:type="dxa"/>
              <w:bottom w:w="75" w:type="dxa"/>
              <w:left w:w="75" w:type="dxa"/>
              <w:right w:w="75" w:type="dxa"/>
            </w:tcMar>
            <w:shd w:fill="DFEAF3"/>
          </w:tcPr>
          <w:p>
            <w:pPr>
              <w:spacing w:after="40" w:line="245" w:lineRule="auto"/>
            </w:pPr>
            <w:r>
              <w:rPr>
                <w:b/>
                <w:sz w:val="18"/>
              </w:rPr>
              <w:t>Example and expected result</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T13 C4</w:t>
              <w:br/>
              <w:t>R05 R06 R17</w:t>
            </w:r>
          </w:p>
        </w:tc>
        <w:tc>
          <w:tcPr>
            <w:tcW w:type="dxa" w:w="1944"/>
            <w:vAlign w:val="center"/>
            <w:tcMar>
              <w:top w:w="75" w:type="dxa"/>
              <w:bottom w:w="75" w:type="dxa"/>
              <w:left w:w="75" w:type="dxa"/>
              <w:right w:w="75" w:type="dxa"/>
            </w:tcMar>
          </w:tcPr>
          <w:p>
            <w:pPr>
              <w:spacing w:after="40" w:line="245" w:lineRule="auto"/>
            </w:pPr>
            <w:r>
              <w:rPr>
                <w:b w:val="0"/>
                <w:sz w:val="18"/>
              </w:rPr>
              <w:t>Transaction and concurrency testing</w:t>
            </w:r>
          </w:p>
        </w:tc>
        <w:tc>
          <w:tcPr>
            <w:tcW w:type="dxa" w:w="6451"/>
            <w:vAlign w:val="center"/>
            <w:tcMar>
              <w:top w:w="75" w:type="dxa"/>
              <w:bottom w:w="75" w:type="dxa"/>
              <w:left w:w="75" w:type="dxa"/>
              <w:right w:w="75" w:type="dxa"/>
            </w:tcMar>
          </w:tcPr>
          <w:p>
            <w:pPr>
              <w:spacing w:after="40" w:line="245" w:lineRule="auto"/>
            </w:pPr>
            <w:r>
              <w:rPr>
                <w:b w:val="0"/>
                <w:sz w:val="18"/>
              </w:rPr>
              <w:t>Submit two simultaneous reservations for one drone: exactly one succeeds. Interrupt the assignment transaction: parcel, drone and flight records commit together or all roll back, with no orphan or conflicting assignment.</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T14 C4 and C5</w:t>
              <w:br/>
              <w:t>R12 R18</w:t>
            </w:r>
          </w:p>
        </w:tc>
        <w:tc>
          <w:tcPr>
            <w:tcW w:type="dxa" w:w="1944"/>
            <w:vAlign w:val="center"/>
            <w:tcMar>
              <w:top w:w="75" w:type="dxa"/>
              <w:bottom w:w="75" w:type="dxa"/>
              <w:left w:w="75" w:type="dxa"/>
              <w:right w:w="75" w:type="dxa"/>
            </w:tcMar>
          </w:tcPr>
          <w:p>
            <w:pPr>
              <w:spacing w:after="40" w:line="245" w:lineRule="auto"/>
            </w:pPr>
            <w:r>
              <w:rPr>
                <w:b w:val="0"/>
                <w:sz w:val="18"/>
              </w:rPr>
              <w:t>Backup and recovery testing</w:t>
            </w:r>
          </w:p>
        </w:tc>
        <w:tc>
          <w:tcPr>
            <w:tcW w:type="dxa" w:w="6451"/>
            <w:vAlign w:val="center"/>
            <w:tcMar>
              <w:top w:w="75" w:type="dxa"/>
              <w:bottom w:w="75" w:type="dxa"/>
              <w:left w:w="75" w:type="dxa"/>
              <w:right w:w="75" w:type="dxa"/>
            </w:tcMar>
          </w:tcPr>
          <w:p>
            <w:pPr>
              <w:spacing w:after="40" w:line="245" w:lineRule="auto"/>
            </w:pPr>
            <w:r>
              <w:rPr>
                <w:b w:val="0"/>
                <w:sz w:val="18"/>
              </w:rPr>
              <w:t>Restore a known database and photo set into an isolated environment. Verify counts, relationships, audit history and photo links against the recovery point. Confirm approved recovery time/data-loss targets and reapply deletion records so expired personal data is not republished.</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T15 C5 and C3</w:t>
              <w:br/>
              <w:t>R04 R14 R18</w:t>
            </w:r>
          </w:p>
        </w:tc>
        <w:tc>
          <w:tcPr>
            <w:tcW w:type="dxa" w:w="1944"/>
            <w:vAlign w:val="center"/>
            <w:tcMar>
              <w:top w:w="75" w:type="dxa"/>
              <w:bottom w:w="75" w:type="dxa"/>
              <w:left w:w="75" w:type="dxa"/>
              <w:right w:w="75" w:type="dxa"/>
            </w:tcMar>
          </w:tcPr>
          <w:p>
            <w:pPr>
              <w:spacing w:after="40" w:line="245" w:lineRule="auto"/>
            </w:pPr>
            <w:r>
              <w:rPr>
                <w:b w:val="0"/>
                <w:sz w:val="18"/>
              </w:rPr>
              <w:t>Storage integration and security testing</w:t>
            </w:r>
          </w:p>
        </w:tc>
        <w:tc>
          <w:tcPr>
            <w:tcW w:type="dxa" w:w="6451"/>
            <w:vAlign w:val="center"/>
            <w:tcMar>
              <w:top w:w="75" w:type="dxa"/>
              <w:bottom w:w="75" w:type="dxa"/>
              <w:left w:w="75" w:type="dxa"/>
              <w:right w:w="75" w:type="dxa"/>
            </w:tcMar>
          </w:tcPr>
          <w:p>
            <w:pPr>
              <w:spacing w:after="40" w:line="245" w:lineRule="auto"/>
            </w:pPr>
            <w:r>
              <w:rPr>
                <w:b w:val="0"/>
                <w:sz w:val="18"/>
              </w:rPr>
              <w:t>Interrupt and retry a photo upload: no wrong-flight link or usable proof key appears before storage succeeds. Try an unauthenticated direct object URL: denied; an authorised order request retrieves only its own image.</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T16 C3 C4 C5</w:t>
              <w:br/>
              <w:t>R18</w:t>
            </w:r>
          </w:p>
        </w:tc>
        <w:tc>
          <w:tcPr>
            <w:tcW w:type="dxa" w:w="1944"/>
            <w:vAlign w:val="center"/>
            <w:tcMar>
              <w:top w:w="75" w:type="dxa"/>
              <w:bottom w:w="75" w:type="dxa"/>
              <w:left w:w="75" w:type="dxa"/>
              <w:right w:w="75" w:type="dxa"/>
            </w:tcMar>
          </w:tcPr>
          <w:p>
            <w:pPr>
              <w:spacing w:after="40" w:line="245" w:lineRule="auto"/>
            </w:pPr>
            <w:r>
              <w:rPr>
                <w:b w:val="0"/>
                <w:sz w:val="18"/>
              </w:rPr>
              <w:t>Retention testing</w:t>
            </w:r>
          </w:p>
        </w:tc>
        <w:tc>
          <w:tcPr>
            <w:tcW w:type="dxa" w:w="6451"/>
            <w:vAlign w:val="center"/>
            <w:tcMar>
              <w:top w:w="75" w:type="dxa"/>
              <w:bottom w:w="75" w:type="dxa"/>
              <w:left w:w="75" w:type="dxa"/>
              <w:right w:w="75" w:type="dxa"/>
            </w:tcMar>
          </w:tcPr>
          <w:p>
            <w:pPr>
              <w:spacing w:after="40" w:line="245" w:lineRule="auto"/>
            </w:pPr>
            <w:r>
              <w:rPr>
                <w:b w:val="0"/>
                <w:sz w:val="18"/>
              </w:rPr>
              <w:t>Use a shortened test retention period. Expired photos and eligible personal records disappear together; approved holds remain. Event details are anonymised and deletion evidence is kept without retaining the deleted personal data.</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T17 C1 to C5</w:t>
              <w:br/>
              <w:t>R02–R06 R12 R14</w:t>
            </w:r>
          </w:p>
        </w:tc>
        <w:tc>
          <w:tcPr>
            <w:tcW w:type="dxa" w:w="1944"/>
            <w:vAlign w:val="center"/>
            <w:tcMar>
              <w:top w:w="75" w:type="dxa"/>
              <w:bottom w:w="75" w:type="dxa"/>
              <w:left w:w="75" w:type="dxa"/>
              <w:right w:w="75" w:type="dxa"/>
            </w:tcMar>
          </w:tcPr>
          <w:p>
            <w:pPr>
              <w:spacing w:after="40" w:line="245" w:lineRule="auto"/>
            </w:pPr>
            <w:r>
              <w:rPr>
                <w:b w:val="0"/>
                <w:sz w:val="18"/>
              </w:rPr>
              <w:t>End to end user acceptance</w:t>
            </w:r>
          </w:p>
        </w:tc>
        <w:tc>
          <w:tcPr>
            <w:tcW w:type="dxa" w:w="6451"/>
            <w:vAlign w:val="center"/>
            <w:tcMar>
              <w:top w:w="75" w:type="dxa"/>
              <w:bottom w:w="75" w:type="dxa"/>
              <w:left w:w="75" w:type="dxa"/>
              <w:right w:w="75" w:type="dxa"/>
            </w:tcMar>
          </w:tcPr>
          <w:p>
            <w:pPr>
              <w:spacing w:after="40" w:line="245" w:lineRule="auto"/>
            </w:pPr>
            <w:r>
              <w:rPr>
                <w:b w:val="0"/>
                <w:sz w:val="18"/>
              </w:rPr>
              <w:t>Recipient selects a point; warehouse scans, assigns and programs; a simulated delivery provides telemetry, outcome and photo. Recipient, support and retailer see consistent authorised records. Repeat with failed delivery and a delayed image.</w:t>
            </w:r>
          </w:p>
        </w:tc>
      </w:tr>
      <w:tr>
        <w:trPr>
          <w:cantSplit/>
        </w:trPr>
        <w:tc>
          <w:tcPr>
            <w:tcW w:type="dxa" w:w="1642"/>
            <w:vAlign w:val="center"/>
            <w:tcMar>
              <w:top w:w="75" w:type="dxa"/>
              <w:bottom w:w="75" w:type="dxa"/>
              <w:left w:w="75" w:type="dxa"/>
              <w:right w:w="75" w:type="dxa"/>
            </w:tcMar>
          </w:tcPr>
          <w:p>
            <w:pPr>
              <w:spacing w:after="40" w:line="245" w:lineRule="auto"/>
            </w:pPr>
            <w:r>
              <w:rPr>
                <w:b w:val="0"/>
                <w:sz w:val="18"/>
              </w:rPr>
              <w:t>T18 C1 C3 and drone</w:t>
              <w:br/>
              <w:t>R19 R13</w:t>
            </w:r>
          </w:p>
        </w:tc>
        <w:tc>
          <w:tcPr>
            <w:tcW w:type="dxa" w:w="1944"/>
            <w:vAlign w:val="center"/>
            <w:tcMar>
              <w:top w:w="75" w:type="dxa"/>
              <w:bottom w:w="75" w:type="dxa"/>
              <w:left w:w="75" w:type="dxa"/>
              <w:right w:w="75" w:type="dxa"/>
            </w:tcMar>
          </w:tcPr>
          <w:p>
            <w:pPr>
              <w:spacing w:after="40" w:line="245" w:lineRule="auto"/>
            </w:pPr>
            <w:r>
              <w:rPr>
                <w:b w:val="0"/>
                <w:sz w:val="18"/>
              </w:rPr>
              <w:t>Resilience and recovery drill</w:t>
            </w:r>
          </w:p>
        </w:tc>
        <w:tc>
          <w:tcPr>
            <w:tcW w:type="dxa" w:w="6451"/>
            <w:vAlign w:val="center"/>
            <w:tcMar>
              <w:top w:w="75" w:type="dxa"/>
              <w:bottom w:w="75" w:type="dxa"/>
              <w:left w:w="75" w:type="dxa"/>
              <w:right w:w="75" w:type="dxa"/>
            </w:tcMar>
          </w:tcPr>
          <w:p>
            <w:pPr>
              <w:spacing w:after="40" w:line="245" w:lineRule="auto"/>
            </w:pPr>
            <w:r>
              <w:rPr>
                <w:b w:val="0"/>
                <w:sz w:val="18"/>
              </w:rPr>
              <w:t>Disconnect depot power and wired networking. A charged laptop on independent 4G reaches the cloud and queues a command for the next working drone exchange. Separately cut the drone link: no false acknowledgement; stale data and pending/failed state remain explicit.</w:t>
            </w:r>
          </w:p>
        </w:tc>
      </w:tr>
    </w:tbl>
    <w:p>
      <w:pPr>
        <w:spacing w:after="0"/>
      </w:pPr>
    </w:p>
    <w:p>
      <w:pPr>
        <w:pStyle w:val="Heading2"/>
      </w:pPr>
      <w:r>
        <w:t>Timing and release criteria</w:t>
      </w:r>
    </w:p>
    <w:p>
      <w:r>
        <w:t>Run unit and relevant regression tests on each change; run integration tests in staging before release. Use synthetic orders and images with no live credentials. Complete simulator contracts before aircraft arrive in month six; use months six to nine for agreed hardware integration, controlled field tests and user acceptance. Never inject hazardous faults into live deliveries.</w:t>
      </w:r>
    </w:p>
    <w:p>
      <w:r>
        <w:t>Release requires passing evidence for all applicable Must requirements, no unresolved critical safety/privacy/data-integrity defects, and COO acceptance with the relevant users and manufacturer. Log Should deferrals explicitly. R22 also requires a recorded policy apply/rollback check: new checks use the selected version and the change is audited.</w:t>
      </w:r>
    </w:p>
    <w:p>
      <w:r>
        <w:br w:type="page"/>
      </w:r>
    </w:p>
    <w:p>
      <w:pPr>
        <w:pStyle w:val="Heading1"/>
      </w:pPr>
      <w:r>
        <w:t>Task 2 Devising a maintenance schedule</w:t>
      </w:r>
    </w:p>
    <w:p>
      <w:r>
        <w:t>The following frequencies and maintenance window are proposed operating arrangements for the pilot, subject to COO approval. Routine monitoring and cleanup run online; disruptive changes are grouped when dependencies allow. Manufacturer aircraft servicing remains a separate responsibility.</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98"/>
        <w:gridCol w:w="1685"/>
        <w:gridCol w:w="4723"/>
        <w:gridCol w:w="2131"/>
      </w:tblGrid>
      <w:tr>
        <w:trPr>
          <w:cantSplit/>
          <w:tblHeader/>
        </w:trPr>
        <w:tc>
          <w:tcPr>
            <w:tcW w:type="dxa" w:w="1498"/>
            <w:vAlign w:val="center"/>
            <w:tcMar>
              <w:top w:w="75" w:type="dxa"/>
              <w:bottom w:w="75" w:type="dxa"/>
              <w:left w:w="75" w:type="dxa"/>
              <w:right w:w="75" w:type="dxa"/>
            </w:tcMar>
            <w:shd w:fill="DFEAF3"/>
          </w:tcPr>
          <w:p>
            <w:pPr>
              <w:spacing w:after="40" w:line="245" w:lineRule="auto"/>
            </w:pPr>
            <w:r>
              <w:rPr>
                <w:b/>
                <w:sz w:val="18"/>
              </w:rPr>
              <w:t>Component</w:t>
            </w:r>
          </w:p>
        </w:tc>
        <w:tc>
          <w:tcPr>
            <w:tcW w:type="dxa" w:w="1685"/>
            <w:vAlign w:val="center"/>
            <w:tcMar>
              <w:top w:w="75" w:type="dxa"/>
              <w:bottom w:w="75" w:type="dxa"/>
              <w:left w:w="75" w:type="dxa"/>
              <w:right w:w="75" w:type="dxa"/>
            </w:tcMar>
            <w:shd w:fill="DFEAF3"/>
          </w:tcPr>
          <w:p>
            <w:pPr>
              <w:spacing w:after="40" w:line="245" w:lineRule="auto"/>
            </w:pPr>
            <w:r>
              <w:rPr>
                <w:b/>
                <w:sz w:val="18"/>
              </w:rPr>
              <w:t>Frequency</w:t>
            </w:r>
          </w:p>
        </w:tc>
        <w:tc>
          <w:tcPr>
            <w:tcW w:type="dxa" w:w="4723"/>
            <w:vAlign w:val="center"/>
            <w:tcMar>
              <w:top w:w="75" w:type="dxa"/>
              <w:bottom w:w="75" w:type="dxa"/>
              <w:left w:w="75" w:type="dxa"/>
              <w:right w:w="75" w:type="dxa"/>
            </w:tcMar>
            <w:shd w:fill="DFEAF3"/>
          </w:tcPr>
          <w:p>
            <w:pPr>
              <w:spacing w:after="40" w:line="245" w:lineRule="auto"/>
            </w:pPr>
            <w:r>
              <w:rPr>
                <w:b/>
                <w:sz w:val="18"/>
              </w:rPr>
              <w:t>Activity</w:t>
            </w:r>
          </w:p>
        </w:tc>
        <w:tc>
          <w:tcPr>
            <w:tcW w:type="dxa" w:w="2131"/>
            <w:vAlign w:val="center"/>
            <w:tcMar>
              <w:top w:w="75" w:type="dxa"/>
              <w:bottom w:w="75" w:type="dxa"/>
              <w:left w:w="75" w:type="dxa"/>
              <w:right w:w="75" w:type="dxa"/>
            </w:tcMar>
            <w:shd w:fill="DFEAF3"/>
          </w:tcPr>
          <w:p>
            <w:pPr>
              <w:spacing w:after="40" w:line="245" w:lineRule="auto"/>
            </w:pPr>
            <w:r>
              <w:rPr>
                <w:b/>
                <w:sz w:val="18"/>
              </w:rPr>
              <w:t>Owner and interruption</w:t>
            </w:r>
          </w:p>
        </w:tc>
      </w:tr>
      <w:tr>
        <w:trPr>
          <w:cantSplit/>
        </w:trPr>
        <w:tc>
          <w:tcPr>
            <w:tcW w:type="dxa" w:w="1498"/>
            <w:vAlign w:val="center"/>
            <w:tcMar>
              <w:top w:w="75" w:type="dxa"/>
              <w:bottom w:w="75" w:type="dxa"/>
              <w:left w:w="75" w:type="dxa"/>
              <w:right w:w="75" w:type="dxa"/>
            </w:tcMar>
          </w:tcPr>
          <w:p>
            <w:pPr>
              <w:spacing w:after="40" w:line="245" w:lineRule="auto"/>
            </w:pPr>
            <w:r>
              <w:rPr>
                <w:b w:val="0"/>
                <w:sz w:val="18"/>
              </w:rPr>
              <w:t>C1 Web portal</w:t>
            </w:r>
          </w:p>
        </w:tc>
        <w:tc>
          <w:tcPr>
            <w:tcW w:type="dxa" w:w="1685"/>
            <w:vAlign w:val="center"/>
            <w:tcMar>
              <w:top w:w="75" w:type="dxa"/>
              <w:bottom w:w="75" w:type="dxa"/>
              <w:left w:w="75" w:type="dxa"/>
              <w:right w:w="75" w:type="dxa"/>
            </w:tcMar>
          </w:tcPr>
          <w:p>
            <w:pPr>
              <w:spacing w:after="40" w:line="245" w:lineRule="auto"/>
            </w:pPr>
            <w:r>
              <w:rPr>
                <w:b w:val="0"/>
                <w:sz w:val="18"/>
              </w:rPr>
              <w:t>Each release; weekly review</w:t>
            </w:r>
          </w:p>
        </w:tc>
        <w:tc>
          <w:tcPr>
            <w:tcW w:type="dxa" w:w="4723"/>
            <w:vAlign w:val="center"/>
            <w:tcMar>
              <w:top w:w="75" w:type="dxa"/>
              <w:bottom w:w="75" w:type="dxa"/>
              <w:left w:w="75" w:type="dxa"/>
              <w:right w:w="75" w:type="dxa"/>
            </w:tcMar>
          </w:tcPr>
          <w:p>
            <w:pPr>
              <w:spacing w:after="40" w:line="245" w:lineRule="auto"/>
            </w:pPr>
            <w:r>
              <w:rPr>
                <w:b w:val="0"/>
                <w:sz w:val="18"/>
              </w:rPr>
              <w:t>Run UI smoke tests; inspect errors and dependency updates. Patch through the shared window when required.</w:t>
            </w:r>
          </w:p>
        </w:tc>
        <w:tc>
          <w:tcPr>
            <w:tcW w:type="dxa" w:w="2131"/>
            <w:vAlign w:val="center"/>
            <w:tcMar>
              <w:top w:w="75" w:type="dxa"/>
              <w:bottom w:w="75" w:type="dxa"/>
              <w:left w:w="75" w:type="dxa"/>
              <w:right w:w="75" w:type="dxa"/>
            </w:tcMar>
          </w:tcPr>
          <w:p>
            <w:pPr>
              <w:spacing w:after="40" w:line="245" w:lineRule="auto"/>
            </w:pPr>
            <w:r>
              <w:rPr>
                <w:b w:val="0"/>
                <w:sz w:val="18"/>
              </w:rPr>
              <w:t>Web developer; normally no separate downtime</w:t>
            </w:r>
          </w:p>
        </w:tc>
      </w:tr>
      <w:tr>
        <w:trPr>
          <w:cantSplit/>
        </w:trPr>
        <w:tc>
          <w:tcPr>
            <w:tcW w:type="dxa" w:w="1498"/>
            <w:vAlign w:val="center"/>
            <w:tcMar>
              <w:top w:w="75" w:type="dxa"/>
              <w:bottom w:w="75" w:type="dxa"/>
              <w:left w:w="75" w:type="dxa"/>
              <w:right w:w="75" w:type="dxa"/>
            </w:tcMar>
          </w:tcPr>
          <w:p>
            <w:pPr>
              <w:spacing w:after="40" w:line="245" w:lineRule="auto"/>
            </w:pPr>
            <w:r>
              <w:rPr>
                <w:b w:val="0"/>
                <w:sz w:val="18"/>
              </w:rPr>
              <w:t>C2 Depot application</w:t>
            </w:r>
          </w:p>
        </w:tc>
        <w:tc>
          <w:tcPr>
            <w:tcW w:type="dxa" w:w="1685"/>
            <w:vAlign w:val="center"/>
            <w:tcMar>
              <w:top w:w="75" w:type="dxa"/>
              <w:bottom w:w="75" w:type="dxa"/>
              <w:left w:w="75" w:type="dxa"/>
              <w:right w:w="75" w:type="dxa"/>
            </w:tcMar>
          </w:tcPr>
          <w:p>
            <w:pPr>
              <w:spacing w:after="40" w:line="245" w:lineRule="auto"/>
            </w:pPr>
            <w:r>
              <w:rPr>
                <w:b w:val="0"/>
                <w:sz w:val="18"/>
              </w:rPr>
              <w:t>Before each shift; monthly or on change</w:t>
            </w:r>
          </w:p>
        </w:tc>
        <w:tc>
          <w:tcPr>
            <w:tcW w:type="dxa" w:w="4723"/>
            <w:vAlign w:val="center"/>
            <w:tcMar>
              <w:top w:w="75" w:type="dxa"/>
              <w:bottom w:w="75" w:type="dxa"/>
              <w:left w:w="75" w:type="dxa"/>
              <w:right w:w="75" w:type="dxa"/>
            </w:tcMar>
          </w:tcPr>
          <w:p>
            <w:pPr>
              <w:spacing w:after="40" w:line="245" w:lineRule="auto"/>
            </w:pPr>
            <w:r>
              <w:rPr>
                <w:b w:val="0"/>
                <w:sz w:val="18"/>
              </w:rPr>
              <w:t>Check scanner, Bluetooth, app version and backup laptop battery/4G. Validate OS/driver/app updates on a spare device before deployment.</w:t>
            </w:r>
          </w:p>
        </w:tc>
        <w:tc>
          <w:tcPr>
            <w:tcW w:type="dxa" w:w="2131"/>
            <w:vAlign w:val="center"/>
            <w:tcMar>
              <w:top w:w="75" w:type="dxa"/>
              <w:bottom w:w="75" w:type="dxa"/>
              <w:left w:w="75" w:type="dxa"/>
              <w:right w:w="75" w:type="dxa"/>
            </w:tcMar>
          </w:tcPr>
          <w:p>
            <w:pPr>
              <w:spacing w:after="40" w:line="245" w:lineRule="auto"/>
            </w:pPr>
            <w:r>
              <w:rPr>
                <w:b w:val="0"/>
                <w:sz w:val="18"/>
              </w:rPr>
              <w:t>Depot lead and developer; update after flights end</w:t>
            </w:r>
          </w:p>
        </w:tc>
      </w:tr>
      <w:tr>
        <w:trPr>
          <w:cantSplit/>
        </w:trPr>
        <w:tc>
          <w:tcPr>
            <w:tcW w:type="dxa" w:w="1498"/>
            <w:vAlign w:val="center"/>
            <w:tcMar>
              <w:top w:w="75" w:type="dxa"/>
              <w:bottom w:w="75" w:type="dxa"/>
              <w:left w:w="75" w:type="dxa"/>
              <w:right w:w="75" w:type="dxa"/>
            </w:tcMar>
          </w:tcPr>
          <w:p>
            <w:pPr>
              <w:spacing w:after="40" w:line="245" w:lineRule="auto"/>
            </w:pPr>
            <w:r>
              <w:rPr>
                <w:b w:val="0"/>
                <w:sz w:val="18"/>
              </w:rPr>
              <w:t>C3 Cloud application</w:t>
            </w:r>
          </w:p>
        </w:tc>
        <w:tc>
          <w:tcPr>
            <w:tcW w:type="dxa" w:w="1685"/>
            <w:vAlign w:val="center"/>
            <w:tcMar>
              <w:top w:w="75" w:type="dxa"/>
              <w:bottom w:w="75" w:type="dxa"/>
              <w:left w:w="75" w:type="dxa"/>
              <w:right w:w="75" w:type="dxa"/>
            </w:tcMar>
          </w:tcPr>
          <w:p>
            <w:pPr>
              <w:spacing w:after="40" w:line="245" w:lineRule="auto"/>
            </w:pPr>
            <w:r>
              <w:rPr>
                <w:b w:val="0"/>
                <w:sz w:val="18"/>
              </w:rPr>
              <w:t>Continuous monitoring; daily review; weekly patch review</w:t>
            </w:r>
          </w:p>
        </w:tc>
        <w:tc>
          <w:tcPr>
            <w:tcW w:type="dxa" w:w="4723"/>
            <w:vAlign w:val="center"/>
            <w:tcMar>
              <w:top w:w="75" w:type="dxa"/>
              <w:bottom w:w="75" w:type="dxa"/>
              <w:left w:w="75" w:type="dxa"/>
              <w:right w:w="75" w:type="dxa"/>
            </w:tcMar>
          </w:tcPr>
          <w:p>
            <w:pPr>
              <w:spacing w:after="40" w:line="245" w:lineRule="auto"/>
            </w:pPr>
            <w:r>
              <w:rPr>
                <w:b w:val="0"/>
                <w:sz w:val="18"/>
              </w:rPr>
              <w:t>Watch API errors, telemetry freshness, command queues, alert delay and certificate expiry. Rotate logs automatically with approved retention. Stage routine patches.</w:t>
            </w:r>
          </w:p>
        </w:tc>
        <w:tc>
          <w:tcPr>
            <w:tcW w:type="dxa" w:w="2131"/>
            <w:vAlign w:val="center"/>
            <w:tcMar>
              <w:top w:w="75" w:type="dxa"/>
              <w:bottom w:w="75" w:type="dxa"/>
              <w:left w:w="75" w:type="dxa"/>
              <w:right w:w="75" w:type="dxa"/>
            </w:tcMar>
          </w:tcPr>
          <w:p>
            <w:pPr>
              <w:spacing w:after="40" w:line="245" w:lineRule="auto"/>
            </w:pPr>
            <w:r>
              <w:rPr>
                <w:b w:val="0"/>
                <w:sz w:val="18"/>
              </w:rPr>
              <w:t>Cloud maintainer; shared window if disruptive</w:t>
            </w:r>
          </w:p>
        </w:tc>
      </w:tr>
      <w:tr>
        <w:trPr>
          <w:cantSplit/>
        </w:trPr>
        <w:tc>
          <w:tcPr>
            <w:tcW w:type="dxa" w:w="1498"/>
            <w:vAlign w:val="center"/>
            <w:tcMar>
              <w:top w:w="75" w:type="dxa"/>
              <w:bottom w:w="75" w:type="dxa"/>
              <w:left w:w="75" w:type="dxa"/>
              <w:right w:w="75" w:type="dxa"/>
            </w:tcMar>
          </w:tcPr>
          <w:p>
            <w:pPr>
              <w:spacing w:after="40" w:line="245" w:lineRule="auto"/>
            </w:pPr>
            <w:r>
              <w:rPr>
                <w:b w:val="0"/>
                <w:sz w:val="18"/>
              </w:rPr>
              <w:t>C4 Database</w:t>
            </w:r>
          </w:p>
        </w:tc>
        <w:tc>
          <w:tcPr>
            <w:tcW w:type="dxa" w:w="1685"/>
            <w:vAlign w:val="center"/>
            <w:tcMar>
              <w:top w:w="75" w:type="dxa"/>
              <w:bottom w:w="75" w:type="dxa"/>
              <w:left w:w="75" w:type="dxa"/>
              <w:right w:w="75" w:type="dxa"/>
            </w:tcMar>
          </w:tcPr>
          <w:p>
            <w:pPr>
              <w:spacing w:after="40" w:line="245" w:lineRule="auto"/>
            </w:pPr>
            <w:r>
              <w:rPr>
                <w:b w:val="0"/>
                <w:sz w:val="18"/>
              </w:rPr>
              <w:t>Daily; weekly; monthly</w:t>
            </w:r>
          </w:p>
        </w:tc>
        <w:tc>
          <w:tcPr>
            <w:tcW w:type="dxa" w:w="4723"/>
            <w:vAlign w:val="center"/>
            <w:tcMar>
              <w:top w:w="75" w:type="dxa"/>
              <w:bottom w:w="75" w:type="dxa"/>
              <w:left w:w="75" w:type="dxa"/>
              <w:right w:w="75" w:type="dxa"/>
            </w:tcMar>
          </w:tcPr>
          <w:p>
            <w:pPr>
              <w:spacing w:after="40" w:line="245" w:lineRule="auto"/>
            </w:pPr>
            <w:r>
              <w:rPr>
                <w:b w:val="0"/>
                <w:sz w:val="18"/>
              </w:rPr>
              <w:t>Daily backup and failure checks; weekly growth/index review; monthly restore rehearsal. More frequent recovery logging depends on the approved data-loss target.</w:t>
            </w:r>
          </w:p>
        </w:tc>
        <w:tc>
          <w:tcPr>
            <w:tcW w:type="dxa" w:w="2131"/>
            <w:vAlign w:val="center"/>
            <w:tcMar>
              <w:top w:w="75" w:type="dxa"/>
              <w:bottom w:w="75" w:type="dxa"/>
              <w:left w:w="75" w:type="dxa"/>
              <w:right w:w="75" w:type="dxa"/>
            </w:tcMar>
          </w:tcPr>
          <w:p>
            <w:pPr>
              <w:spacing w:after="40" w:line="245" w:lineRule="auto"/>
            </w:pPr>
            <w:r>
              <w:rPr>
                <w:b w:val="0"/>
                <w:sz w:val="18"/>
              </w:rPr>
              <w:t>Data maintainer; migrations in shared window</w:t>
            </w:r>
          </w:p>
        </w:tc>
      </w:tr>
      <w:tr>
        <w:trPr>
          <w:cantSplit/>
        </w:trPr>
        <w:tc>
          <w:tcPr>
            <w:tcW w:type="dxa" w:w="1498"/>
            <w:vAlign w:val="center"/>
            <w:tcMar>
              <w:top w:w="75" w:type="dxa"/>
              <w:bottom w:w="75" w:type="dxa"/>
              <w:left w:w="75" w:type="dxa"/>
              <w:right w:w="75" w:type="dxa"/>
            </w:tcMar>
          </w:tcPr>
          <w:p>
            <w:pPr>
              <w:spacing w:after="40" w:line="245" w:lineRule="auto"/>
            </w:pPr>
            <w:r>
              <w:rPr>
                <w:b w:val="0"/>
                <w:sz w:val="18"/>
              </w:rPr>
              <w:t>C5 Object storage</w:t>
            </w:r>
          </w:p>
        </w:tc>
        <w:tc>
          <w:tcPr>
            <w:tcW w:type="dxa" w:w="1685"/>
            <w:vAlign w:val="center"/>
            <w:tcMar>
              <w:top w:w="75" w:type="dxa"/>
              <w:bottom w:w="75" w:type="dxa"/>
              <w:left w:w="75" w:type="dxa"/>
              <w:right w:w="75" w:type="dxa"/>
            </w:tcMar>
          </w:tcPr>
          <w:p>
            <w:pPr>
              <w:spacing w:after="40" w:line="245" w:lineRule="auto"/>
            </w:pPr>
            <w:r>
              <w:rPr>
                <w:b w:val="0"/>
                <w:sz w:val="18"/>
              </w:rPr>
              <w:t>Daily jobs; weekly review; monthly restore drill</w:t>
            </w:r>
          </w:p>
        </w:tc>
        <w:tc>
          <w:tcPr>
            <w:tcW w:type="dxa" w:w="4723"/>
            <w:vAlign w:val="center"/>
            <w:tcMar>
              <w:top w:w="75" w:type="dxa"/>
              <w:bottom w:w="75" w:type="dxa"/>
              <w:left w:w="75" w:type="dxa"/>
              <w:right w:w="75" w:type="dxa"/>
            </w:tcMar>
          </w:tcPr>
          <w:p>
            <w:pPr>
              <w:spacing w:after="40" w:line="245" w:lineRule="auto"/>
            </w:pPr>
            <w:r>
              <w:rPr>
                <w:b w:val="0"/>
                <w:sz w:val="18"/>
              </w:rPr>
              <w:t>Run approved expiry and abandoned-upload cleanup; inspect failed jobs, access permissions, capacity and cost. Verify photo restoration with C4.</w:t>
            </w:r>
          </w:p>
        </w:tc>
        <w:tc>
          <w:tcPr>
            <w:tcW w:type="dxa" w:w="2131"/>
            <w:vAlign w:val="center"/>
            <w:tcMar>
              <w:top w:w="75" w:type="dxa"/>
              <w:bottom w:w="75" w:type="dxa"/>
              <w:left w:w="75" w:type="dxa"/>
              <w:right w:w="75" w:type="dxa"/>
            </w:tcMar>
          </w:tcPr>
          <w:p>
            <w:pPr>
              <w:spacing w:after="40" w:line="245" w:lineRule="auto"/>
            </w:pPr>
            <w:r>
              <w:rPr>
                <w:b w:val="0"/>
                <w:sz w:val="18"/>
              </w:rPr>
              <w:t>Cloud/data maintainer; usually online</w:t>
            </w:r>
          </w:p>
        </w:tc>
      </w:tr>
      <w:tr>
        <w:trPr>
          <w:cantSplit/>
        </w:trPr>
        <w:tc>
          <w:tcPr>
            <w:tcW w:type="dxa" w:w="1498"/>
            <w:vAlign w:val="center"/>
            <w:tcMar>
              <w:top w:w="75" w:type="dxa"/>
              <w:bottom w:w="75" w:type="dxa"/>
              <w:left w:w="75" w:type="dxa"/>
              <w:right w:w="75" w:type="dxa"/>
            </w:tcMar>
          </w:tcPr>
          <w:p>
            <w:pPr>
              <w:spacing w:after="40" w:line="245" w:lineRule="auto"/>
            </w:pPr>
            <w:r>
              <w:rPr>
                <w:b w:val="0"/>
                <w:sz w:val="18"/>
              </w:rPr>
              <w:t>Policies and interfaces</w:t>
            </w:r>
          </w:p>
        </w:tc>
        <w:tc>
          <w:tcPr>
            <w:tcW w:type="dxa" w:w="1685"/>
            <w:vAlign w:val="center"/>
            <w:tcMar>
              <w:top w:w="75" w:type="dxa"/>
              <w:bottom w:w="75" w:type="dxa"/>
              <w:left w:w="75" w:type="dxa"/>
              <w:right w:w="75" w:type="dxa"/>
            </w:tcMar>
          </w:tcPr>
          <w:p>
            <w:pPr>
              <w:spacing w:after="40" w:line="245" w:lineRule="auto"/>
            </w:pPr>
            <w:r>
              <w:rPr>
                <w:b w:val="0"/>
                <w:sz w:val="18"/>
              </w:rPr>
              <w:t>Before dispatch for freshness; on approved change</w:t>
            </w:r>
          </w:p>
        </w:tc>
        <w:tc>
          <w:tcPr>
            <w:tcW w:type="dxa" w:w="4723"/>
            <w:vAlign w:val="center"/>
            <w:tcMar>
              <w:top w:w="75" w:type="dxa"/>
              <w:bottom w:w="75" w:type="dxa"/>
              <w:left w:w="75" w:type="dxa"/>
              <w:right w:w="75" w:type="dxa"/>
            </w:tcMar>
          </w:tcPr>
          <w:p>
            <w:pPr>
              <w:spacing w:after="40" w:line="245" w:lineRule="auto"/>
            </w:pPr>
            <w:r>
              <w:rPr>
                <w:b w:val="0"/>
                <w:sz w:val="18"/>
              </w:rPr>
              <w:t>Review zone/policy versions and weather freshness. Test map, retailer and manufacturer contract changes; run policy apply/rollback regression.</w:t>
            </w:r>
          </w:p>
        </w:tc>
        <w:tc>
          <w:tcPr>
            <w:tcW w:type="dxa" w:w="2131"/>
            <w:vAlign w:val="center"/>
            <w:tcMar>
              <w:top w:w="75" w:type="dxa"/>
              <w:bottom w:w="75" w:type="dxa"/>
              <w:left w:w="75" w:type="dxa"/>
              <w:right w:w="75" w:type="dxa"/>
            </w:tcMar>
          </w:tcPr>
          <w:p>
            <w:pPr>
              <w:spacing w:after="40" w:line="245" w:lineRule="auto"/>
            </w:pPr>
            <w:r>
              <w:rPr>
                <w:b w:val="0"/>
                <w:sz w:val="18"/>
              </w:rPr>
              <w:t>Operations and developers; manufacturer for onboard changes</w:t>
            </w:r>
          </w:p>
        </w:tc>
      </w:tr>
      <w:tr>
        <w:trPr>
          <w:cantSplit/>
        </w:trPr>
        <w:tc>
          <w:tcPr>
            <w:tcW w:type="dxa" w:w="1498"/>
            <w:vAlign w:val="center"/>
            <w:tcMar>
              <w:top w:w="75" w:type="dxa"/>
              <w:bottom w:w="75" w:type="dxa"/>
              <w:left w:w="75" w:type="dxa"/>
              <w:right w:w="75" w:type="dxa"/>
            </w:tcMar>
          </w:tcPr>
          <w:p>
            <w:pPr>
              <w:spacing w:after="40" w:line="245" w:lineRule="auto"/>
            </w:pPr>
            <w:r>
              <w:rPr>
                <w:b w:val="0"/>
                <w:sz w:val="18"/>
              </w:rPr>
              <w:t>Critical defect or vulnerability</w:t>
            </w:r>
          </w:p>
        </w:tc>
        <w:tc>
          <w:tcPr>
            <w:tcW w:type="dxa" w:w="1685"/>
            <w:vAlign w:val="center"/>
            <w:tcMar>
              <w:top w:w="75" w:type="dxa"/>
              <w:bottom w:w="75" w:type="dxa"/>
              <w:left w:w="75" w:type="dxa"/>
              <w:right w:w="75" w:type="dxa"/>
            </w:tcMar>
          </w:tcPr>
          <w:p>
            <w:pPr>
              <w:spacing w:after="40" w:line="245" w:lineRule="auto"/>
            </w:pPr>
            <w:r>
              <w:rPr>
                <w:b w:val="0"/>
                <w:sz w:val="18"/>
              </w:rPr>
              <w:t>Event driven urgent triage</w:t>
            </w:r>
          </w:p>
        </w:tc>
        <w:tc>
          <w:tcPr>
            <w:tcW w:type="dxa" w:w="4723"/>
            <w:vAlign w:val="center"/>
            <w:tcMar>
              <w:top w:w="75" w:type="dxa"/>
              <w:bottom w:w="75" w:type="dxa"/>
              <w:left w:w="75" w:type="dxa"/>
              <w:right w:w="75" w:type="dxa"/>
            </w:tcMar>
          </w:tcPr>
          <w:p>
            <w:pPr>
              <w:spacing w:after="40" w:line="245" w:lineRule="auto"/>
            </w:pPr>
            <w:r>
              <w:rPr>
                <w:b w:val="0"/>
                <w:sz w:val="18"/>
              </w:rPr>
              <w:t>Assess exposure and contain the issue. If dispatch or command integrity is uncertain, stop new flights and coordinate safe handling of active ones; do not wait for the routine window.</w:t>
            </w:r>
          </w:p>
        </w:tc>
        <w:tc>
          <w:tcPr>
            <w:tcW w:type="dxa" w:w="2131"/>
            <w:vAlign w:val="center"/>
            <w:tcMar>
              <w:top w:w="75" w:type="dxa"/>
              <w:bottom w:w="75" w:type="dxa"/>
              <w:left w:w="75" w:type="dxa"/>
              <w:right w:w="75" w:type="dxa"/>
            </w:tcMar>
          </w:tcPr>
          <w:p>
            <w:pPr>
              <w:spacing w:after="40" w:line="245" w:lineRule="auto"/>
            </w:pPr>
            <w:r>
              <w:rPr>
                <w:b w:val="0"/>
                <w:sz w:val="18"/>
              </w:rPr>
              <w:t>Duty operations and technical owner</w:t>
            </w:r>
          </w:p>
        </w:tc>
      </w:tr>
    </w:tbl>
    <w:p>
      <w:pPr>
        <w:spacing w:after="0"/>
      </w:pPr>
    </w:p>
    <w:p>
      <w:pPr>
        <w:pStyle w:val="Heading2"/>
      </w:pPr>
      <w:r>
        <w:t>A shared maintenance window</w:t>
      </w:r>
    </w:p>
    <w:p>
      <w:r>
        <w:t>Reserve Sunday 00:00–02:00 Europe/London each week; use it only when disruptive work is needed. This is normally outside daylight delivery operations, but verify the actual flight roster and local clock changes. Complete work and checks before the next dispatch shift. Notify staff and the retailer at least 48 hours before planned interruption and show a service notice to customers.</w:t>
      </w:r>
    </w:p>
    <w:p>
      <w:r>
        <w:t>C1, C3, compatible C4 migrations and C5 access/configuration changes may share this slot. Update C2 after flights finish, keeping the backup laptop available until its replacement is tested. Managed cloud services still require monitoring of provider maintenance notices and application compatibility.</w:t>
      </w:r>
    </w:p>
    <w:p>
      <w:r>
        <w:br w:type="page"/>
      </w:r>
    </w:p>
    <w:p>
      <w:pPr>
        <w:pStyle w:val="Heading1"/>
      </w:pPr>
      <w:r>
        <w:t>Safe maintenance and change control</w:t>
      </w:r>
    </w:p>
    <w:p>
      <w:r>
        <w:t>1. Prepare: approve the change, test it in staging, record versions and dependencies, verify recoverable backups, and set a rollback decision deadline within the window. Separate incompatible or irreversible migrations into a reviewed plan.</w:t>
      </w:r>
    </w:p>
    <w:p>
      <w:r>
        <w:t>2. Enter the window: stop new dispatches and reconcile pending events. Confirm all aircraft are safely accounted for and no active flight depends on the services being interrupted. If any aircraft is active, missing or in recovery, retain telemetry, alerts and command access and postpone disruptive work.</w:t>
      </w:r>
    </w:p>
    <w:p>
      <w:r>
        <w:t>3. Change and verify: deploy compatible changes in dependency order. Check login, retailer status, scan/assignment, telemetry ingestion, simulated command acknowledgement and private photo access. Reconcile queues and confirm the active policy before reopening dispatch.</w:t>
      </w:r>
    </w:p>
    <w:p>
      <w:r>
        <w:t>4. Recover if needed: on a failed critical check, keep dispatch closed and roll back compatible code/configuration. Do not blindly restore an old database over new records or replay old emergency commands. Reconcile state and preserve audit evidence; extend the outage and notify users if safe recovery cannot finish in time.</w:t>
      </w:r>
    </w:p>
    <w:p>
      <w:pPr>
        <w:pStyle w:val="Heading2"/>
      </w:pPr>
      <w:r>
        <w:t>Maintenance types and defect tracking</w:t>
      </w:r>
    </w:p>
    <w:p>
      <w:r>
        <w:t>Corrective maintenance fixes defects, such as an incorrect parcel-photo link. Adaptive maintenance handles a manufacturer API, browser or platform change. Perfective maintenance improves scan usability or slow history queries. Preventive maintenance covers patching, log rotation, retention cleanup and restore drills. All changes receive proportionate regression tests.</w:t>
      </w:r>
    </w:p>
    <w:p>
      <w:r>
        <w:t>A defect record contains ID, component, requirement/test ID, build and environment, reproducible steps, expected/actual result, sanitised evidence, severity, owner and status. Workflow: New → Triaged → In progress → Fixed → Retested → Closed; reopen on failure. Example to look for, not an observed result: T10 displays ACKNOWLEDGED without a drone acknowledgement. Treat this as release-blocking and add a regression test after correction.</w:t>
      </w:r>
    </w:p>
    <w:p>
      <w:pPr>
        <w:pStyle w:val="Heading1"/>
      </w:pPr>
      <w:r>
        <w:t>Task 3 Class discussion preparation</w:t>
      </w:r>
    </w:p>
    <w:p>
      <w:r>
        <w:t>Discuss why C3 needs load testing while C1 primarily needs usability and compatibility checks; why C2 needs real hardware tests as well as simulation; and whether the shared window can preserve emergency access. Compare backup frequency with the acceptable data-loss target and the total resources needed for testing.</w:t>
      </w:r>
    </w:p>
    <w:p>
      <w:r>
        <w:t>After discussion, record the date, peer suggestion, affected test/component, decision, reason and owner. No class agreement or successful test execution is assumed. Retain the revised testing plan and maintenance schedule for later labs.</w:t>
      </w:r>
    </w:p>
    <w:sectPr w:rsidR="00FC693F" w:rsidRPr="0006063C" w:rsidSect="00034616">
      <w:footerReference w:type="default" r:id="rId9"/>
      <w:pgSz w:w="11909" w:h="16834"/>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SkyDrop   Lab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SkyDrop Testing and Maintenance Plan</dc:title>
  <dc:subject/>
  <dc:creator>Yuning Yao</dc:creator>
  <cp:keywords/>
  <dc:description>generated by python-docx</dc:description>
  <cp:lastModifiedBy/>
  <cp:revision>1</cp:revision>
  <dcterms:created xsi:type="dcterms:W3CDTF">2013-12-23T23:15:00Z</dcterms:created>
  <dcterms:modified xsi:type="dcterms:W3CDTF">2013-12-23T23:15:00Z</dcterms:modified>
  <cp:category/>
</cp:coreProperties>
</file>