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SkyDrop Implementation and Deployment Plan</w:t>
      </w:r>
    </w:p>
    <w:p>
      <w:pPr>
        <w:pStyle w:val="Subtitle"/>
      </w:pPr>
      <w:r>
        <w:t>Software Development Processes   Lab 5</w:t>
        <w:br/>
        <w:t>Yuning Yao   2065</w:t>
      </w:r>
    </w:p>
    <w:p>
      <w:r>
        <w:t>I propose Git with managed private repository hosting, selective pair programming and a staged deployment for the Manchester pilot. The plan continues the streamlined Lab 2 requirements, Lab 3 components and Lab 4 release criteria. It targets the nine-month launch while preserving manufacturer responsibility for onboard flight software.</w:t>
      </w:r>
    </w:p>
    <w:p>
      <w:pPr>
        <w:pStyle w:val="Heading1"/>
      </w:pPr>
      <w:r>
        <w:t>Task 1 Picking a version control system</w:t>
      </w:r>
    </w:p>
    <w:p>
      <w:pPr>
        <w:pStyle w:val="Heading2"/>
      </w:pPr>
      <w:r>
        <w:t>Tool and hosting comparison</w:t>
      </w:r>
    </w:p>
    <w:p>
      <w:r>
        <w:t>Git is a free, open-source distributed version control system [1]. Developers can commit locally during a connection outage and synchronise later. Apache Subversion is an open-source centralised alternative [2]; it suits a central workflow but depends on server access for commits. I prefer Git for the initial remote working period and parallel component development. GitHub and GitLab are hosting choices for Git, rather than different version control systems.</w:t>
      </w:r>
    </w:p>
    <w:tbl>
      <w:tblPr>
        <w:tblW w:type="auto" w:w="0"/>
        <w:tblLayout w:type="fixed"/>
        <w:tblLook w:firstColumn="1" w:firstRow="1" w:lastColumn="0" w:lastRow="0" w:noHBand="0" w:noVBand="1" w:val="04A0"/>
      </w:tblPr>
      <w:tblGrid>
        <w:gridCol w:w="1699"/>
        <w:gridCol w:w="3672"/>
        <w:gridCol w:w="4522"/>
      </w:tblGrid>
      <w:tr>
        <w:trPr>
          <w:cantSplit/>
          <w:tblHeader/>
        </w:trPr>
        <w:tc>
          <w:tcPr>
            <w:tcW w:type="dxa" w:w="169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spacing w:after="60"/>
            </w:pPr>
            <w:r>
              <w:rPr>
                <w:b/>
                <w:sz w:val="20"/>
              </w:rPr>
              <w:t>Hosting option</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spacing w:after="60"/>
            </w:pPr>
            <w:r>
              <w:rPr>
                <w:b/>
                <w:sz w:val="20"/>
              </w:rPr>
              <w:t>Commercial cost basis</w:t>
            </w:r>
          </w:p>
        </w:tc>
        <w:tc>
          <w:tcPr>
            <w:tcW w:type="dxa" w:w="452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spacing w:after="60"/>
            </w:pPr>
            <w:r>
              <w:rPr>
                <w:b/>
                <w:sz w:val="20"/>
              </w:rPr>
              <w:t>Fit for SkyDrop</w:t>
            </w:r>
          </w:p>
        </w:tc>
      </w:tr>
      <w:tr>
        <w:trPr>
          <w:cantSplit/>
        </w:trPr>
        <w:tc>
          <w:tcPr>
            <w:tcW w:type="dxa" w:w="169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GitHub Free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USD 0 subscription [3].</w:t>
            </w:r>
          </w:p>
        </w:tc>
        <w:tc>
          <w:tcPr>
            <w:tcW w:type="dxa" w:w="452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Private repositories are available, but the team should verify whether the required private-repository review controls are included.</w:t>
            </w:r>
          </w:p>
        </w:tc>
      </w:tr>
      <w:tr>
        <w:trPr>
          <w:cantSplit/>
        </w:trPr>
        <w:tc>
          <w:tcPr>
            <w:tcW w:type="dxa" w:w="169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GitHub Team</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Advertised USD 4 per user/month for the first 12 months [3]. Six seats: USD 24/month or USD 288 for 12 months at that rate.</w:t>
            </w:r>
          </w:p>
        </w:tc>
        <w:tc>
          <w:tcPr>
            <w:tcW w:type="dxa" w:w="452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Managed hosting works before the office opens. Private-repository rules and review controls support controlled releases.</w:t>
            </w:r>
          </w:p>
        </w:tc>
      </w:tr>
      <w:tr>
        <w:trPr>
          <w:cantSplit/>
        </w:trPr>
        <w:tc>
          <w:tcPr>
            <w:tcW w:type="dxa" w:w="169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GitLab Premium</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USD 29 per user/month, billed annually [4]. Six seats: USD 2,088/year.</w:t>
            </w:r>
          </w:p>
        </w:tc>
        <w:tc>
          <w:tcPr>
            <w:tcW w:type="dxa" w:w="452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Managed hosting and integrated delivery tools are useful, but the higher subscription is difficult to justify for this small MVP team.</w:t>
            </w:r>
          </w:p>
        </w:tc>
      </w:tr>
      <w:tr>
        <w:trPr>
          <w:cantSplit/>
        </w:trPr>
        <w:tc>
          <w:tcPr>
            <w:tcW w:type="dxa" w:w="169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Self-hosted Git</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No Git licence fee [1]; infrastructure and staff time remain payable.</w:t>
            </w:r>
          </w:p>
        </w:tc>
        <w:tc>
          <w:tcPr>
            <w:tcW w:type="dxa" w:w="452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More control over repository storage, but SkyDrop must provide secure remote access, patching, backups and recovery.</w:t>
            </w:r>
          </w:p>
        </w:tc>
      </w:tr>
    </w:tbl>
    <w:p/>
    <w:p>
      <w:r>
        <w:t>Prices checked on 26 September 2026. The six-seat allowance covers five developers and the manager, conservatively including Alex from the start. Figures exclude tax, currency conversion, optional security products, extra build/storage usage and production application hosting. Confirm billing terms and renewal pricing before purchase; annual commitments cannot be treated as a nine-month cancellable cost.</w:t>
      </w:r>
    </w:p>
    <w:p>
      <w:pPr>
        <w:pStyle w:val="Heading2"/>
      </w:pPr>
      <w:r>
        <w:t>Recommendation and self hosting cost</w:t>
      </w:r>
    </w:p>
    <w:p>
      <w:r>
        <w:t>I would choose GitHub Team in a company-owned organisation, subject to budget approval. It provides remote access immediately, without waiting for the office to be ready after month one. GitLab remains a viable alternative if its additional tools become necessary. This is a proposed commercial setup, separate from the coursework repository.</w:t>
      </w:r>
    </w:p>
    <w:p>
      <w:r>
        <w:t>For comparison, an illustrative self-hosted budget is GBP 600 for a server, GBP 150 for power and backup capacity, and 24 setup/maintenance hours at an assumed GBP 30/hour: GBP 1,470 in year one. These are planning assumptions, not supplier quotes. Reuse of company backup facilities must be confirmed and restores tested. Connectivity, replacement hardware and extra support could increase the total; physical control does not remove compromise risk.</w:t>
      </w:r>
    </w:p>
    <w:p>
      <w:pPr>
        <w:pStyle w:val="Heading1"/>
        <w:pageBreakBefore/>
      </w:pPr>
      <w:r>
        <w:t>Repository workflow and runtime configuration</w:t>
      </w:r>
    </w:p>
    <w:p>
      <w:r>
        <w:t>Keep C1 web, C2 depot and C3 cloud source, C4 migrations, C5 provisioning definitions, tests and documentation in one private repository with separate directories. Do not store production database exports or delivery photos. Use short feature branches, reviewed pull requests, passing automated checks and tagged releases. A release record identifies each component build, compatible API/schema versions and rollback instructions.</w:t>
      </w:r>
    </w:p>
    <w:p>
      <w:r>
        <w:t>Require individual accounts, multifactor authentication and least-privilege access. Restrict direct changes to the main branch and review deployment scripts as carefully as application code. Maintain an independent recoverable repository backup and exports of important project records; a developer clone alone does not preserve all hosting metadata. During a hosting outage, local development may continue, but releases wait for restored checks and approvals.</w:t>
      </w:r>
    </w:p>
    <w:p>
      <w:pPr>
        <w:pStyle w:val="Heading2"/>
      </w:pPr>
      <w:r>
        <w:t>Configuration kept outside version control</w:t>
      </w:r>
    </w:p>
    <w:p>
      <w:r>
        <w:t>Following the lab brief, deploy environment-specific configuration separately at runtime. Commit only a configuration template with dummy values. Keep real files, private keys and credentials out of source, test fixtures, build output and logs. Environment variables or a secret-management service can supply protected values [5]. Production credentials should remain separate from repository hosting so a repository compromise does not automatically disclose them.</w:t>
      </w:r>
    </w:p>
    <w:tbl>
      <w:tblPr>
        <w:tblW w:type="auto" w:w="0"/>
        <w:tblLayout w:type="fixed"/>
        <w:tblLook w:firstColumn="1" w:firstRow="1" w:lastColumn="0" w:lastRow="0" w:noHBand="0" w:noVBand="1" w:val="04A0"/>
      </w:tblPr>
      <w:tblGrid>
        <w:gridCol w:w="1613"/>
        <w:gridCol w:w="4032"/>
        <w:gridCol w:w="4248"/>
      </w:tblGrid>
      <w:tr>
        <w:trPr>
          <w:cantSplit/>
          <w:tblHeader/>
        </w:trPr>
        <w:tc>
          <w:tcPr>
            <w:tcW w:type="dxa" w:w="161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spacing w:after="60"/>
            </w:pPr>
            <w:r>
              <w:rPr>
                <w:b/>
                <w:sz w:val="20"/>
              </w:rPr>
              <w:t>Component</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spacing w:after="60"/>
            </w:pPr>
            <w:r>
              <w:rPr>
                <w:b/>
                <w:sz w:val="20"/>
              </w:rPr>
              <w:t>Separate runtime information</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spacing w:after="60"/>
            </w:pPr>
            <w:r>
              <w:rPr>
                <w:b/>
                <w:sz w:val="20"/>
              </w:rPr>
              <w:t>Access and handling</w:t>
            </w:r>
          </w:p>
        </w:tc>
      </w:tr>
      <w:tr>
        <w:trPr>
          <w:cantSplit/>
        </w:trPr>
        <w:tc>
          <w:tcPr>
            <w:tcW w:type="dxa" w:w="161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C1 Web portal</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Public API base URL and public map configuration.</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Browser values are visible to users. Keep server credentials in C3; restrict any browser map key by origin and allowed use.</w:t>
            </w:r>
          </w:p>
        </w:tc>
      </w:tr>
      <w:tr>
        <w:trPr>
          <w:cantSplit/>
        </w:trPr>
        <w:tc>
          <w:tcPr>
            <w:tcW w:type="dxa" w:w="161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C2 Depot application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Cloud endpoint, depot/device identity, device credential and approved Bluetooth settings.</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Use protected device storage and a restricted configuration file. Give each device only its required permissions.</w:t>
            </w:r>
          </w:p>
        </w:tc>
      </w:tr>
      <w:tr>
        <w:trPr>
          <w:cantSplit/>
        </w:trPr>
        <w:tc>
          <w:tcPr>
            <w:tcW w:type="dxa" w:w="161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C3 Cloud application</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Database endpoint, service credentials, retailer authentication, map service secrets and storage configuration.</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Load through the cloud identity or secret service. Separate development, staging and production access.</w:t>
            </w:r>
          </w:p>
        </w:tc>
      </w:tr>
      <w:tr>
        <w:trPr>
          <w:cantSplit/>
        </w:trPr>
        <w:tc>
          <w:tcPr>
            <w:tcW w:type="dxa" w:w="161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C4 Database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Administrator/application identities, connection settings, backup credentials and encryption-key references.</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Restrict administrators and backup access. Applications must not use the database administrator account.</w:t>
            </w:r>
          </w:p>
        </w:tc>
      </w:tr>
      <w:tr>
        <w:trPr>
          <w:cantSplit/>
        </w:trPr>
        <w:tc>
          <w:tcPr>
            <w:tcW w:type="dxa" w:w="161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C5 Private storage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Bucket identifier, access policy, service identity and encryption-key references.</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Keep photos private; C3 authorises access. Grant narrowly scoped upload/read permissions.</w:t>
            </w:r>
          </w:p>
        </w:tc>
      </w:tr>
    </w:tbl>
    <w:p/>
    <w:p>
      <w:r>
        <w:t>Missing or invalid critical configuration must prevent dispatch-capable services from becoming ready. Rotate exposed credentials immediately and investigate access; deleting a committed secret is insufficient because history and clones may retain it. Keep approved operational policy versions and their audit trail in C4, as designed in Lab 3. Policy values are controlled business rules, not passwords.</w:t>
      </w:r>
    </w:p>
    <w:p>
      <w:pPr>
        <w:pStyle w:val="Heading1"/>
        <w:pageBreakBefore/>
      </w:pPr>
      <w:r>
        <w:t>Task 2 Using pair programming</w:t>
      </w:r>
    </w:p>
    <w:p>
      <w:r>
        <w:t>I would use pairing for integration, difficult logic and knowledge sharing, with independent work between sessions. The case provides skills and start dates but does not specify individual working hours. I would agree overlapping sessions with each developer and review the arrangement after two weeks rather than assume availability from personal circumstances.</w:t>
      </w:r>
    </w:p>
    <w:tbl>
      <w:tblPr>
        <w:tblW w:type="auto" w:w="0"/>
        <w:tblLayout w:type="fixed"/>
        <w:tblLook w:firstColumn="1" w:firstRow="1" w:lastColumn="0" w:lastRow="0" w:noHBand="0" w:noVBand="1" w:val="04A0"/>
      </w:tblPr>
      <w:tblGrid>
        <w:gridCol w:w="2232"/>
        <w:gridCol w:w="3312"/>
        <w:gridCol w:w="4349"/>
      </w:tblGrid>
      <w:tr>
        <w:trPr>
          <w:cantSplit/>
          <w:tblHeader/>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spacing w:after="60"/>
            </w:pPr>
            <w:r>
              <w:rPr>
                <w:b/>
                <w:sz w:val="20"/>
              </w:rPr>
              <w:t>Stage and pairing</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spacing w:after="60"/>
            </w:pPr>
            <w:r>
              <w:rPr>
                <w:b/>
                <w:sz w:val="20"/>
              </w:rPr>
              <w:t>Shared work</w:t>
            </w:r>
          </w:p>
        </w:tc>
        <w:tc>
          <w:tcPr>
            <w:tcW w:type="dxa" w:w="434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spacing w:after="60"/>
            </w:pPr>
            <w:r>
              <w:rPr>
                <w:b/>
                <w:sz w:val="20"/>
              </w:rPr>
              <w:t>Reason and limitation</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Months one and two</w:t>
              <w:br/>
              <w:t>Cara and Temi</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C2 scan/programming workflow and its C3/C4 records, initially using a simulator.</w:t>
            </w:r>
          </w:p>
        </w:tc>
        <w:tc>
          <w:tcPr>
            <w:tcW w:type="dxa" w:w="434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Cara brings industrial automation and previous team experience; Temi brings database interests, C# and communication skills. Agree interfaces and language choices together; neither is assumed expert in every stack.</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Months one and two</w:t>
              <w:br/>
              <w:t>Sajid and Dimitri</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C1 tracking, drop-point selection and proof screens, with mocked API responses.</w:t>
            </w:r>
          </w:p>
        </w:tc>
        <w:tc>
          <w:tcPr>
            <w:tcW w:type="dxa" w:w="434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Dimitri contributes front-end/design ability; Sajid contributes delivery experience and API integration. Sajid is new to the senior role, so this is shared problem-solving rather than assumed expert web mentoring.</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From month three</w:t>
              <w:br/>
              <w:t>Alex and Cara for planned sessions</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C3 dispatch rules and C2/manufacturer interfaces, including acknowledgements and failure states.</w:t>
            </w:r>
          </w:p>
        </w:tc>
        <w:tc>
          <w:tcPr>
            <w:tcW w:type="dxa" w:w="434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Alex joins after two months and brings strong C#/Java experience. Cara contributes hardware integration knowledge. Use bounded technical sessions, not an imposed permanent mentoring role.</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From month three</w:t>
              <w:br/>
              <w:t>Temi and Dimitri for integration sessions</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End-to-end order history, photo linkage and access-control tests across C1/C3/C4/C5.</w:t>
            </w:r>
          </w:p>
        </w:tc>
        <w:tc>
          <w:tcPr>
            <w:tcW w:type="dxa" w:w="434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Both learn how their components interact. As two junior developers, they need independent review of critical changes; this pairing does not replace experienced oversight.</w:t>
            </w:r>
          </w:p>
        </w:tc>
      </w:tr>
    </w:tbl>
    <w:p/>
    <w:p>
      <w:pPr>
        <w:pStyle w:val="Heading2"/>
      </w:pPr>
      <w:r>
        <w:t>Working arrangements and review</w:t>
      </w:r>
    </w:p>
    <w:p>
      <w:r>
        <w:t>During the first month, use remote screen sharing or collaborative editing with synthetic data and no visible production credentials. Once the office is ready, offer a shared desk during agreed overlap, while retaining remote access. Start with two 60-90 minute sessions per week and extra sessions for risky integration; these are proposed working arrangements, not case facts.</w:t>
      </w:r>
    </w:p>
    <w:p>
      <w:r>
        <w:t>One developer drives while the other reviews the approach and tests; swap roles regularly, for example every 20-30 minutes. Give Dimitri explicit opportunities to drive and explain decisions without treating interview shyness as inability. Allow Cara time to refresh unfamiliar tools, and ask about availability rather than inferring it from her career break. Respect Alex's stated lack of interest in mentoring and negotiate focused technical collaboration.</w:t>
      </w:r>
    </w:p>
    <w:p>
      <w:r>
        <w:t>With five developers after Alex arrives, rotate pairings rather than force everyone into permanent pairs. Sajid can work independently on retailer integration or tests between sessions. I would coordinate interfaces, remove blockers and approve specification/design decisions; stakeholder meetings prevent me from being a reliable full-time pairing partner.</w:t>
      </w:r>
    </w:p>
    <w:p>
      <w:r>
        <w:t>Pairing should reduce misunderstandings around dispatch, authorisation and device acknowledgements, but it uses two people's time and can create fatigue or dominance. Compare defects, rework and developer feedback after the trial. Continue it where it helps and use asynchronous review for routine work or incompatible schedules. A paired change still receives proportionate independent review before release.</w:t>
      </w:r>
    </w:p>
    <w:p>
      <w:pPr>
        <w:pStyle w:val="Heading1"/>
        <w:pageBreakBefore/>
      </w:pPr>
      <w:r>
        <w:t>Task 3 Creating a deployment plan</w:t>
      </w:r>
    </w:p>
    <w:p>
      <w:r>
        <w:t>Deploy the same five components defined in Lab 3. C1 is the responsive web portal, C2 the depot application, C3 the cloud application, C4 the relational database and C5 private photo storage. A separate native customer app remains deferred under R23, pending the COO's decision. The manufacturer owns onboard navigation and firmware; SkyDrop coordinates compatibility and field acceptance.</w:t>
      </w:r>
    </w:p>
    <w:tbl>
      <w:tblPr>
        <w:tblW w:type="auto" w:w="0"/>
        <w:tblLayout w:type="fixed"/>
        <w:tblLook w:firstColumn="1" w:firstRow="1" w:lastColumn="0" w:lastRow="0" w:noHBand="0" w:noVBand="1" w:val="04A0"/>
      </w:tblPr>
      <w:tblGrid>
        <w:gridCol w:w="1584"/>
        <w:gridCol w:w="4781"/>
        <w:gridCol w:w="3528"/>
      </w:tblGrid>
      <w:tr>
        <w:trPr>
          <w:cantSplit/>
          <w:tblHeader/>
        </w:trP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spacing w:after="60"/>
            </w:pPr>
            <w:r>
              <w:rPr>
                <w:b/>
                <w:sz w:val="20"/>
              </w:rPr>
              <w:t>Period</w:t>
            </w:r>
          </w:p>
        </w:tc>
        <w:tc>
          <w:tcPr>
            <w:tcW w:type="dxa" w:w="47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spacing w:after="60"/>
            </w:pPr>
            <w:r>
              <w:rPr>
                <w:b/>
                <w:sz w:val="20"/>
              </w:rPr>
              <w:t>Deployment activity</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spacing w:after="60"/>
            </w:pPr>
            <w:r>
              <w:rPr>
                <w:b/>
                <w:sz w:val="20"/>
              </w:rPr>
              <w:t>Evidence or approval</w:t>
            </w:r>
          </w:p>
        </w:tc>
      </w:tr>
      <w:tr>
        <w:trPr>
          <w:cantSplit/>
        </w:trP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Months one to five</w:t>
            </w:r>
          </w:p>
        </w:tc>
        <w:tc>
          <w:tcPr>
            <w:tcW w:type="dxa" w:w="47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Set up separate development/staging environments and repeatable builds. Deploy C4/C5, then C3 and C1 to staging. Integrate a C2 simulator; test real depot equipment when the depot is ready, expected around month three.</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Agree manufacturer contracts, configuration ownership, service policies and Lab 4 acceptance limits.</w:t>
            </w:r>
          </w:p>
        </w:tc>
      </w:tr>
      <w:tr>
        <w:trPr>
          <w:cantSplit/>
        </w:trP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Month six</w:t>
            </w:r>
          </w:p>
        </w:tc>
        <w:tc>
          <w:tcPr>
            <w:tcW w:type="dxa" w:w="47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Receive aircraft and install a candidate C2 build on one test workstation. Integrate the agreed manufacturer version with staging.</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Joint Bluetooth, telemetry, photo and emergency-command tests on real hardware.</w:t>
            </w:r>
          </w:p>
        </w:tc>
      </w:tr>
      <w:tr>
        <w:trPr>
          <w:cantSplit/>
        </w:trP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Months seven and eight</w:t>
            </w:r>
          </w:p>
        </w:tc>
        <w:tc>
          <w:tcPr>
            <w:tcW w:type="dxa" w:w="47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Rehearse deployment and recovery, train staff and run controlled end-to-end trials with a limited approved aircraft group.</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Lab 4 results, retailer API acceptance, role-based user acceptance and demonstrated restore procedures.</w:t>
            </w:r>
          </w:p>
        </w:tc>
      </w:tr>
      <w:tr>
        <w:trPr>
          <w:cantSplit/>
        </w:trP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Month nine</w:t>
            </w:r>
          </w:p>
        </w:tc>
        <w:tc>
          <w:tcPr>
            <w:tcW w:type="dxa" w:w="47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COO authorises the launch date after readiness review. Release to a limited operational group, observe results and expand towards the planned fleet/workload only when agreed gates pass.</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Operations and development sign-off with manufacturer input; marketing timing does not override a failed safety gate.</w:t>
            </w:r>
          </w:p>
        </w:tc>
      </w:tr>
    </w:tbl>
    <w:p/>
    <w:p>
      <w:pPr>
        <w:pStyle w:val="Heading2"/>
      </w:pPr>
      <w:r>
        <w:t>Component release order and responsibilities</w:t>
      </w:r>
    </w:p>
    <w:p>
      <w:r>
        <w:t>C4 and C5: Temi prepares reviewed database migrations and private storage configuration. Create production identities, backups and access policies before enabling C3. Rehearse a consistent database/photo recovery; never copy live personal data into staging. Prefer additive schema changes so old and new application versions can coexist during a planned transition.</w:t>
      </w:r>
    </w:p>
    <w:p>
      <w:r>
        <w:t>C3: Alex and Cara coordinate the candidate cloud build and manufacturer contract, with the manager arranging review and approval. Deploy a tested immutable build and validate readiness before switching traffic. Preserve command and telemetry processing for active flights; initial launch and disruptive later changes use a window with no active flights whenever required for safety.</w:t>
      </w:r>
    </w:p>
    <w:p>
      <w:r>
        <w:t>C1: Sajid and Dimitri publish the matching web build after compatible C3 endpoints are available. Check recipient and staff roles on mobile and desktop browsers. Plan cache refresh and tolerate supported older browser sessions; a website update does not instantly replace every open client.</w:t>
      </w:r>
    </w:p>
    <w:p>
      <w:r>
        <w:t>C2: Cara coordinates installation with warehouse staff. Validate one workstation's scanner, Bluetooth adapter, identity and API compatibility before expanding to the remaining devices. Supply a short guide for scan-in, programming acknowledgement, scan-out and exception handling. Block dispatch from unsupported versions.</w:t>
      </w:r>
    </w:p>
    <w:p>
      <w:r>
        <w:t>Release C1/C3 changes together when their contract requires it, and bundle C4 migrations and C5 policy changes in the release plan. Coordinate C2 and aircraft versions through a compatibility record. Manufacturer engineers perform or supervise firmware updates where required, on grounded aircraft, followed by joint checks. SkyDrop does not independently rewrite flight-control software.</w:t>
      </w:r>
    </w:p>
    <w:p>
      <w:pPr>
        <w:pStyle w:val="Heading1"/>
        <w:pageBreakBefore/>
      </w:pPr>
      <w:r>
        <w:t>Launch readiness and subsequent releases</w:t>
      </w:r>
    </w:p>
    <w:p>
      <w:pPr>
        <w:pStyle w:val="Heading2"/>
      </w:pPr>
      <w:r>
        <w:t>Training and operational switch</w:t>
      </w:r>
    </w:p>
    <w:p>
      <w:r>
        <w:t>Warehouse staff practise the full scan-to-dispatch workflow and uncertain Bluetooth acknowledgement recovery. Operations and maintenance practise stale telemetry, fault recovery and emergency commands, including the battery laptop with independent 4G. Support staff learn delivery/photo status interpretation and their access restrictions. Provide role-specific guides and complete a retailer API rehearsal before the agreed switchover.</w:t>
      </w:r>
    </w:p>
    <w:p>
      <w:r>
        <w:t>The release gate requires passing evidence for applicable Lab 2 Must requirements, no unresolved critical safety/privacy/data-integrity defects, and COO acceptance with relevant users and manufacturer input, following Lab 4. Confirm range and ground-point rules, dusk margins, telemetry freshness, alert/command limits, retention and recovery targets before acceptance. Test the planned 175-drone and 2,500-delivery daily scale with an agreed peak workload model.</w:t>
      </w:r>
    </w:p>
    <w:p>
      <w:r>
        <w:t>At cutover, reconcile orders and drone assignments, verify configuration and backups, record deployed versions and keep named technical and operational contacts available. Monitor API failures, stale telemetry, alert delays, command acknowledgements, duplicate assignments and photo linkage. A command acknowledgement proves receipt, not completed landing. Missing aircraft connectivity must remain visible even when depot backup internet works.</w:t>
      </w:r>
    </w:p>
    <w:p>
      <w:pPr>
        <w:pStyle w:val="Heading2"/>
      </w:pPr>
      <w:r>
        <w:t>Rollback and maintenance handover</w:t>
      </w:r>
    </w:p>
    <w:p>
      <w:r>
        <w:t>For a later release, schedule disruptive work with operations, pause new dispatches and account for active flights. Retain the last compatible application builds and test rollback in staging. Revert applications only if their database, policy and device versions remain compatible. For an incompatible migration, use an approved forward repair or coordinated restore; restoring a database alone may lose new delivery records or mismatch photos and aircraft state.</w:t>
      </w:r>
    </w:p>
    <w:p>
      <w:r>
        <w:t>If a release fails, stop new dispatches, preserve telemetry and emergency handling where available, and reconcile pending flights and commands before resuming. Do not replay expired commands or duplicate scan events during recovery. Extend the outage if safe recovery cannot be demonstrated. Hand over the version record, monitoring, incident contacts and restore instructions to the Lab 4 maintenance process.</w:t>
      </w:r>
    </w:p>
    <w:p>
      <w:pPr>
        <w:pStyle w:val="Heading1"/>
      </w:pPr>
      <w:r>
        <w:t>Task 4 Class discussion preparation</w:t>
      </w:r>
    </w:p>
    <w:p>
      <w:r>
        <w:t>I would compare the evidence for managed hosting against self hosting, ask whether colleagues would pair Alex differently given the delayed start and mentoring preference, and challenge deployment plans that omit staff training or client/server compatibility. After the actual discussion, record the suggestion, affected decision, accepted change or rejection, and reason. Peer agreement and successful deployment are not assumed.</w:t>
      </w:r>
    </w:p>
    <w:p>
      <w:pPr>
        <w:pStyle w:val="Heading1"/>
      </w:pPr>
      <w:r>
        <w:t>Sources</w:t>
      </w:r>
    </w:p>
    <w:p>
      <w:r>
        <w:t>Course basis: Software Development Processes Lab Sheet 5 Implementation and Deployment, pp. 1-3; SkyDrop Drone Deliveries case study, pp. 1-6; streamlined Lab 2 and Yuning Yao's Lab 3 and Lab 4 submissions. All arrangements and budgets described as proposals require agreement before operational use.</w:t>
      </w:r>
    </w:p>
    <w:p>
      <w:pPr>
        <w:spacing w:after="60"/>
      </w:pPr>
      <w:r>
        <w:rPr>
          <w:sz w:val="18"/>
        </w:rPr>
        <w:t>[1] Git. About Git. https://git-scm.com/about</w:t>
      </w:r>
    </w:p>
    <w:p>
      <w:pPr>
        <w:spacing w:after="60"/>
      </w:pPr>
      <w:r>
        <w:rPr>
          <w:sz w:val="18"/>
        </w:rPr>
        <w:t>[2] Apache Software Foundation. Apache Subversion. https://subversion.apache.org/</w:t>
      </w:r>
    </w:p>
    <w:p>
      <w:pPr>
        <w:spacing w:after="60"/>
      </w:pPr>
      <w:r>
        <w:rPr>
          <w:sz w:val="18"/>
        </w:rPr>
        <w:t>[3] GitHub. Pricing. https://github.com/pricing</w:t>
      </w:r>
    </w:p>
    <w:p>
      <w:pPr>
        <w:spacing w:after="60"/>
      </w:pPr>
      <w:r>
        <w:rPr>
          <w:sz w:val="18"/>
        </w:rPr>
        <w:t>[4] GitLab. Pricing. https://about.gitlab.com/pricing/</w:t>
      </w:r>
    </w:p>
    <w:p>
      <w:pPr>
        <w:spacing w:after="60"/>
      </w:pPr>
      <w:r>
        <w:rPr>
          <w:sz w:val="18"/>
        </w:rPr>
        <w:t>[5] GitHub Docs. Storing your secrets safely. https://docs.github.com/en/get-started/learning-to-code/storing-your-secrets-safely</w:t>
      </w:r>
    </w:p>
    <w:p>
      <w:pPr>
        <w:spacing w:after="60"/>
      </w:pPr>
      <w:r>
        <w:rPr>
          <w:sz w:val="18"/>
        </w:rPr>
        <w:t>Online sources accessed 26 September 2026. Supplier prices are indicative and must be reconfirmed at purchase.</w:t>
      </w:r>
    </w:p>
    <w:sectPr w:rsidR="00FC693F" w:rsidRPr="0006063C" w:rsidSect="00034616">
      <w:foot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SkyDrop   Lab 5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SkyDrop Implementation and Deployment Plan</dc:title>
  <dc:subject/>
  <dc:creator>Yuning Yao</dc:creator>
  <cp:keywords/>
  <dc:description>generated by python-docx</dc:description>
  <cp:lastModifiedBy/>
  <cp:revision>1</cp:revision>
  <dcterms:created xsi:type="dcterms:W3CDTF">2013-12-23T23:15:00Z</dcterms:created>
  <dcterms:modified xsi:type="dcterms:W3CDTF">2013-12-23T23:15:00Z</dcterms:modified>
  <cp:category/>
</cp:coreProperties>
</file>