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fdfdf" w:space="11" w:sz="6" w:val="dashed"/>
          <w:bottom w:color="auto" w:space="22" w:sz="0" w:val="none"/>
          <w:right w:color="auto" w:space="0" w:sz="0" w:val="none"/>
        </w:pBdr>
        <w:shd w:fill="ffffff" w:val="clear"/>
        <w:spacing w:after="560" w:line="400" w:lineRule="auto"/>
        <w:rPr>
          <w:rFonts w:ascii="Merriweather" w:cs="Merriweather" w:eastAsia="Merriweather" w:hAnsi="Merriweather"/>
          <w:b w:val="1"/>
          <w:color w:val="ff0000"/>
          <w:sz w:val="32"/>
          <w:szCs w:val="32"/>
          <w:highlight w:val="white"/>
          <w:u w:val="single"/>
        </w:rPr>
      </w:pPr>
      <w:r w:rsidDel="00000000" w:rsidR="00000000" w:rsidRPr="00000000">
        <w:rPr>
          <w:rFonts w:ascii="Merriweather" w:cs="Merriweather" w:eastAsia="Merriweather" w:hAnsi="Merriweather"/>
          <w:b w:val="1"/>
          <w:color w:val="ff0000"/>
          <w:sz w:val="32"/>
          <w:szCs w:val="32"/>
          <w:highlight w:val="white"/>
          <w:u w:val="single"/>
          <w:rtl w:val="0"/>
        </w:rPr>
        <w:t xml:space="preserve">9.Barza</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25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3,5kg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1,25m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Europa</w:t>
      </w:r>
    </w:p>
    <w:p w:rsidR="00000000" w:rsidDel="00000000" w:rsidP="00000000" w:rsidRDefault="00000000" w:rsidRPr="00000000" w14:paraId="00000008">
      <w:pPr>
        <w:ind w:left="720" w:firstLine="0"/>
        <w:rPr>
          <w:rFonts w:ascii="Merriweather" w:cs="Merriweather" w:eastAsia="Merriweather" w:hAnsi="Merriweather"/>
          <w:b w:val="1"/>
          <w:color w:val="ff0000"/>
          <w:sz w:val="32"/>
          <w:szCs w:val="32"/>
          <w:highlight w:val="white"/>
          <w:u w:val="single"/>
        </w:rPr>
      </w:pPr>
      <w:r w:rsidDel="00000000" w:rsidR="00000000" w:rsidRPr="00000000">
        <w:rPr>
          <w:sz w:val="24"/>
          <w:szCs w:val="24"/>
          <w:rtl w:val="0"/>
        </w:rPr>
        <w:t xml:space="preserve">Mod de hranire:           carnivor</w:t>
      </w:r>
      <w:r w:rsidDel="00000000" w:rsidR="00000000" w:rsidRPr="00000000">
        <w:rPr>
          <w:rtl w:val="0"/>
        </w:rPr>
      </w:r>
    </w:p>
    <w:p w:rsidR="00000000" w:rsidDel="00000000" w:rsidP="00000000" w:rsidRDefault="00000000" w:rsidRPr="00000000" w14:paraId="00000009">
      <w:pPr>
        <w:numPr>
          <w:ilvl w:val="0"/>
          <w:numId w:val="1"/>
        </w:numPr>
        <w:pBdr>
          <w:top w:color="dfdfdf" w:space="11" w:sz="6" w:val="dashed"/>
          <w:bottom w:color="auto" w:space="22" w:sz="0" w:val="none"/>
          <w:right w:color="auto" w:space="0" w:sz="0" w:val="none"/>
        </w:pBdr>
        <w:shd w:fill="ffffff" w:val="clear"/>
        <w:spacing w:after="560" w:line="400" w:lineRule="auto"/>
        <w:ind w:left="720" w:hanging="360"/>
        <w:rPr>
          <w:b w:val="1"/>
          <w:color w:val="4c4c4c"/>
          <w:sz w:val="28"/>
          <w:szCs w:val="28"/>
          <w:highlight w:val="yellow"/>
        </w:rPr>
      </w:pPr>
      <w:r w:rsidDel="00000000" w:rsidR="00000000" w:rsidRPr="00000000">
        <w:rPr>
          <w:b w:val="1"/>
          <w:color w:val="4c4c4c"/>
          <w:sz w:val="28"/>
          <w:szCs w:val="28"/>
          <w:highlight w:val="yellow"/>
          <w:rtl w:val="0"/>
        </w:rPr>
        <w:t xml:space="preserve">Generalitati:</w:t>
      </w:r>
    </w:p>
    <w:p w:rsidR="00000000" w:rsidDel="00000000" w:rsidP="00000000" w:rsidRDefault="00000000" w:rsidRPr="00000000" w14:paraId="0000000A">
      <w:pPr>
        <w:pBdr>
          <w:top w:color="dfdfdf" w:space="11" w:sz="6" w:val="dashed"/>
          <w:bottom w:color="auto" w:space="22" w:sz="0" w:val="none"/>
          <w:right w:color="auto" w:space="0" w:sz="0" w:val="none"/>
        </w:pBdr>
        <w:shd w:fill="ffffff" w:val="clear"/>
        <w:spacing w:after="560" w:line="276" w:lineRule="auto"/>
        <w:rPr>
          <w:highlight w:val="white"/>
        </w:rPr>
      </w:pPr>
      <w:r w:rsidDel="00000000" w:rsidR="00000000" w:rsidRPr="00000000">
        <w:rPr>
          <w:highlight w:val="white"/>
          <w:rtl w:val="0"/>
        </w:rPr>
        <w:t xml:space="preserve">Este o specie de pasăre de talie mare. Sexele au colorit identic. Penajul este în general alb, cu vârful aripilor (penele de zbor) negre. Picioarele și ciocul sunt de culoare roșu intens (negricioase la juvenili). </w:t>
      </w:r>
    </w:p>
    <w:p w:rsidR="00000000" w:rsidDel="00000000" w:rsidP="00000000" w:rsidRDefault="00000000" w:rsidRPr="00000000" w14:paraId="0000000B">
      <w:pPr>
        <w:pBdr>
          <w:top w:color="dfdfdf" w:space="11" w:sz="6" w:val="dashed"/>
          <w:bottom w:color="auto" w:space="22" w:sz="0" w:val="none"/>
          <w:right w:color="auto" w:space="0" w:sz="0" w:val="none"/>
        </w:pBdr>
        <w:shd w:fill="ffffff" w:val="clear"/>
        <w:spacing w:after="560" w:line="276" w:lineRule="auto"/>
        <w:rPr>
          <w:highlight w:val="white"/>
        </w:rPr>
      </w:pPr>
      <w:r w:rsidDel="00000000" w:rsidR="00000000" w:rsidRPr="00000000">
        <w:rPr>
          <w:highlight w:val="white"/>
          <w:rtl w:val="0"/>
        </w:rPr>
        <w:t xml:space="preserve">Specia cuibărește în special în Palearcticul de vest, din Spania și până în Orientul apropiat (Turcia, Iran), precum și în zona Asiei centrale (Kazahstan). Populațiile europene iernează în Africa sub-sahariană. În vestul Europei, foarte multe exemplare rămân și peste iarnă, în special în Spania, Franța și sudul Italiei. În estul Europei, prezența exemplarelor pe timpul iernii este în general izolată.</w:t>
      </w:r>
    </w:p>
    <w:p w:rsidR="00000000" w:rsidDel="00000000" w:rsidP="00000000" w:rsidRDefault="00000000" w:rsidRPr="00000000" w14:paraId="0000000C">
      <w:pPr>
        <w:pBdr>
          <w:top w:color="dfdfdf" w:space="11" w:sz="6" w:val="dashed"/>
          <w:bottom w:color="auto" w:space="22" w:sz="0" w:val="none"/>
          <w:right w:color="auto" w:space="0" w:sz="0" w:val="none"/>
        </w:pBdr>
        <w:shd w:fill="ffffff" w:val="clear"/>
        <w:spacing w:after="560" w:line="276" w:lineRule="auto"/>
        <w:rPr>
          <w:highlight w:val="white"/>
        </w:rPr>
      </w:pPr>
      <w:r w:rsidDel="00000000" w:rsidR="00000000" w:rsidRPr="00000000">
        <w:rPr>
          <w:highlight w:val="white"/>
          <w:rtl w:val="0"/>
        </w:rPr>
        <w:t xml:space="preserve">Este o specie carnivoră, consumă o gamă foarte largă de viețuitoare: micromamifere (șoareci, chițcani), șopârle, șerpi, amfibieni, păsări de talie mică (în special pui, uneori și ouă), insecte de talie mare. În zonele acvatice hrana se diversifică și include pești și nevertebrate acvatice (moluște, crustacee).</w:t>
      </w:r>
    </w:p>
    <w:p w:rsidR="00000000" w:rsidDel="00000000" w:rsidP="00000000" w:rsidRDefault="00000000" w:rsidRPr="00000000" w14:paraId="0000000D">
      <w:pPr>
        <w:pBdr>
          <w:top w:color="dfdfdf" w:space="11" w:sz="6" w:val="dashed"/>
          <w:bottom w:color="auto" w:space="22" w:sz="0" w:val="none"/>
          <w:right w:color="auto" w:space="0" w:sz="0" w:val="none"/>
        </w:pBdr>
        <w:shd w:fill="ffffff" w:val="clear"/>
        <w:spacing w:after="560" w:line="276" w:lineRule="auto"/>
        <w:rPr>
          <w:highlight w:val="white"/>
        </w:rPr>
      </w:pPr>
      <w:r w:rsidDel="00000000" w:rsidR="00000000" w:rsidRPr="00000000">
        <w:rPr>
          <w:highlight w:val="white"/>
          <w:rtl w:val="0"/>
        </w:rPr>
        <w:t xml:space="preserve">Principala amenințare o constituie electrocutarea (în special a exemplarelor tinere). Cuiburile amplasate direct pe stâlpii de electricitate, fără suport, sunt foarte vulnerabile în această privință. </w:t>
      </w:r>
    </w:p>
    <w:p w:rsidR="00000000" w:rsidDel="00000000" w:rsidP="00000000" w:rsidRDefault="00000000" w:rsidRPr="00000000" w14:paraId="0000000E">
      <w:pPr>
        <w:pBdr>
          <w:top w:color="dfdfdf" w:space="11" w:sz="6" w:val="dashed"/>
          <w:bottom w:color="auto" w:space="22" w:sz="0" w:val="none"/>
          <w:right w:color="auto" w:space="0" w:sz="0" w:val="none"/>
        </w:pBdr>
        <w:shd w:fill="ffffff" w:val="clear"/>
        <w:spacing w:after="560" w:line="276" w:lineRule="auto"/>
        <w:rPr>
          <w:b w:val="1"/>
          <w:highlight w:val="white"/>
        </w:rPr>
      </w:pPr>
      <w:r w:rsidDel="00000000" w:rsidR="00000000" w:rsidRPr="00000000">
        <w:rPr>
          <w:b w:val="1"/>
          <w:highlight w:val="yellow"/>
          <w:rtl w:val="0"/>
        </w:rPr>
        <w:t xml:space="preserve">Stiati ca.</w:t>
      </w:r>
      <w:r w:rsidDel="00000000" w:rsidR="00000000" w:rsidRPr="00000000">
        <w:rPr>
          <w:b w:val="1"/>
          <w:highlight w:val="white"/>
          <w:rtl w:val="0"/>
        </w:rPr>
        <w:t xml:space="preserve">.</w:t>
      </w:r>
    </w:p>
    <w:p w:rsidR="00000000" w:rsidDel="00000000" w:rsidP="00000000" w:rsidRDefault="00000000" w:rsidRPr="00000000" w14:paraId="0000000F">
      <w:pPr>
        <w:numPr>
          <w:ilvl w:val="0"/>
          <w:numId w:val="2"/>
        </w:numPr>
        <w:pBdr>
          <w:top w:color="dfdfdf" w:space="11" w:sz="6" w:val="dashed"/>
          <w:bottom w:color="auto" w:space="22" w:sz="0" w:val="none"/>
          <w:right w:color="auto" w:space="0" w:sz="0" w:val="none"/>
        </w:pBdr>
        <w:shd w:fill="ffffff" w:val="clear"/>
        <w:spacing w:after="0" w:afterAutospacing="0" w:line="276" w:lineRule="auto"/>
        <w:ind w:left="720" w:hanging="360"/>
        <w:rPr>
          <w:highlight w:val="white"/>
          <w:u w:val="none"/>
        </w:rPr>
      </w:pPr>
      <w:r w:rsidDel="00000000" w:rsidR="00000000" w:rsidRPr="00000000">
        <w:rPr>
          <w:highlight w:val="white"/>
          <w:rtl w:val="0"/>
        </w:rPr>
        <w:t xml:space="preserve">Atât masculii, cât și femelele se ocupa de incubarea oualor. Se depun 3 - 6 ouă care eclozează în aproximativ cinci săptămâni și ambii parinti hrănesc, curăță și antrenează păsările cand sunt mici</w:t>
      </w:r>
    </w:p>
    <w:p w:rsidR="00000000" w:rsidDel="00000000" w:rsidP="00000000" w:rsidRDefault="00000000" w:rsidRPr="00000000" w14:paraId="00000010">
      <w:pPr>
        <w:numPr>
          <w:ilvl w:val="0"/>
          <w:numId w:val="2"/>
        </w:numPr>
        <w:pBdr>
          <w:top w:color="dfdfdf" w:space="11" w:sz="6" w:val="dashed"/>
          <w:bottom w:color="auto" w:space="22" w:sz="0" w:val="none"/>
          <w:right w:color="auto" w:space="0" w:sz="0" w:val="none"/>
        </w:pBdr>
        <w:shd w:fill="ffffff" w:val="clear"/>
        <w:spacing w:after="0" w:afterAutospacing="0" w:line="276" w:lineRule="auto"/>
        <w:ind w:left="720" w:hanging="360"/>
        <w:rPr>
          <w:highlight w:val="white"/>
          <w:u w:val="none"/>
        </w:rPr>
      </w:pPr>
      <w:r w:rsidDel="00000000" w:rsidR="00000000" w:rsidRPr="00000000">
        <w:rPr>
          <w:highlight w:val="white"/>
          <w:rtl w:val="0"/>
        </w:rPr>
        <w:t xml:space="preserve">Pot zbura cu o viteza maxima de 110km/h.</w:t>
      </w:r>
    </w:p>
    <w:p w:rsidR="00000000" w:rsidDel="00000000" w:rsidP="00000000" w:rsidRDefault="00000000" w:rsidRPr="00000000" w14:paraId="00000011">
      <w:pPr>
        <w:numPr>
          <w:ilvl w:val="0"/>
          <w:numId w:val="2"/>
        </w:numPr>
        <w:pBdr>
          <w:top w:color="dfdfdf" w:space="37" w:sz="6" w:val="dashed"/>
          <w:bottom w:color="auto" w:space="37" w:sz="0" w:val="none"/>
          <w:right w:color="auto" w:space="112" w:sz="0" w:val="none"/>
          <w:between w:color="auto" w:space="37" w:sz="0" w:val="none"/>
        </w:pBdr>
        <w:shd w:fill="ffffff" w:val="clear"/>
        <w:spacing w:after="0" w:afterAutospacing="0" w:line="276" w:lineRule="auto"/>
        <w:ind w:left="720" w:hanging="360"/>
        <w:rPr>
          <w:highlight w:val="white"/>
          <w:u w:val="none"/>
        </w:rPr>
      </w:pPr>
      <w:r w:rsidDel="00000000" w:rsidR="00000000" w:rsidRPr="00000000">
        <w:rPr>
          <w:highlight w:val="white"/>
          <w:rtl w:val="0"/>
        </w:rPr>
        <w:t xml:space="preserve">Unele cuiburi de berze au fost inregistrate cu dimensiuni de până la peste doi metri în diametru și aproximativ trei metri în adâncime.</w:t>
      </w:r>
    </w:p>
    <w:p w:rsidR="00000000" w:rsidDel="00000000" w:rsidP="00000000" w:rsidRDefault="00000000" w:rsidRPr="00000000" w14:paraId="00000012">
      <w:pPr>
        <w:numPr>
          <w:ilvl w:val="0"/>
          <w:numId w:val="2"/>
        </w:numPr>
        <w:pBdr>
          <w:top w:color="dfdfdf" w:space="37" w:sz="6" w:val="dashed"/>
          <w:bottom w:color="auto" w:space="37" w:sz="0" w:val="none"/>
          <w:right w:color="auto" w:space="112" w:sz="0" w:val="none"/>
          <w:between w:color="auto" w:space="37" w:sz="0" w:val="none"/>
        </w:pBdr>
        <w:shd w:fill="ffffff" w:val="clear"/>
        <w:spacing w:after="460" w:line="276" w:lineRule="auto"/>
        <w:ind w:left="720" w:hanging="360"/>
        <w:rPr>
          <w:highlight w:val="white"/>
          <w:u w:val="none"/>
        </w:rPr>
      </w:pPr>
      <w:r w:rsidDel="00000000" w:rsidR="00000000" w:rsidRPr="00000000">
        <w:rPr>
          <w:highlight w:val="white"/>
          <w:rtl w:val="0"/>
        </w:rPr>
        <w:t xml:space="preserve">Mitologia greacă și romană prezintă berzele ca modele de devotament parental și se credea că nu mureau de bătrânețe, ci zburau spre anumite insule luand aspectul oamenilor.</w:t>
      </w:r>
    </w:p>
    <w:p w:rsidR="00000000" w:rsidDel="00000000" w:rsidP="00000000" w:rsidRDefault="00000000" w:rsidRPr="00000000" w14:paraId="00000013">
      <w:pPr>
        <w:rPr>
          <w:rFonts w:ascii="Merriweather" w:cs="Merriweather" w:eastAsia="Merriweather" w:hAnsi="Merriweather"/>
          <w:b w:val="1"/>
          <w:color w:val="ff0000"/>
          <w:sz w:val="28"/>
          <w:szCs w:val="28"/>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