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2F5597"/>
          <w:sz w:val="36"/>
          <w:szCs w:val="36"/>
        </w:rPr>
        <w:t xml:space="preserve">课题组成果数据分析</w:t>
      </w:r>
    </w:p>
    <w:p>
      <w:pPr>
        <w:spacing w:after="22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基于 2021—2025 年成果统计（虚构测试数据）</w:t>
      </w:r>
    </w:p>
    <w:p>
      <w:pPr>
        <w:pStyle w:val="Heading2"/>
        <w:spacing w:after="110" w:before="24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一、数据概况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本文基于「课题组 2021—2025 年成果统计」对课题组近五年的发展情况进行分析，统计涵盖发表论文、授权专利、获奖、科研经费与毕业研究生五项指标。五年间各项指标均保持逐年增长：发表论文由 8 篇增至 22 篇，授权专利由 2 项增至 6 项，获奖由 1 项增至 4 项，科研经费由 120 万元增至 380 万元，年毕业研究生由 3 人增至 9 人，整体呈现稳定而全面的上升态势。</w:t>
      </w:r>
    </w:p>
    <w:p>
      <w:pPr>
        <w:pStyle w:val="Heading2"/>
        <w:spacing w:after="110" w:before="24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二、分项分析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【论文产出】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发表论文是衡量科研活跃度的核心指标。2021—2025 年论文数量依次为 8、12、15、18、22 篇，五年累计 75 篇，年均增长约 29%。其中 2021→2022、2024→2025 两个区间增幅最大，均为 +4 篇，表明课题组科研产出持续加速。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【专利授权】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授权专利由 2021 年的 2 项稳步增长至 2025 年的 6 项，五年累计 20 项。专利数量的持续增加，反映课题组在成果转化与技术应用方面的能力不断增强。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【获奖情况】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获奖数量由 1 项增至 4 项，五年累计 12 项。奖项逐年增多，体现出课题组的学术影响力与外部认可度稳步提升。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【科研经费】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科研经费由 120 万元增长至 380 万元，五年累计 1220 万元，年均增长约 33%，增速在各项指标中最快。充足且持续增长的经费，为研究规模的扩大提供了保障。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【人才培养】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年毕业研究生人数由 3 人增至 9 人，五年累计培养 30 人。培养规模的扩大，说明团队体量与人才培养能力同步增强。</w:t>
      </w:r>
    </w:p>
    <w:p>
      <w:pPr>
        <w:pStyle w:val="Heading2"/>
        <w:spacing w:after="110" w:before="24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三、综合结论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综合来看，课题组在论文、专利、获奖、经费与人才五个维度上实现了同步增长，发展态势良好。投入端（科研经费、研究生规模）与产出端（论文、专利、获奖）之间呈现明显的正相关：经费与人员的增加为成果产出提供了支撑，而成果的积累又有助于争取更多资源，形成良性循环。若保持当前增长趋势，课题组在未来仍具备较强的发展潜力。</w:t>
      </w:r>
    </w:p>
    <w:p>
      <w:pPr>
        <w:pBdr>
          <w:top w:val="single" w:color="CCCCCC" w:sz="4" w:space="8"/>
        </w:pBdr>
        <w:spacing w:before="26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说明：本文所用数据均为虚构测试数据，用途为网站「数据分析」页面的内容展示与部署测试，不代表任何真实单位或个人的实际情况。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2026-08-20T07:14:13.236Z</dcterms:created>
  <dcterms:modified xsi:type="dcterms:W3CDTF">2026-08-20T07:14:13.239Z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