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CivicLynx Portal - Getting Started for New Customers</w:t>
      </w:r>
    </w:p>
    <w:p>
      <w:pPr>
        <w:jc w:val="center"/>
      </w:pPr>
      <w:r>
        <w:rPr>
          <w:b/>
          <w:sz w:val="22"/>
        </w:rPr>
        <w:t>BlueRiver Legal Platforms - Customer Support Guide</w:t>
      </w:r>
    </w:p>
    <w:p>
      <w:r>
        <w:t>Synthetic training document for local RAG and MCP testing only. All company names, product names, procedures, URLs, identifiers, and examples are fictional.</w:t>
      </w:r>
    </w:p>
    <w:tbl>
      <w:tblPr>
        <w:tblStyle w:val="TableGrid"/>
        <w:tblW w:type="auto" w:w="0"/>
        <w:jc w:val="center"/>
        <w:tblLook w:firstColumn="1" w:firstRow="1" w:lastColumn="0" w:lastRow="0" w:noHBand="0" w:noVBand="1" w:val="04A0"/>
      </w:tblPr>
      <w:tblGrid>
        <w:gridCol w:w="5083"/>
        <w:gridCol w:w="5083"/>
      </w:tblGrid>
      <w:tr>
        <w:tc>
          <w:tcPr>
            <w:tcW w:type="dxa" w:w="2592"/>
            <w:shd w:fill="D9EAF7"/>
            <w:vAlign w:val="top"/>
          </w:tcPr>
          <w:p>
            <w:pPr>
              <w:spacing w:after="40"/>
            </w:pPr>
            <w:r/>
            <w:r>
              <w:rPr>
                <w:b/>
              </w:rPr>
              <w:t>Document ID</w:t>
            </w:r>
          </w:p>
        </w:tc>
        <w:tc>
          <w:tcPr>
            <w:tcW w:type="dxa" w:w="7056"/>
            <w:vAlign w:val="top"/>
          </w:tcPr>
          <w:p>
            <w:pPr>
              <w:spacing w:after="40"/>
            </w:pPr>
            <w:r/>
            <w:r>
              <w:rPr>
                <w:b w:val="0"/>
              </w:rPr>
              <w:t>BR-SUP-001</w:t>
            </w:r>
          </w:p>
        </w:tc>
      </w:tr>
      <w:tr>
        <w:tc>
          <w:tcPr>
            <w:tcW w:type="dxa" w:w="2592"/>
            <w:shd w:fill="D9EAF7"/>
            <w:vAlign w:val="top"/>
          </w:tcPr>
          <w:p>
            <w:pPr>
              <w:spacing w:after="40"/>
            </w:pPr>
            <w:r/>
            <w:r>
              <w:rPr>
                <w:b/>
              </w:rPr>
              <w:t>Product Area</w:t>
            </w:r>
          </w:p>
        </w:tc>
        <w:tc>
          <w:tcPr>
            <w:tcW w:type="dxa" w:w="7056"/>
            <w:vAlign w:val="top"/>
          </w:tcPr>
          <w:p>
            <w:pPr>
              <w:spacing w:after="40"/>
            </w:pPr>
            <w:r/>
            <w:r>
              <w:rPr>
                <w:b w:val="0"/>
              </w:rPr>
              <w:t>CivicLynx Portal</w:t>
            </w:r>
          </w:p>
        </w:tc>
      </w:tr>
      <w:tr>
        <w:tc>
          <w:tcPr>
            <w:tcW w:type="dxa" w:w="2592"/>
            <w:shd w:fill="D9EAF7"/>
            <w:vAlign w:val="top"/>
          </w:tcPr>
          <w:p>
            <w:pPr>
              <w:spacing w:after="40"/>
            </w:pPr>
            <w:r/>
            <w:r>
              <w:rPr>
                <w:b/>
              </w:rPr>
              <w:t>Audience</w:t>
            </w:r>
          </w:p>
        </w:tc>
        <w:tc>
          <w:tcPr>
            <w:tcW w:type="dxa" w:w="7056"/>
            <w:vAlign w:val="top"/>
          </w:tcPr>
          <w:p>
            <w:pPr>
              <w:spacing w:after="40"/>
            </w:pPr>
            <w:r/>
            <w:r>
              <w:rPr>
                <w:b w:val="0"/>
              </w:rPr>
              <w:t>Customer support analysts, onboarding staff, and organisation administrators</w:t>
            </w:r>
          </w:p>
        </w:tc>
      </w:tr>
      <w:tr>
        <w:tc>
          <w:tcPr>
            <w:tcW w:type="dxa" w:w="2592"/>
            <w:shd w:fill="D9EAF7"/>
            <w:vAlign w:val="top"/>
          </w:tcPr>
          <w:p>
            <w:pPr>
              <w:spacing w:after="40"/>
            </w:pPr>
            <w:r/>
            <w:r>
              <w:rPr>
                <w:b/>
              </w:rPr>
              <w:t>Last Updated</w:t>
            </w:r>
          </w:p>
        </w:tc>
        <w:tc>
          <w:tcPr>
            <w:tcW w:type="dxa" w:w="7056"/>
            <w:vAlign w:val="top"/>
          </w:tcPr>
          <w:p>
            <w:pPr>
              <w:spacing w:after="40"/>
            </w:pPr>
            <w:r/>
            <w:r>
              <w:rPr>
                <w:b w:val="0"/>
              </w:rPr>
              <w:t>15 May 2026</w:t>
            </w:r>
          </w:p>
        </w:tc>
      </w:tr>
      <w:tr>
        <w:tc>
          <w:tcPr>
            <w:tcW w:type="dxa" w:w="2592"/>
            <w:shd w:fill="D9EAF7"/>
            <w:vAlign w:val="top"/>
          </w:tcPr>
          <w:p>
            <w:pPr>
              <w:spacing w:after="40"/>
            </w:pPr>
            <w:r/>
            <w:r>
              <w:rPr>
                <w:b/>
              </w:rPr>
              <w:t>RAG Tags</w:t>
            </w:r>
          </w:p>
        </w:tc>
        <w:tc>
          <w:tcPr>
            <w:tcW w:type="dxa" w:w="7056"/>
            <w:vAlign w:val="top"/>
          </w:tcPr>
          <w:p>
            <w:pPr>
              <w:spacing w:after="40"/>
            </w:pPr>
            <w:r/>
            <w:r>
              <w:rPr>
                <w:b w:val="0"/>
              </w:rPr>
              <w:t>getting started, portal access, customer onboarding, subscriptions</w:t>
            </w:r>
          </w:p>
        </w:tc>
      </w:tr>
    </w:tbl>
    <w:p/>
    <w:p>
      <w:pPr>
        <w:pStyle w:val="Heading1"/>
      </w:pPr>
      <w:r>
        <w:t>Purpose</w:t>
      </w:r>
    </w:p>
    <w:p>
      <w:r>
        <w:t>This guide explains the first-login experience for customers using the CivicLynx Portal. The portal provides search, browsing, saved folders, and subscription-based access to legal content collections.</w:t>
      </w:r>
    </w:p>
    <w:p>
      <w:pPr>
        <w:pStyle w:val="ListBullet"/>
      </w:pPr>
      <w:r>
        <w:t>Confirm that the customer organisation has an active subscription profile in AccessForge.</w:t>
      </w:r>
    </w:p>
    <w:p>
      <w:pPr>
        <w:pStyle w:val="ListBullet"/>
      </w:pPr>
      <w:r>
        <w:t>Confirm that at least one organisation administrator has been created.</w:t>
      </w:r>
    </w:p>
    <w:p>
      <w:pPr>
        <w:pStyle w:val="ListBullet"/>
      </w:pPr>
      <w:r>
        <w:t>Check that the customer has received the welcome email and temporary password link.</w:t>
      </w:r>
    </w:p>
    <w:p>
      <w:pPr>
        <w:pStyle w:val="Heading1"/>
      </w:pPr>
      <w:r>
        <w:t>First-login checklist</w:t>
      </w:r>
    </w:p>
    <w:p>
      <w:r>
        <w:t>Use this checklist during a first-login call with a new customer administrator.</w:t>
      </w:r>
    </w:p>
    <w:p>
      <w:pPr>
        <w:ind w:left="360" w:hanging="259"/>
      </w:pPr>
      <w:r>
        <w:t>1.  Ask the customer to open the CivicLynx Portal sign-in page.</w:t>
      </w:r>
    </w:p>
    <w:p>
      <w:pPr>
        <w:ind w:left="360" w:hanging="259"/>
      </w:pPr>
      <w:r>
        <w:t>2.  Ask them to enter the email address registered in AccessForge.</w:t>
      </w:r>
    </w:p>
    <w:p>
      <w:pPr>
        <w:ind w:left="360" w:hanging="259"/>
      </w:pPr>
      <w:r>
        <w:t>3.  Guide them through temporary password reset if the welcome link has expired.</w:t>
      </w:r>
    </w:p>
    <w:p>
      <w:pPr>
        <w:ind w:left="360" w:hanging="259"/>
      </w:pPr>
      <w:r>
        <w:t>4.  Ask them to accept the organisation usage terms.</w:t>
      </w:r>
    </w:p>
    <w:p>
      <w:pPr>
        <w:ind w:left="360" w:hanging="259"/>
      </w:pPr>
      <w:r>
        <w:t>5.  Ask them to test a search for a known title such as Planning Code Companion.</w:t>
      </w:r>
    </w:p>
    <w:p>
      <w:pPr>
        <w:ind w:left="360" w:hanging="259"/>
      </w:pPr>
      <w:r>
        <w:t>6.  Confirm that the customer can open at least one subscribed document.</w:t>
      </w:r>
    </w:p>
    <w:p>
      <w:pPr>
        <w:pStyle w:val="Heading1"/>
      </w:pPr>
      <w:r>
        <w:t>Subscription visibility</w:t>
      </w:r>
    </w:p>
    <w:p>
      <w:r>
        <w:t>If the customer can sign in but cannot see subscribed collections, check the subscription visibility flags.</w:t>
      </w:r>
    </w:p>
    <w:tbl>
      <w:tblPr>
        <w:tblStyle w:val="TableGrid"/>
        <w:tblW w:type="auto" w:w="0"/>
        <w:tblLook w:firstColumn="1" w:firstRow="1" w:lastColumn="0" w:lastRow="0" w:noHBand="0" w:noVBand="1" w:val="04A0"/>
      </w:tblPr>
      <w:tblGrid>
        <w:gridCol w:w="3389"/>
        <w:gridCol w:w="3389"/>
        <w:gridCol w:w="3389"/>
      </w:tblGrid>
      <w:tr>
        <w:tc>
          <w:tcPr>
            <w:tcW w:type="dxa" w:w="3389"/>
            <w:shd w:fill="E2F0D9"/>
          </w:tcPr>
          <w:p>
            <w:pPr>
              <w:spacing w:after="40"/>
            </w:pPr>
            <w:r/>
            <w:r>
              <w:rPr>
                <w:b/>
              </w:rPr>
              <w:t>Symptom</w:t>
            </w:r>
          </w:p>
        </w:tc>
        <w:tc>
          <w:tcPr>
            <w:tcW w:type="dxa" w:w="3389"/>
            <w:shd w:fill="E2F0D9"/>
          </w:tcPr>
          <w:p>
            <w:pPr>
              <w:spacing w:after="40"/>
            </w:pPr>
            <w:r/>
            <w:r>
              <w:rPr>
                <w:b/>
              </w:rPr>
              <w:t>Likely cause</w:t>
            </w:r>
          </w:p>
        </w:tc>
        <w:tc>
          <w:tcPr>
            <w:tcW w:type="dxa" w:w="3389"/>
            <w:shd w:fill="E2F0D9"/>
          </w:tcPr>
          <w:p>
            <w:pPr>
              <w:spacing w:after="40"/>
            </w:pPr>
            <w:r/>
            <w:r>
              <w:rPr>
                <w:b/>
              </w:rPr>
              <w:t>Support action</w:t>
            </w:r>
          </w:p>
        </w:tc>
      </w:tr>
      <w:tr>
        <w:tc>
          <w:tcPr>
            <w:tcW w:type="dxa" w:w="3389"/>
          </w:tcPr>
          <w:p>
            <w:pPr>
              <w:spacing w:after="40"/>
            </w:pPr>
            <w:r/>
            <w:r>
              <w:rPr>
                <w:b w:val="0"/>
              </w:rPr>
              <w:t>Can sign in but search results are empty</w:t>
            </w:r>
          </w:p>
        </w:tc>
        <w:tc>
          <w:tcPr>
            <w:tcW w:type="dxa" w:w="3389"/>
          </w:tcPr>
          <w:p>
            <w:pPr>
              <w:spacing w:after="40"/>
            </w:pPr>
            <w:r/>
            <w:r>
              <w:rPr>
                <w:b w:val="0"/>
              </w:rPr>
              <w:t>No active collection assigned</w:t>
            </w:r>
          </w:p>
        </w:tc>
        <w:tc>
          <w:tcPr>
            <w:tcW w:type="dxa" w:w="3389"/>
          </w:tcPr>
          <w:p>
            <w:pPr>
              <w:spacing w:after="40"/>
            </w:pPr>
            <w:r/>
            <w:r>
              <w:rPr>
                <w:b w:val="0"/>
              </w:rPr>
              <w:t>Check AccessForge subscription tab</w:t>
            </w:r>
          </w:p>
        </w:tc>
      </w:tr>
      <w:tr>
        <w:tc>
          <w:tcPr>
            <w:tcW w:type="dxa" w:w="3389"/>
          </w:tcPr>
          <w:p>
            <w:pPr>
              <w:spacing w:after="40"/>
            </w:pPr>
            <w:r/>
            <w:r>
              <w:rPr>
                <w:b w:val="0"/>
              </w:rPr>
              <w:t>Can see title but cannot open document</w:t>
            </w:r>
          </w:p>
        </w:tc>
        <w:tc>
          <w:tcPr>
            <w:tcW w:type="dxa" w:w="3389"/>
          </w:tcPr>
          <w:p>
            <w:pPr>
              <w:spacing w:after="40"/>
            </w:pPr>
            <w:r/>
            <w:r>
              <w:rPr>
                <w:b w:val="0"/>
              </w:rPr>
              <w:t>Seat type mismatch or expired entitlement</w:t>
            </w:r>
          </w:p>
        </w:tc>
        <w:tc>
          <w:tcPr>
            <w:tcW w:type="dxa" w:w="3389"/>
          </w:tcPr>
          <w:p>
            <w:pPr>
              <w:spacing w:after="40"/>
            </w:pPr>
            <w:r/>
            <w:r>
              <w:rPr>
                <w:b w:val="0"/>
              </w:rPr>
              <w:t>Refresh entitlement cache</w:t>
            </w:r>
          </w:p>
        </w:tc>
      </w:tr>
      <w:tr>
        <w:tc>
          <w:tcPr>
            <w:tcW w:type="dxa" w:w="3389"/>
          </w:tcPr>
          <w:p>
            <w:pPr>
              <w:spacing w:after="40"/>
            </w:pPr>
            <w:r/>
            <w:r>
              <w:rPr>
                <w:b w:val="0"/>
              </w:rPr>
              <w:t>Customer sees test content only</w:t>
            </w:r>
          </w:p>
        </w:tc>
        <w:tc>
          <w:tcPr>
            <w:tcW w:type="dxa" w:w="3389"/>
          </w:tcPr>
          <w:p>
            <w:pPr>
              <w:spacing w:after="40"/>
            </w:pPr>
            <w:r/>
            <w:r>
              <w:rPr>
                <w:b w:val="0"/>
              </w:rPr>
              <w:t>Training profile was selected</w:t>
            </w:r>
          </w:p>
        </w:tc>
        <w:tc>
          <w:tcPr>
            <w:tcW w:type="dxa" w:w="3389"/>
          </w:tcPr>
          <w:p>
            <w:pPr>
              <w:spacing w:after="40"/>
            </w:pPr>
            <w:r/>
            <w:r>
              <w:rPr>
                <w:b w:val="0"/>
              </w:rPr>
              <w:t>Move user to production profile</w:t>
            </w:r>
          </w:p>
        </w:tc>
      </w:tr>
    </w:tbl>
    <w:p/>
    <w:p>
      <w:r>
        <w:rPr>
          <w:b/>
        </w:rPr>
        <w:t xml:space="preserve">Support note: </w:t>
      </w:r>
      <w:r>
        <w:t>Entitlement cache refresh can take up to 10 minutes in the training environment.</w:t>
      </w:r>
    </w:p>
    <w:p>
      <w:pPr>
        <w:pStyle w:val="Heading1"/>
      </w:pPr>
      <w:r>
        <w:t>Handover notes for RAG testing</w:t>
      </w:r>
    </w:p>
    <w:p>
      <w:r>
        <w:t>For a local RAG test, this document should be retrieved for questions about first login, customer subscription visibility, and onboarding access checks.</w:t>
      </w:r>
    </w:p>
    <w:p>
      <w:pPr>
        <w:pStyle w:val="Heading1"/>
      </w:pPr>
      <w:r>
        <w:t>Example support questions this document can answer</w:t>
      </w:r>
    </w:p>
    <w:p>
      <w:pPr>
        <w:pStyle w:val="ListBullet"/>
      </w:pPr>
      <w:r>
        <w:t>How does a new customer administrator sign in for the first time?</w:t>
      </w:r>
    </w:p>
    <w:p>
      <w:pPr>
        <w:pStyle w:val="ListBullet"/>
      </w:pPr>
      <w:r>
        <w:t>Why can a customer sign in but not see subscribed collections?</w:t>
      </w:r>
    </w:p>
    <w:p>
      <w:pPr>
        <w:pStyle w:val="ListBullet"/>
      </w:pPr>
      <w:r>
        <w:t>What checks should support perform during first login?</w:t>
      </w:r>
    </w:p>
    <w:p>
      <w:pPr>
        <w:pStyle w:val="Heading1"/>
      </w:pPr>
      <w:r>
        <w:t>Internal handling rule</w:t>
      </w:r>
    </w:p>
    <w:p>
      <w:r>
        <w:t>When an answer is generated from this document, include the document ID, product area, and the section heading used. If the request involves customer entitlement changes, do not perform the change unless the requester is an authorised organisation administrator.</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Fictional training content for MCP/RAG testing. Do not use for real customer operations.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BlueRiver Legal Platforms | Customer Support Knowledge Base | BR-SUP-001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CivicLynx Portal - Getting Started for New Customers</dc:title>
  <dc:subject>CivicLynx Portal</dc:subject>
  <dc:creator>BlueRiver Training Generator</dc:creator>
  <cp:keywords>getting started, portal access, customer onboarding, subscriptions</cp:keywords>
  <dc:description>Fictional training content for local RAG and MCP testing.</dc:description>
  <cp:lastModifiedBy>BlueRiver Training Generator</cp:lastModifiedBy>
  <cp:revision>1</cp:revision>
  <dcterms:created xsi:type="dcterms:W3CDTF">2013-12-23T23:15:00Z</dcterms:created>
  <dcterms:modified xsi:type="dcterms:W3CDTF">2013-12-23T23:15:00Z</dcterms:modified>
  <cp:category>Synthetic customer support documents</cp:category>
</cp:coreProperties>
</file>