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AccessForge - Customer Profile Creation Procedure</w:t>
      </w:r>
    </w:p>
    <w:p>
      <w:pPr>
        <w:jc w:val="center"/>
      </w:pPr>
      <w:r>
        <w:rPr>
          <w:b/>
          <w:sz w:val="22"/>
        </w:rPr>
        <w:t>BlueRiver Legal Platforms - Customer Support Guide</w:t>
      </w:r>
    </w:p>
    <w:p>
      <w:r>
        <w:t>Synthetic training document for local RAG and MCP testing only. All company names, product names, procedures, URLs, identifiers, and examples are fictional.</w:t>
      </w:r>
    </w:p>
    <w:tbl>
      <w:tblPr>
        <w:tblStyle w:val="TableGrid"/>
        <w:tblW w:type="auto" w:w="0"/>
        <w:jc w:val="center"/>
        <w:tblLook w:firstColumn="1" w:firstRow="1" w:lastColumn="0" w:lastRow="0" w:noHBand="0" w:noVBand="1" w:val="04A0"/>
      </w:tblPr>
      <w:tblGrid>
        <w:gridCol w:w="5083"/>
        <w:gridCol w:w="5083"/>
      </w:tblGrid>
      <w:tr>
        <w:tc>
          <w:tcPr>
            <w:tcW w:type="dxa" w:w="2592"/>
            <w:shd w:fill="D9EAF7"/>
            <w:vAlign w:val="top"/>
          </w:tcPr>
          <w:p>
            <w:pPr>
              <w:spacing w:after="40"/>
            </w:pPr>
            <w:r/>
            <w:r>
              <w:rPr>
                <w:b/>
              </w:rPr>
              <w:t>Document ID</w:t>
            </w:r>
          </w:p>
        </w:tc>
        <w:tc>
          <w:tcPr>
            <w:tcW w:type="dxa" w:w="7056"/>
            <w:vAlign w:val="top"/>
          </w:tcPr>
          <w:p>
            <w:pPr>
              <w:spacing w:after="40"/>
            </w:pPr>
            <w:r/>
            <w:r>
              <w:rPr>
                <w:b w:val="0"/>
              </w:rPr>
              <w:t>BR-SUP-002</w:t>
            </w:r>
          </w:p>
        </w:tc>
      </w:tr>
      <w:tr>
        <w:tc>
          <w:tcPr>
            <w:tcW w:type="dxa" w:w="2592"/>
            <w:shd w:fill="D9EAF7"/>
            <w:vAlign w:val="top"/>
          </w:tcPr>
          <w:p>
            <w:pPr>
              <w:spacing w:after="40"/>
            </w:pPr>
            <w:r/>
            <w:r>
              <w:rPr>
                <w:b/>
              </w:rPr>
              <w:t>Product Area</w:t>
            </w:r>
          </w:p>
        </w:tc>
        <w:tc>
          <w:tcPr>
            <w:tcW w:type="dxa" w:w="7056"/>
            <w:vAlign w:val="top"/>
          </w:tcPr>
          <w:p>
            <w:pPr>
              <w:spacing w:after="40"/>
            </w:pPr>
            <w:r/>
            <w:r>
              <w:rPr>
                <w:b w:val="0"/>
              </w:rPr>
              <w:t>AccessForge</w:t>
            </w:r>
          </w:p>
        </w:tc>
      </w:tr>
      <w:tr>
        <w:tc>
          <w:tcPr>
            <w:tcW w:type="dxa" w:w="2592"/>
            <w:shd w:fill="D9EAF7"/>
            <w:vAlign w:val="top"/>
          </w:tcPr>
          <w:p>
            <w:pPr>
              <w:spacing w:after="40"/>
            </w:pPr>
            <w:r/>
            <w:r>
              <w:rPr>
                <w:b/>
              </w:rPr>
              <w:t>Audience</w:t>
            </w:r>
          </w:p>
        </w:tc>
        <w:tc>
          <w:tcPr>
            <w:tcW w:type="dxa" w:w="7056"/>
            <w:vAlign w:val="top"/>
          </w:tcPr>
          <w:p>
            <w:pPr>
              <w:spacing w:after="40"/>
            </w:pPr>
            <w:r/>
            <w:r>
              <w:rPr>
                <w:b w:val="0"/>
              </w:rPr>
              <w:t>Support staff who create or maintain customer account records</w:t>
            </w:r>
          </w:p>
        </w:tc>
      </w:tr>
      <w:tr>
        <w:tc>
          <w:tcPr>
            <w:tcW w:type="dxa" w:w="2592"/>
            <w:shd w:fill="D9EAF7"/>
            <w:vAlign w:val="top"/>
          </w:tcPr>
          <w:p>
            <w:pPr>
              <w:spacing w:after="40"/>
            </w:pPr>
            <w:r/>
            <w:r>
              <w:rPr>
                <w:b/>
              </w:rPr>
              <w:t>Last Updated</w:t>
            </w:r>
          </w:p>
        </w:tc>
        <w:tc>
          <w:tcPr>
            <w:tcW w:type="dxa" w:w="7056"/>
            <w:vAlign w:val="top"/>
          </w:tcPr>
          <w:p>
            <w:pPr>
              <w:spacing w:after="40"/>
            </w:pPr>
            <w:r/>
            <w:r>
              <w:rPr>
                <w:b w:val="0"/>
              </w:rPr>
              <w:t>15 May 2026</w:t>
            </w:r>
          </w:p>
        </w:tc>
      </w:tr>
      <w:tr>
        <w:tc>
          <w:tcPr>
            <w:tcW w:type="dxa" w:w="2592"/>
            <w:shd w:fill="D9EAF7"/>
            <w:vAlign w:val="top"/>
          </w:tcPr>
          <w:p>
            <w:pPr>
              <w:spacing w:after="40"/>
            </w:pPr>
            <w:r/>
            <w:r>
              <w:rPr>
                <w:b/>
              </w:rPr>
              <w:t>RAG Tags</w:t>
            </w:r>
          </w:p>
        </w:tc>
        <w:tc>
          <w:tcPr>
            <w:tcW w:type="dxa" w:w="7056"/>
            <w:vAlign w:val="top"/>
          </w:tcPr>
          <w:p>
            <w:pPr>
              <w:spacing w:after="40"/>
            </w:pPr>
            <w:r/>
            <w:r>
              <w:rPr>
                <w:b w:val="0"/>
              </w:rPr>
              <w:t>profile creation, account system, organisation admin, customer setup</w:t>
            </w:r>
          </w:p>
        </w:tc>
      </w:tr>
    </w:tbl>
    <w:p/>
    <w:p>
      <w:pPr>
        <w:pStyle w:val="Heading1"/>
      </w:pPr>
      <w:r>
        <w:t>Overview</w:t>
      </w:r>
    </w:p>
    <w:p>
      <w:r>
        <w:t>AccessForge stores organisation records, customer administrators, access methods, subscription groups, and usage preferences. A customer profile must exist before any user can access CivicLynx Portal or EraView Research.</w:t>
      </w:r>
    </w:p>
    <w:p>
      <w:pPr>
        <w:pStyle w:val="ListBullet"/>
      </w:pPr>
      <w:r>
        <w:t>Create one organisation record per legal customer entity.</w:t>
      </w:r>
    </w:p>
    <w:p>
      <w:pPr>
        <w:pStyle w:val="ListBullet"/>
      </w:pPr>
      <w:r>
        <w:t>Create user records under the organisation, not as standalone users.</w:t>
      </w:r>
    </w:p>
    <w:p>
      <w:pPr>
        <w:pStyle w:val="ListBullet"/>
      </w:pPr>
      <w:r>
        <w:t>Assign a default access method before adding subscriptions.</w:t>
      </w:r>
    </w:p>
    <w:p>
      <w:pPr>
        <w:pStyle w:val="ListBullet"/>
      </w:pPr>
      <w:r>
        <w:t>Record the support ticket number in the profile notes field.</w:t>
      </w:r>
    </w:p>
    <w:p>
      <w:pPr>
        <w:pStyle w:val="Heading1"/>
      </w:pPr>
      <w:r>
        <w:t>Required fields</w:t>
      </w:r>
    </w:p>
    <w:p>
      <w:r>
        <w:t>The following fields are mandatory for a production customer profile.</w:t>
      </w:r>
    </w:p>
    <w:tbl>
      <w:tblPr>
        <w:tblStyle w:val="TableGrid"/>
        <w:tblW w:type="auto" w:w="0"/>
        <w:tblLook w:firstColumn="1" w:firstRow="1" w:lastColumn="0" w:lastRow="0" w:noHBand="0" w:noVBand="1" w:val="04A0"/>
      </w:tblPr>
      <w:tblGrid>
        <w:gridCol w:w="3389"/>
        <w:gridCol w:w="3389"/>
        <w:gridCol w:w="3389"/>
      </w:tblGrid>
      <w:tr>
        <w:tc>
          <w:tcPr>
            <w:tcW w:type="dxa" w:w="3389"/>
            <w:shd w:fill="E2F0D9"/>
          </w:tcPr>
          <w:p>
            <w:pPr>
              <w:spacing w:after="40"/>
            </w:pPr>
            <w:r/>
            <w:r>
              <w:rPr>
                <w:b/>
              </w:rPr>
              <w:t>Field</w:t>
            </w:r>
          </w:p>
        </w:tc>
        <w:tc>
          <w:tcPr>
            <w:tcW w:type="dxa" w:w="3389"/>
            <w:shd w:fill="E2F0D9"/>
          </w:tcPr>
          <w:p>
            <w:pPr>
              <w:spacing w:after="40"/>
            </w:pPr>
            <w:r/>
            <w:r>
              <w:rPr>
                <w:b/>
              </w:rPr>
              <w:t>Example value</w:t>
            </w:r>
          </w:p>
        </w:tc>
        <w:tc>
          <w:tcPr>
            <w:tcW w:type="dxa" w:w="3389"/>
            <w:shd w:fill="E2F0D9"/>
          </w:tcPr>
          <w:p>
            <w:pPr>
              <w:spacing w:after="40"/>
            </w:pPr>
            <w:r/>
            <w:r>
              <w:rPr>
                <w:b/>
              </w:rPr>
              <w:t>Rule</w:t>
            </w:r>
          </w:p>
        </w:tc>
      </w:tr>
      <w:tr>
        <w:tc>
          <w:tcPr>
            <w:tcW w:type="dxa" w:w="3389"/>
          </w:tcPr>
          <w:p>
            <w:pPr>
              <w:spacing w:after="40"/>
            </w:pPr>
            <w:r/>
            <w:r>
              <w:rPr>
                <w:b w:val="0"/>
              </w:rPr>
              <w:t>Organisation display name</w:t>
            </w:r>
          </w:p>
        </w:tc>
        <w:tc>
          <w:tcPr>
            <w:tcW w:type="dxa" w:w="3389"/>
          </w:tcPr>
          <w:p>
            <w:pPr>
              <w:spacing w:after="40"/>
            </w:pPr>
            <w:r/>
            <w:r>
              <w:rPr>
                <w:b w:val="0"/>
              </w:rPr>
              <w:t>Harbour City Libraries</w:t>
            </w:r>
          </w:p>
        </w:tc>
        <w:tc>
          <w:tcPr>
            <w:tcW w:type="dxa" w:w="3389"/>
          </w:tcPr>
          <w:p>
            <w:pPr>
              <w:spacing w:after="40"/>
            </w:pPr>
            <w:r/>
            <w:r>
              <w:rPr>
                <w:b w:val="0"/>
              </w:rPr>
              <w:t>Use customer-approved name</w:t>
            </w:r>
          </w:p>
        </w:tc>
      </w:tr>
      <w:tr>
        <w:tc>
          <w:tcPr>
            <w:tcW w:type="dxa" w:w="3389"/>
          </w:tcPr>
          <w:p>
            <w:pPr>
              <w:spacing w:after="40"/>
            </w:pPr>
            <w:r/>
            <w:r>
              <w:rPr>
                <w:b w:val="0"/>
              </w:rPr>
              <w:t>Customer reference</w:t>
            </w:r>
          </w:p>
        </w:tc>
        <w:tc>
          <w:tcPr>
            <w:tcW w:type="dxa" w:w="3389"/>
          </w:tcPr>
          <w:p>
            <w:pPr>
              <w:spacing w:after="40"/>
            </w:pPr>
            <w:r/>
            <w:r>
              <w:rPr>
                <w:b w:val="0"/>
              </w:rPr>
              <w:t>HCL-2048</w:t>
            </w:r>
          </w:p>
        </w:tc>
        <w:tc>
          <w:tcPr>
            <w:tcW w:type="dxa" w:w="3389"/>
          </w:tcPr>
          <w:p>
            <w:pPr>
              <w:spacing w:after="40"/>
            </w:pPr>
            <w:r/>
            <w:r>
              <w:rPr>
                <w:b w:val="0"/>
              </w:rPr>
              <w:t>Must be unique</w:t>
            </w:r>
          </w:p>
        </w:tc>
      </w:tr>
      <w:tr>
        <w:tc>
          <w:tcPr>
            <w:tcW w:type="dxa" w:w="3389"/>
          </w:tcPr>
          <w:p>
            <w:pPr>
              <w:spacing w:after="40"/>
            </w:pPr>
            <w:r/>
            <w:r>
              <w:rPr>
                <w:b w:val="0"/>
              </w:rPr>
              <w:t>Primary admin email</w:t>
            </w:r>
          </w:p>
        </w:tc>
        <w:tc>
          <w:tcPr>
            <w:tcW w:type="dxa" w:w="3389"/>
          </w:tcPr>
          <w:p>
            <w:pPr>
              <w:spacing w:after="40"/>
            </w:pPr>
            <w:r/>
            <w:r>
              <w:rPr>
                <w:b w:val="0"/>
              </w:rPr>
              <w:t>admin@example.invalid</w:t>
            </w:r>
          </w:p>
        </w:tc>
        <w:tc>
          <w:tcPr>
            <w:tcW w:type="dxa" w:w="3389"/>
          </w:tcPr>
          <w:p>
            <w:pPr>
              <w:spacing w:after="40"/>
            </w:pPr>
            <w:r/>
            <w:r>
              <w:rPr>
                <w:b w:val="0"/>
              </w:rPr>
              <w:t>Must match onboarding request</w:t>
            </w:r>
          </w:p>
        </w:tc>
      </w:tr>
      <w:tr>
        <w:tc>
          <w:tcPr>
            <w:tcW w:type="dxa" w:w="3389"/>
          </w:tcPr>
          <w:p>
            <w:pPr>
              <w:spacing w:after="40"/>
            </w:pPr>
            <w:r/>
            <w:r>
              <w:rPr>
                <w:b w:val="0"/>
              </w:rPr>
              <w:t>Access method</w:t>
            </w:r>
          </w:p>
        </w:tc>
        <w:tc>
          <w:tcPr>
            <w:tcW w:type="dxa" w:w="3389"/>
          </w:tcPr>
          <w:p>
            <w:pPr>
              <w:spacing w:after="40"/>
            </w:pPr>
            <w:r/>
            <w:r>
              <w:rPr>
                <w:b w:val="0"/>
              </w:rPr>
              <w:t>User login or approved IP list</w:t>
            </w:r>
          </w:p>
        </w:tc>
        <w:tc>
          <w:tcPr>
            <w:tcW w:type="dxa" w:w="3389"/>
          </w:tcPr>
          <w:p>
            <w:pPr>
              <w:spacing w:after="40"/>
            </w:pPr>
            <w:r/>
            <w:r>
              <w:rPr>
                <w:b w:val="0"/>
              </w:rPr>
              <w:t>Must be selected before activation</w:t>
            </w:r>
          </w:p>
        </w:tc>
      </w:tr>
      <w:tr>
        <w:tc>
          <w:tcPr>
            <w:tcW w:type="dxa" w:w="3389"/>
          </w:tcPr>
          <w:p>
            <w:pPr>
              <w:spacing w:after="40"/>
            </w:pPr>
            <w:r/>
            <w:r>
              <w:rPr>
                <w:b w:val="0"/>
              </w:rPr>
              <w:t>Subscription group</w:t>
            </w:r>
          </w:p>
        </w:tc>
        <w:tc>
          <w:tcPr>
            <w:tcW w:type="dxa" w:w="3389"/>
          </w:tcPr>
          <w:p>
            <w:pPr>
              <w:spacing w:after="40"/>
            </w:pPr>
            <w:r/>
            <w:r>
              <w:rPr>
                <w:b w:val="0"/>
              </w:rPr>
              <w:t>Research Essentials</w:t>
            </w:r>
          </w:p>
        </w:tc>
        <w:tc>
          <w:tcPr>
            <w:tcW w:type="dxa" w:w="3389"/>
          </w:tcPr>
          <w:p>
            <w:pPr>
              <w:spacing w:after="40"/>
            </w:pPr>
            <w:r/>
            <w:r>
              <w:rPr>
                <w:b w:val="0"/>
              </w:rPr>
              <w:t>At least one group required</w:t>
            </w:r>
          </w:p>
        </w:tc>
      </w:tr>
    </w:tbl>
    <w:p/>
    <w:p>
      <w:r>
        <w:rPr>
          <w:b/>
        </w:rPr>
        <w:t xml:space="preserve">Support note: </w:t>
      </w:r>
      <w:r>
        <w:t>Use example.invalid addresses in demonstrations; do not store personal test data in the training tenant.</w:t>
      </w:r>
    </w:p>
    <w:p>
      <w:pPr>
        <w:pStyle w:val="Heading1"/>
      </w:pPr>
      <w:r>
        <w:t>Customer profile creation steps</w:t>
      </w:r>
    </w:p>
    <w:p>
      <w:pPr>
        <w:ind w:left="360" w:hanging="259"/>
      </w:pPr>
      <w:r>
        <w:t>1.  Open AccessForge and choose Organisations.</w:t>
      </w:r>
    </w:p>
    <w:p>
      <w:pPr>
        <w:ind w:left="360" w:hanging="259"/>
      </w:pPr>
      <w:r>
        <w:t>2.  Select Create organisation.</w:t>
      </w:r>
    </w:p>
    <w:p>
      <w:pPr>
        <w:ind w:left="360" w:hanging="259"/>
      </w:pPr>
      <w:r>
        <w:t>3.  Enter the organisation display name and customer reference.</w:t>
      </w:r>
    </w:p>
    <w:p>
      <w:pPr>
        <w:ind w:left="360" w:hanging="259"/>
      </w:pPr>
      <w:r>
        <w:t>4.  Select the requested access method.</w:t>
      </w:r>
    </w:p>
    <w:p>
      <w:pPr>
        <w:ind w:left="360" w:hanging="259"/>
      </w:pPr>
      <w:r>
        <w:t>5.  Create the primary organisation administrator.</w:t>
      </w:r>
    </w:p>
    <w:p>
      <w:pPr>
        <w:ind w:left="360" w:hanging="259"/>
      </w:pPr>
      <w:r>
        <w:t>6.  Assign the subscription group and seat allocation.</w:t>
      </w:r>
    </w:p>
    <w:p>
      <w:pPr>
        <w:ind w:left="360" w:hanging="259"/>
      </w:pPr>
      <w:r>
        <w:t>7.  Save the record and run Validate profile.</w:t>
      </w:r>
    </w:p>
    <w:p>
      <w:pPr>
        <w:ind w:left="360" w:hanging="259"/>
      </w:pPr>
      <w:r>
        <w:t>8.  Send the activation summary to the support ticket.</w:t>
      </w:r>
    </w:p>
    <w:p>
      <w:pPr>
        <w:pStyle w:val="Heading1"/>
      </w:pPr>
      <w:r>
        <w:t>Validation failures</w:t>
      </w:r>
    </w:p>
    <w:p>
      <w:r>
        <w:t>The Validate profile action prevents common setup errors before activation.</w:t>
      </w:r>
    </w:p>
    <w:p>
      <w:pPr>
        <w:pStyle w:val="ListBullet"/>
      </w:pPr>
      <w:r>
        <w:t>Missing subscription group: add at least one active group.</w:t>
      </w:r>
    </w:p>
    <w:p>
      <w:pPr>
        <w:pStyle w:val="ListBullet"/>
      </w:pPr>
      <w:r>
        <w:t>Duplicate customer reference: check whether the organisation already exists.</w:t>
      </w:r>
    </w:p>
    <w:p>
      <w:pPr>
        <w:pStyle w:val="ListBullet"/>
      </w:pPr>
      <w:r>
        <w:t>Invalid administrator email: correct format before saving.</w:t>
      </w:r>
    </w:p>
    <w:p>
      <w:pPr>
        <w:pStyle w:val="ListBullet"/>
      </w:pPr>
      <w:r>
        <w:t>No access method selected: select user login or approved IP list.</w:t>
      </w:r>
    </w:p>
    <w:p>
      <w:pPr>
        <w:pStyle w:val="Heading1"/>
      </w:pPr>
      <w:r>
        <w:t>Example support questions this document can answer</w:t>
      </w:r>
    </w:p>
    <w:p>
      <w:pPr>
        <w:pStyle w:val="ListBullet"/>
      </w:pPr>
      <w:r>
        <w:t>What fields are required to create a customer profile?</w:t>
      </w:r>
    </w:p>
    <w:p>
      <w:pPr>
        <w:pStyle w:val="ListBullet"/>
      </w:pPr>
      <w:r>
        <w:t>What causes AccessForge validation to fail?</w:t>
      </w:r>
    </w:p>
    <w:p>
      <w:pPr>
        <w:pStyle w:val="ListBullet"/>
      </w:pPr>
      <w:r>
        <w:t>How do I create the primary organisation administrator?</w:t>
      </w:r>
    </w:p>
    <w:p>
      <w:pPr>
        <w:pStyle w:val="Heading1"/>
      </w:pPr>
      <w:r>
        <w:t>Internal handling rule</w:t>
      </w:r>
    </w:p>
    <w:p>
      <w:r>
        <w:t>When an answer is generated from this document, include the document ID, product area, and the section heading used. If the request involves customer entitlement changes, do not perform the change unless the requester is an authorised organisation administrator.</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Fictional training content for MCP/RAG testing. Do not use for real customer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BlueRiver Legal Platforms | Customer Support Knowledge Base | BR-SUP-002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AccessForge - Customer Profile Creation Procedure</dc:title>
  <dc:subject>AccessForge</dc:subject>
  <dc:creator>BlueRiver Training Generator</dc:creator>
  <cp:keywords>profile creation, account system, organisation admin, customer setup</cp:keywords>
  <dc:description>Fictional training content for local RAG and MCP testing.</dc:description>
  <cp:lastModifiedBy>BlueRiver Training Generator</cp:lastModifiedBy>
  <cp:revision>1</cp:revision>
  <dcterms:created xsi:type="dcterms:W3CDTF">2013-12-23T23:15:00Z</dcterms:created>
  <dcterms:modified xsi:type="dcterms:W3CDTF">2013-12-23T23:15:00Z</dcterms:modified>
  <cp:category>Synthetic customer support documents</cp:category>
</cp:coreProperties>
</file>