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EraView Research - Finding Content as at a Selected Date</w:t>
      </w:r>
    </w:p>
    <w:p>
      <w:pPr>
        <w:jc w:val="center"/>
      </w:pPr>
      <w:r>
        <w:rPr>
          <w:b/>
          <w:sz w:val="22"/>
        </w:rPr>
        <w:t>BlueRiver Legal Platforms - Customer Support Guide</w:t>
      </w:r>
    </w:p>
    <w:p>
      <w:r>
        <w:t>Synthetic training document for local RAG and MCP testing only. All company names, product names, procedures, URLs, identifiers, and examples are fictional.</w:t>
      </w:r>
    </w:p>
    <w:tbl>
      <w:tblPr>
        <w:tblStyle w:val="TableGrid"/>
        <w:tblW w:type="auto" w:w="0"/>
        <w:jc w:val="center"/>
        <w:tblLook w:firstColumn="1" w:firstRow="1" w:lastColumn="0" w:lastRow="0" w:noHBand="0" w:noVBand="1" w:val="04A0"/>
      </w:tblPr>
      <w:tblGrid>
        <w:gridCol w:w="5083"/>
        <w:gridCol w:w="5083"/>
      </w:tblGrid>
      <w:tr>
        <w:tc>
          <w:tcPr>
            <w:tcW w:type="dxa" w:w="2592"/>
            <w:shd w:fill="D9EAF7"/>
            <w:vAlign w:val="top"/>
          </w:tcPr>
          <w:p>
            <w:pPr>
              <w:spacing w:after="40"/>
            </w:pPr>
            <w:r/>
            <w:r>
              <w:rPr>
                <w:b/>
              </w:rPr>
              <w:t>Document ID</w:t>
            </w:r>
          </w:p>
        </w:tc>
        <w:tc>
          <w:tcPr>
            <w:tcW w:type="dxa" w:w="7056"/>
            <w:vAlign w:val="top"/>
          </w:tcPr>
          <w:p>
            <w:pPr>
              <w:spacing w:after="40"/>
            </w:pPr>
            <w:r/>
            <w:r>
              <w:rPr>
                <w:b w:val="0"/>
              </w:rPr>
              <w:t>BR-SUP-005</w:t>
            </w:r>
          </w:p>
        </w:tc>
      </w:tr>
      <w:tr>
        <w:tc>
          <w:tcPr>
            <w:tcW w:type="dxa" w:w="2592"/>
            <w:shd w:fill="D9EAF7"/>
            <w:vAlign w:val="top"/>
          </w:tcPr>
          <w:p>
            <w:pPr>
              <w:spacing w:after="40"/>
            </w:pPr>
            <w:r/>
            <w:r>
              <w:rPr>
                <w:b/>
              </w:rPr>
              <w:t>Product Area</w:t>
            </w:r>
          </w:p>
        </w:tc>
        <w:tc>
          <w:tcPr>
            <w:tcW w:type="dxa" w:w="7056"/>
            <w:vAlign w:val="top"/>
          </w:tcPr>
          <w:p>
            <w:pPr>
              <w:spacing w:after="40"/>
            </w:pPr>
            <w:r/>
            <w:r>
              <w:rPr>
                <w:b w:val="0"/>
              </w:rPr>
              <w:t>EraView Research</w:t>
            </w:r>
          </w:p>
        </w:tc>
      </w:tr>
      <w:tr>
        <w:tc>
          <w:tcPr>
            <w:tcW w:type="dxa" w:w="2592"/>
            <w:shd w:fill="D9EAF7"/>
            <w:vAlign w:val="top"/>
          </w:tcPr>
          <w:p>
            <w:pPr>
              <w:spacing w:after="40"/>
            </w:pPr>
            <w:r/>
            <w:r>
              <w:rPr>
                <w:b/>
              </w:rPr>
              <w:t>Audience</w:t>
            </w:r>
          </w:p>
        </w:tc>
        <w:tc>
          <w:tcPr>
            <w:tcW w:type="dxa" w:w="7056"/>
            <w:vAlign w:val="top"/>
          </w:tcPr>
          <w:p>
            <w:pPr>
              <w:spacing w:after="40"/>
            </w:pPr>
            <w:r/>
            <w:r>
              <w:rPr>
                <w:b w:val="0"/>
              </w:rPr>
              <w:t>Support staff helping customers research historical legal content</w:t>
            </w:r>
          </w:p>
        </w:tc>
      </w:tr>
      <w:tr>
        <w:tc>
          <w:tcPr>
            <w:tcW w:type="dxa" w:w="2592"/>
            <w:shd w:fill="D9EAF7"/>
            <w:vAlign w:val="top"/>
          </w:tcPr>
          <w:p>
            <w:pPr>
              <w:spacing w:after="40"/>
            </w:pPr>
            <w:r/>
            <w:r>
              <w:rPr>
                <w:b/>
              </w:rPr>
              <w:t>Last Updated</w:t>
            </w:r>
          </w:p>
        </w:tc>
        <w:tc>
          <w:tcPr>
            <w:tcW w:type="dxa" w:w="7056"/>
            <w:vAlign w:val="top"/>
          </w:tcPr>
          <w:p>
            <w:pPr>
              <w:spacing w:after="40"/>
            </w:pPr>
            <w:r/>
            <w:r>
              <w:rPr>
                <w:b w:val="0"/>
              </w:rPr>
              <w:t>15 May 2026</w:t>
            </w:r>
          </w:p>
        </w:tc>
      </w:tr>
      <w:tr>
        <w:tc>
          <w:tcPr>
            <w:tcW w:type="dxa" w:w="2592"/>
            <w:shd w:fill="D9EAF7"/>
            <w:vAlign w:val="top"/>
          </w:tcPr>
          <w:p>
            <w:pPr>
              <w:spacing w:after="40"/>
            </w:pPr>
            <w:r/>
            <w:r>
              <w:rPr>
                <w:b/>
              </w:rPr>
              <w:t>RAG Tags</w:t>
            </w:r>
          </w:p>
        </w:tc>
        <w:tc>
          <w:tcPr>
            <w:tcW w:type="dxa" w:w="7056"/>
            <w:vAlign w:val="top"/>
          </w:tcPr>
          <w:p>
            <w:pPr>
              <w:spacing w:after="40"/>
            </w:pPr>
            <w:r/>
            <w:r>
              <w:rPr>
                <w:b w:val="0"/>
              </w:rPr>
              <w:t>historical research, date based search, versions, commencement</w:t>
            </w:r>
          </w:p>
        </w:tc>
      </w:tr>
    </w:tbl>
    <w:p/>
    <w:p>
      <w:pPr>
        <w:pStyle w:val="Heading1"/>
      </w:pPr>
      <w:r>
        <w:t>Overview</w:t>
      </w:r>
    </w:p>
    <w:p>
      <w:r>
        <w:t>EraView Research helps customers view content as it appeared at a selected date. It is useful when a customer needs the version of a provision that applied during a past transaction, incident, or decision.</w:t>
      </w:r>
    </w:p>
    <w:p>
      <w:pPr>
        <w:pStyle w:val="ListBullet"/>
      </w:pPr>
      <w:r>
        <w:t>The As at date selector controls the version displayed.</w:t>
      </w:r>
    </w:p>
    <w:p>
      <w:pPr>
        <w:pStyle w:val="ListBullet"/>
      </w:pPr>
      <w:r>
        <w:t>The timeline panel shows known commencement and amendment events.</w:t>
      </w:r>
    </w:p>
    <w:p>
      <w:pPr>
        <w:pStyle w:val="ListBullet"/>
      </w:pPr>
      <w:r>
        <w:t>Search results can be filtered to versions active on a selected date.</w:t>
      </w:r>
    </w:p>
    <w:p>
      <w:pPr>
        <w:pStyle w:val="ListBullet"/>
      </w:pPr>
      <w:r>
        <w:t>Documents with uncertain commencement notes display a yellow review banner.</w:t>
      </w:r>
    </w:p>
    <w:p>
      <w:pPr>
        <w:pStyle w:val="Heading1"/>
      </w:pPr>
      <w:r>
        <w:t>Basic research workflow</w:t>
      </w:r>
    </w:p>
    <w:p>
      <w:pPr>
        <w:ind w:left="360" w:hanging="259"/>
      </w:pPr>
      <w:r>
        <w:t>1.  Open EraView Research from the product switcher.</w:t>
      </w:r>
    </w:p>
    <w:p>
      <w:pPr>
        <w:ind w:left="360" w:hanging="259"/>
      </w:pPr>
      <w:r>
        <w:t>2.  Enter the title or keywords in the search box.</w:t>
      </w:r>
    </w:p>
    <w:p>
      <w:pPr>
        <w:ind w:left="360" w:hanging="259"/>
      </w:pPr>
      <w:r>
        <w:t>3.  Select the As at date before opening the document.</w:t>
      </w:r>
    </w:p>
    <w:p>
      <w:pPr>
        <w:ind w:left="360" w:hanging="259"/>
      </w:pPr>
      <w:r>
        <w:t>4.  Open the document and check the date banner near the title.</w:t>
      </w:r>
    </w:p>
    <w:p>
      <w:pPr>
        <w:ind w:left="360" w:hanging="259"/>
      </w:pPr>
      <w:r>
        <w:t>5.  Use the timeline panel to review change events before and after the selected date.</w:t>
      </w:r>
    </w:p>
    <w:p>
      <w:pPr>
        <w:ind w:left="360" w:hanging="259"/>
      </w:pPr>
      <w:r>
        <w:t>6.  Export the version note if the customer needs an audit trail.</w:t>
      </w:r>
    </w:p>
    <w:p>
      <w:pPr>
        <w:pStyle w:val="Heading1"/>
      </w:pPr>
      <w:r>
        <w:t>Interpreting version banners</w:t>
      </w:r>
    </w:p>
    <w:p>
      <w:r>
        <w:t>Version banners help customers understand whether they are viewing current or historical content.</w:t>
      </w:r>
    </w:p>
    <w:tbl>
      <w:tblPr>
        <w:tblStyle w:val="TableGrid"/>
        <w:tblW w:type="auto" w:w="0"/>
        <w:tblLook w:firstColumn="1" w:firstRow="1" w:lastColumn="0" w:lastRow="0" w:noHBand="0" w:noVBand="1" w:val="04A0"/>
      </w:tblPr>
      <w:tblGrid>
        <w:gridCol w:w="3389"/>
        <w:gridCol w:w="3389"/>
        <w:gridCol w:w="3389"/>
      </w:tblGrid>
      <w:tr>
        <w:tc>
          <w:tcPr>
            <w:tcW w:type="dxa" w:w="3389"/>
            <w:shd w:fill="E2F0D9"/>
          </w:tcPr>
          <w:p>
            <w:pPr>
              <w:spacing w:after="40"/>
            </w:pPr>
            <w:r/>
            <w:r>
              <w:rPr>
                <w:b/>
              </w:rPr>
              <w:t>Banner</w:t>
            </w:r>
          </w:p>
        </w:tc>
        <w:tc>
          <w:tcPr>
            <w:tcW w:type="dxa" w:w="3389"/>
            <w:shd w:fill="E2F0D9"/>
          </w:tcPr>
          <w:p>
            <w:pPr>
              <w:spacing w:after="40"/>
            </w:pPr>
            <w:r/>
            <w:r>
              <w:rPr>
                <w:b/>
              </w:rPr>
              <w:t>Meaning</w:t>
            </w:r>
          </w:p>
        </w:tc>
        <w:tc>
          <w:tcPr>
            <w:tcW w:type="dxa" w:w="3389"/>
            <w:shd w:fill="E2F0D9"/>
          </w:tcPr>
          <w:p>
            <w:pPr>
              <w:spacing w:after="40"/>
            </w:pPr>
            <w:r/>
            <w:r>
              <w:rPr>
                <w:b/>
              </w:rPr>
              <w:t>Support explanation</w:t>
            </w:r>
          </w:p>
        </w:tc>
      </w:tr>
      <w:tr>
        <w:tc>
          <w:tcPr>
            <w:tcW w:type="dxa" w:w="3389"/>
          </w:tcPr>
          <w:p>
            <w:pPr>
              <w:spacing w:after="40"/>
            </w:pPr>
            <w:r/>
            <w:r>
              <w:rPr>
                <w:b w:val="0"/>
              </w:rPr>
              <w:t>Green current banner</w:t>
            </w:r>
          </w:p>
        </w:tc>
        <w:tc>
          <w:tcPr>
            <w:tcW w:type="dxa" w:w="3389"/>
          </w:tcPr>
          <w:p>
            <w:pPr>
              <w:spacing w:after="40"/>
            </w:pPr>
            <w:r/>
            <w:r>
              <w:rPr>
                <w:b w:val="0"/>
              </w:rPr>
              <w:t>The selected date matches the latest known version</w:t>
            </w:r>
          </w:p>
        </w:tc>
        <w:tc>
          <w:tcPr>
            <w:tcW w:type="dxa" w:w="3389"/>
          </w:tcPr>
          <w:p>
            <w:pPr>
              <w:spacing w:after="40"/>
            </w:pPr>
            <w:r/>
            <w:r>
              <w:rPr>
                <w:b w:val="0"/>
              </w:rPr>
              <w:t>Customer is viewing current consolidated content</w:t>
            </w:r>
          </w:p>
        </w:tc>
      </w:tr>
      <w:tr>
        <w:tc>
          <w:tcPr>
            <w:tcW w:type="dxa" w:w="3389"/>
          </w:tcPr>
          <w:p>
            <w:pPr>
              <w:spacing w:after="40"/>
            </w:pPr>
            <w:r/>
            <w:r>
              <w:rPr>
                <w:b w:val="0"/>
              </w:rPr>
              <w:t>Blue historical banner</w:t>
            </w:r>
          </w:p>
        </w:tc>
        <w:tc>
          <w:tcPr>
            <w:tcW w:type="dxa" w:w="3389"/>
          </w:tcPr>
          <w:p>
            <w:pPr>
              <w:spacing w:after="40"/>
            </w:pPr>
            <w:r/>
            <w:r>
              <w:rPr>
                <w:b w:val="0"/>
              </w:rPr>
              <w:t>The selected date is before the latest version</w:t>
            </w:r>
          </w:p>
        </w:tc>
        <w:tc>
          <w:tcPr>
            <w:tcW w:type="dxa" w:w="3389"/>
          </w:tcPr>
          <w:p>
            <w:pPr>
              <w:spacing w:after="40"/>
            </w:pPr>
            <w:r/>
            <w:r>
              <w:rPr>
                <w:b w:val="0"/>
              </w:rPr>
              <w:t>Customer is viewing a historical version</w:t>
            </w:r>
          </w:p>
        </w:tc>
      </w:tr>
      <w:tr>
        <w:tc>
          <w:tcPr>
            <w:tcW w:type="dxa" w:w="3389"/>
          </w:tcPr>
          <w:p>
            <w:pPr>
              <w:spacing w:after="40"/>
            </w:pPr>
            <w:r/>
            <w:r>
              <w:rPr>
                <w:b w:val="0"/>
              </w:rPr>
              <w:t>Yellow review banner</w:t>
            </w:r>
          </w:p>
        </w:tc>
        <w:tc>
          <w:tcPr>
            <w:tcW w:type="dxa" w:w="3389"/>
          </w:tcPr>
          <w:p>
            <w:pPr>
              <w:spacing w:after="40"/>
            </w:pPr>
            <w:r/>
            <w:r>
              <w:rPr>
                <w:b w:val="0"/>
              </w:rPr>
              <w:t>The version depends on uncertain commencement data</w:t>
            </w:r>
          </w:p>
        </w:tc>
        <w:tc>
          <w:tcPr>
            <w:tcW w:type="dxa" w:w="3389"/>
          </w:tcPr>
          <w:p>
            <w:pPr>
              <w:spacing w:after="40"/>
            </w:pPr>
            <w:r/>
            <w:r>
              <w:rPr>
                <w:b w:val="0"/>
              </w:rPr>
              <w:t>Ask customer to review source notes</w:t>
            </w:r>
          </w:p>
        </w:tc>
      </w:tr>
      <w:tr>
        <w:tc>
          <w:tcPr>
            <w:tcW w:type="dxa" w:w="3389"/>
          </w:tcPr>
          <w:p>
            <w:pPr>
              <w:spacing w:after="40"/>
            </w:pPr>
            <w:r/>
            <w:r>
              <w:rPr>
                <w:b w:val="0"/>
              </w:rPr>
              <w:t>Grey unavailable banner</w:t>
            </w:r>
          </w:p>
        </w:tc>
        <w:tc>
          <w:tcPr>
            <w:tcW w:type="dxa" w:w="3389"/>
          </w:tcPr>
          <w:p>
            <w:pPr>
              <w:spacing w:after="40"/>
            </w:pPr>
            <w:r/>
            <w:r>
              <w:rPr>
                <w:b w:val="0"/>
              </w:rPr>
              <w:t>No version was active on the selected date</w:t>
            </w:r>
          </w:p>
        </w:tc>
        <w:tc>
          <w:tcPr>
            <w:tcW w:type="dxa" w:w="3389"/>
          </w:tcPr>
          <w:p>
            <w:pPr>
              <w:spacing w:after="40"/>
            </w:pPr>
            <w:r/>
            <w:r>
              <w:rPr>
                <w:b w:val="0"/>
              </w:rPr>
              <w:t>Choose a later date or check repeal notes</w:t>
            </w:r>
          </w:p>
        </w:tc>
      </w:tr>
    </w:tbl>
    <w:p/>
    <w:p>
      <w:pPr>
        <w:pStyle w:val="Heading1"/>
      </w:pPr>
      <w:r>
        <w:t>Support cautions</w:t>
      </w:r>
    </w:p>
    <w:p>
      <w:pPr>
        <w:pStyle w:val="ListBullet"/>
      </w:pPr>
      <w:r>
        <w:t>Do not give legal interpretation of historical provisions.</w:t>
      </w:r>
    </w:p>
    <w:p>
      <w:pPr>
        <w:pStyle w:val="ListBullet"/>
      </w:pPr>
      <w:r>
        <w:t>Explain how to access source notes but do not advise which version applies to a legal dispute.</w:t>
      </w:r>
    </w:p>
    <w:p>
      <w:pPr>
        <w:pStyle w:val="ListBullet"/>
      </w:pPr>
      <w:r>
        <w:t>Escalate missing or inconsistent timeline events to content operations.</w:t>
      </w:r>
    </w:p>
    <w:p>
      <w:pPr>
        <w:pStyle w:val="Heading1"/>
      </w:pPr>
      <w:r>
        <w:t>Example support questions this document can answer</w:t>
      </w:r>
    </w:p>
    <w:p>
      <w:pPr>
        <w:pStyle w:val="ListBullet"/>
      </w:pPr>
      <w:r>
        <w:t>How do I find a document as at a selected date?</w:t>
      </w:r>
    </w:p>
    <w:p>
      <w:pPr>
        <w:pStyle w:val="ListBullet"/>
      </w:pPr>
      <w:r>
        <w:t>What does the yellow review banner mean?</w:t>
      </w:r>
    </w:p>
    <w:p>
      <w:pPr>
        <w:pStyle w:val="ListBullet"/>
      </w:pPr>
      <w:r>
        <w:t>How do I export a version note from EraView Research?</w:t>
      </w:r>
    </w:p>
    <w:p>
      <w:pPr>
        <w:pStyle w:val="Heading1"/>
      </w:pPr>
      <w:r>
        <w:t>Internal handling rule</w:t>
      </w:r>
    </w:p>
    <w:p>
      <w:r>
        <w:t>When an answer is generated from this document, include the document ID, product area, and the section heading used. If the request involves customer entitlement changes, do not perform the change unless the requester is an authorised organisation administrator.</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Fictional training content for MCP/RAG testing. Do not use for real customer operations.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BlueRiver Legal Platforms | Customer Support Knowledge Base | BR-SUP-005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EraView Research - Finding Content as at a Selected Date</dc:title>
  <dc:subject>EraView Research</dc:subject>
  <dc:creator>BlueRiver Training Generator</dc:creator>
  <cp:keywords>historical research, date based search, versions, commencement</cp:keywords>
  <dc:description>Fictional training content for local RAG and MCP testing.</dc:description>
  <cp:lastModifiedBy>BlueRiver Training Generator</cp:lastModifiedBy>
  <cp:revision>1</cp:revision>
  <dcterms:created xsi:type="dcterms:W3CDTF">2013-12-23T23:15:00Z</dcterms:created>
  <dcterms:modified xsi:type="dcterms:W3CDTF">2013-12-23T23:15:00Z</dcterms:modified>
  <cp:category>Synthetic customer support documents</cp:category>
</cp:coreProperties>
</file>