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CivicLynx and AccessForge - Login and Access Troubleshooting</w:t>
      </w:r>
    </w:p>
    <w:p>
      <w:pPr>
        <w:jc w:val="center"/>
      </w:pPr>
      <w:r>
        <w:rPr>
          <w:b/>
          <w:sz w:val="22"/>
        </w:rPr>
        <w:t>BlueRiver Legal Platforms - Customer Support Guide</w:t>
      </w:r>
    </w:p>
    <w:p>
      <w:r>
        <w:t>Synthetic training document for local RAG and MCP testing only. All company names, product names, procedures, URLs, identifiers, and examples are fictional.</w:t>
      </w:r>
    </w:p>
    <w:tbl>
      <w:tblPr>
        <w:tblStyle w:val="TableGrid"/>
        <w:tblW w:type="auto" w:w="0"/>
        <w:jc w:val="center"/>
        <w:tblLook w:firstColumn="1" w:firstRow="1" w:lastColumn="0" w:lastRow="0" w:noHBand="0" w:noVBand="1" w:val="04A0"/>
      </w:tblPr>
      <w:tblGrid>
        <w:gridCol w:w="5083"/>
        <w:gridCol w:w="5083"/>
      </w:tblGrid>
      <w:tr>
        <w:tc>
          <w:tcPr>
            <w:tcW w:type="dxa" w:w="2592"/>
            <w:shd w:fill="D9EAF7"/>
            <w:vAlign w:val="top"/>
          </w:tcPr>
          <w:p>
            <w:pPr>
              <w:spacing w:after="40"/>
            </w:pPr>
            <w:r/>
            <w:r>
              <w:rPr>
                <w:b/>
              </w:rPr>
              <w:t>Document ID</w:t>
            </w:r>
          </w:p>
        </w:tc>
        <w:tc>
          <w:tcPr>
            <w:tcW w:type="dxa" w:w="7056"/>
            <w:vAlign w:val="top"/>
          </w:tcPr>
          <w:p>
            <w:pPr>
              <w:spacing w:after="40"/>
            </w:pPr>
            <w:r/>
            <w:r>
              <w:rPr>
                <w:b w:val="0"/>
              </w:rPr>
              <w:t>BR-SUP-006</w:t>
            </w:r>
          </w:p>
        </w:tc>
      </w:tr>
      <w:tr>
        <w:tc>
          <w:tcPr>
            <w:tcW w:type="dxa" w:w="2592"/>
            <w:shd w:fill="D9EAF7"/>
            <w:vAlign w:val="top"/>
          </w:tcPr>
          <w:p>
            <w:pPr>
              <w:spacing w:after="40"/>
            </w:pPr>
            <w:r/>
            <w:r>
              <w:rPr>
                <w:b/>
              </w:rPr>
              <w:t>Product Area</w:t>
            </w:r>
          </w:p>
        </w:tc>
        <w:tc>
          <w:tcPr>
            <w:tcW w:type="dxa" w:w="7056"/>
            <w:vAlign w:val="top"/>
          </w:tcPr>
          <w:p>
            <w:pPr>
              <w:spacing w:after="40"/>
            </w:pPr>
            <w:r/>
            <w:r>
              <w:rPr>
                <w:b w:val="0"/>
              </w:rPr>
              <w:t>CivicLynx Portal and AccessForge</w:t>
            </w:r>
          </w:p>
        </w:tc>
      </w:tr>
      <w:tr>
        <w:tc>
          <w:tcPr>
            <w:tcW w:type="dxa" w:w="2592"/>
            <w:shd w:fill="D9EAF7"/>
            <w:vAlign w:val="top"/>
          </w:tcPr>
          <w:p>
            <w:pPr>
              <w:spacing w:after="40"/>
            </w:pPr>
            <w:r/>
            <w:r>
              <w:rPr>
                <w:b/>
              </w:rPr>
              <w:t>Audience</w:t>
            </w:r>
          </w:p>
        </w:tc>
        <w:tc>
          <w:tcPr>
            <w:tcW w:type="dxa" w:w="7056"/>
            <w:vAlign w:val="top"/>
          </w:tcPr>
          <w:p>
            <w:pPr>
              <w:spacing w:after="40"/>
            </w:pPr>
            <w:r/>
            <w:r>
              <w:rPr>
                <w:b w:val="0"/>
              </w:rPr>
              <w:t>First-level support analysts</w:t>
            </w:r>
          </w:p>
        </w:tc>
      </w:tr>
      <w:tr>
        <w:tc>
          <w:tcPr>
            <w:tcW w:type="dxa" w:w="2592"/>
            <w:shd w:fill="D9EAF7"/>
            <w:vAlign w:val="top"/>
          </w:tcPr>
          <w:p>
            <w:pPr>
              <w:spacing w:after="40"/>
            </w:pPr>
            <w:r/>
            <w:r>
              <w:rPr>
                <w:b/>
              </w:rPr>
              <w:t>Last Updated</w:t>
            </w:r>
          </w:p>
        </w:tc>
        <w:tc>
          <w:tcPr>
            <w:tcW w:type="dxa" w:w="7056"/>
            <w:vAlign w:val="top"/>
          </w:tcPr>
          <w:p>
            <w:pPr>
              <w:spacing w:after="40"/>
            </w:pPr>
            <w:r/>
            <w:r>
              <w:rPr>
                <w:b w:val="0"/>
              </w:rPr>
              <w:t>15 May 2026</w:t>
            </w:r>
          </w:p>
        </w:tc>
      </w:tr>
      <w:tr>
        <w:tc>
          <w:tcPr>
            <w:tcW w:type="dxa" w:w="2592"/>
            <w:shd w:fill="D9EAF7"/>
            <w:vAlign w:val="top"/>
          </w:tcPr>
          <w:p>
            <w:pPr>
              <w:spacing w:after="40"/>
            </w:pPr>
            <w:r/>
            <w:r>
              <w:rPr>
                <w:b/>
              </w:rPr>
              <w:t>RAG Tags</w:t>
            </w:r>
          </w:p>
        </w:tc>
        <w:tc>
          <w:tcPr>
            <w:tcW w:type="dxa" w:w="7056"/>
            <w:vAlign w:val="top"/>
          </w:tcPr>
          <w:p>
            <w:pPr>
              <w:spacing w:after="40"/>
            </w:pPr>
            <w:r/>
            <w:r>
              <w:rPr>
                <w:b w:val="0"/>
              </w:rPr>
              <w:t>login issues, password reset, access denied, troubleshooting</w:t>
            </w:r>
          </w:p>
        </w:tc>
      </w:tr>
    </w:tbl>
    <w:p/>
    <w:p>
      <w:pPr>
        <w:pStyle w:val="Heading1"/>
      </w:pPr>
      <w:r>
        <w:t>Initial triage</w:t>
      </w:r>
    </w:p>
    <w:p>
      <w:r>
        <w:t>Login and access issues should be triaged by separating authentication, account status, subscription entitlement, and network conditions.</w:t>
      </w:r>
    </w:p>
    <w:tbl>
      <w:tblPr>
        <w:tblStyle w:val="TableGrid"/>
        <w:tblW w:type="auto" w:w="0"/>
        <w:tblLook w:firstColumn="1" w:firstRow="1" w:lastColumn="0" w:lastRow="0" w:noHBand="0" w:noVBand="1" w:val="04A0"/>
      </w:tblPr>
      <w:tblGrid>
        <w:gridCol w:w="3389"/>
        <w:gridCol w:w="3389"/>
        <w:gridCol w:w="3389"/>
      </w:tblGrid>
      <w:tr>
        <w:tc>
          <w:tcPr>
            <w:tcW w:type="dxa" w:w="3389"/>
            <w:shd w:fill="E2F0D9"/>
          </w:tcPr>
          <w:p>
            <w:pPr>
              <w:spacing w:after="40"/>
            </w:pPr>
            <w:r/>
            <w:r>
              <w:rPr>
                <w:b/>
              </w:rPr>
              <w:t>Customer report</w:t>
            </w:r>
          </w:p>
        </w:tc>
        <w:tc>
          <w:tcPr>
            <w:tcW w:type="dxa" w:w="3389"/>
            <w:shd w:fill="E2F0D9"/>
          </w:tcPr>
          <w:p>
            <w:pPr>
              <w:spacing w:after="40"/>
            </w:pPr>
            <w:r/>
            <w:r>
              <w:rPr>
                <w:b/>
              </w:rPr>
              <w:t>Likely category</w:t>
            </w:r>
          </w:p>
        </w:tc>
        <w:tc>
          <w:tcPr>
            <w:tcW w:type="dxa" w:w="3389"/>
            <w:shd w:fill="E2F0D9"/>
          </w:tcPr>
          <w:p>
            <w:pPr>
              <w:spacing w:after="40"/>
            </w:pPr>
            <w:r/>
            <w:r>
              <w:rPr>
                <w:b/>
              </w:rPr>
              <w:t>First check</w:t>
            </w:r>
          </w:p>
        </w:tc>
      </w:tr>
      <w:tr>
        <w:tc>
          <w:tcPr>
            <w:tcW w:type="dxa" w:w="3389"/>
          </w:tcPr>
          <w:p>
            <w:pPr>
              <w:spacing w:after="40"/>
            </w:pPr>
            <w:r/>
            <w:r>
              <w:rPr>
                <w:b w:val="0"/>
              </w:rPr>
              <w:t>I cannot sign in</w:t>
            </w:r>
          </w:p>
        </w:tc>
        <w:tc>
          <w:tcPr>
            <w:tcW w:type="dxa" w:w="3389"/>
          </w:tcPr>
          <w:p>
            <w:pPr>
              <w:spacing w:after="40"/>
            </w:pPr>
            <w:r/>
            <w:r>
              <w:rPr>
                <w:b w:val="0"/>
              </w:rPr>
              <w:t>Authentication</w:t>
            </w:r>
          </w:p>
        </w:tc>
        <w:tc>
          <w:tcPr>
            <w:tcW w:type="dxa" w:w="3389"/>
          </w:tcPr>
          <w:p>
            <w:pPr>
              <w:spacing w:after="40"/>
            </w:pPr>
            <w:r/>
            <w:r>
              <w:rPr>
                <w:b w:val="0"/>
              </w:rPr>
              <w:t>Check user status and password reset events</w:t>
            </w:r>
          </w:p>
        </w:tc>
      </w:tr>
      <w:tr>
        <w:tc>
          <w:tcPr>
            <w:tcW w:type="dxa" w:w="3389"/>
          </w:tcPr>
          <w:p>
            <w:pPr>
              <w:spacing w:after="40"/>
            </w:pPr>
            <w:r/>
            <w:r>
              <w:rPr>
                <w:b w:val="0"/>
              </w:rPr>
              <w:t>I can sign in but content is locked</w:t>
            </w:r>
          </w:p>
        </w:tc>
        <w:tc>
          <w:tcPr>
            <w:tcW w:type="dxa" w:w="3389"/>
          </w:tcPr>
          <w:p>
            <w:pPr>
              <w:spacing w:after="40"/>
            </w:pPr>
            <w:r/>
            <w:r>
              <w:rPr>
                <w:b w:val="0"/>
              </w:rPr>
              <w:t>Entitlement</w:t>
            </w:r>
          </w:p>
        </w:tc>
        <w:tc>
          <w:tcPr>
            <w:tcW w:type="dxa" w:w="3389"/>
          </w:tcPr>
          <w:p>
            <w:pPr>
              <w:spacing w:after="40"/>
            </w:pPr>
            <w:r/>
            <w:r>
              <w:rPr>
                <w:b w:val="0"/>
              </w:rPr>
              <w:t>Check subscription group and seat type</w:t>
            </w:r>
          </w:p>
        </w:tc>
      </w:tr>
      <w:tr>
        <w:tc>
          <w:tcPr>
            <w:tcW w:type="dxa" w:w="3389"/>
          </w:tcPr>
          <w:p>
            <w:pPr>
              <w:spacing w:after="40"/>
            </w:pPr>
            <w:r/>
            <w:r>
              <w:rPr>
                <w:b w:val="0"/>
              </w:rPr>
              <w:t>It works at home but not in office</w:t>
            </w:r>
          </w:p>
        </w:tc>
        <w:tc>
          <w:tcPr>
            <w:tcW w:type="dxa" w:w="3389"/>
          </w:tcPr>
          <w:p>
            <w:pPr>
              <w:spacing w:after="40"/>
            </w:pPr>
            <w:r/>
            <w:r>
              <w:rPr>
                <w:b w:val="0"/>
              </w:rPr>
              <w:t>Network</w:t>
            </w:r>
          </w:p>
        </w:tc>
        <w:tc>
          <w:tcPr>
            <w:tcW w:type="dxa" w:w="3389"/>
          </w:tcPr>
          <w:p>
            <w:pPr>
              <w:spacing w:after="40"/>
            </w:pPr>
            <w:r/>
            <w:r>
              <w:rPr>
                <w:b w:val="0"/>
              </w:rPr>
              <w:t>Check approved network rules or proxy</w:t>
            </w:r>
          </w:p>
        </w:tc>
      </w:tr>
      <w:tr>
        <w:tc>
          <w:tcPr>
            <w:tcW w:type="dxa" w:w="3389"/>
          </w:tcPr>
          <w:p>
            <w:pPr>
              <w:spacing w:after="40"/>
            </w:pPr>
            <w:r/>
            <w:r>
              <w:rPr>
                <w:b w:val="0"/>
              </w:rPr>
              <w:t>It works for one colleague only</w:t>
            </w:r>
          </w:p>
        </w:tc>
        <w:tc>
          <w:tcPr>
            <w:tcW w:type="dxa" w:w="3389"/>
          </w:tcPr>
          <w:p>
            <w:pPr>
              <w:spacing w:after="40"/>
            </w:pPr>
            <w:r/>
            <w:r>
              <w:rPr>
                <w:b w:val="0"/>
              </w:rPr>
              <w:t>User role</w:t>
            </w:r>
          </w:p>
        </w:tc>
        <w:tc>
          <w:tcPr>
            <w:tcW w:type="dxa" w:w="3389"/>
          </w:tcPr>
          <w:p>
            <w:pPr>
              <w:spacing w:after="40"/>
            </w:pPr>
            <w:r/>
            <w:r>
              <w:rPr>
                <w:b w:val="0"/>
              </w:rPr>
              <w:t>Compare roles and organisation assignment</w:t>
            </w:r>
          </w:p>
        </w:tc>
      </w:tr>
    </w:tbl>
    <w:p/>
    <w:p>
      <w:pPr>
        <w:pStyle w:val="Heading1"/>
      </w:pPr>
      <w:r>
        <w:t>Password reset procedure</w:t>
      </w:r>
    </w:p>
    <w:p>
      <w:pPr>
        <w:ind w:left="360" w:hanging="259"/>
      </w:pPr>
      <w:r>
        <w:t>1.  Search for the user in AccessForge.</w:t>
      </w:r>
    </w:p>
    <w:p>
      <w:pPr>
        <w:ind w:left="360" w:hanging="259"/>
      </w:pPr>
      <w:r>
        <w:t>2.  Confirm the user belongs to the expected organisation.</w:t>
      </w:r>
    </w:p>
    <w:p>
      <w:pPr>
        <w:ind w:left="360" w:hanging="259"/>
      </w:pPr>
      <w:r>
        <w:t>3.  Check whether the account is locked, expired, or disabled.</w:t>
      </w:r>
    </w:p>
    <w:p>
      <w:pPr>
        <w:ind w:left="360" w:hanging="259"/>
      </w:pPr>
      <w:r>
        <w:t>4.  Select Send password reset.</w:t>
      </w:r>
    </w:p>
    <w:p>
      <w:pPr>
        <w:ind w:left="360" w:hanging="259"/>
      </w:pPr>
      <w:r>
        <w:t>5.  Ask the user to open the latest reset email only.</w:t>
      </w:r>
    </w:p>
    <w:p>
      <w:pPr>
        <w:ind w:left="360" w:hanging="259"/>
      </w:pPr>
      <w:r>
        <w:t>6.  If the user receives no email, check mail delivery status and customer filtering rules.</w:t>
      </w:r>
    </w:p>
    <w:p>
      <w:pPr>
        <w:pStyle w:val="Heading1"/>
      </w:pPr>
      <w:r>
        <w:t>Access denied after successful sign-in</w:t>
      </w:r>
    </w:p>
    <w:p>
      <w:r>
        <w:t>A customer may authenticate successfully but still see a lock icon or access denied page.</w:t>
      </w:r>
    </w:p>
    <w:p>
      <w:pPr>
        <w:pStyle w:val="ListBullet"/>
      </w:pPr>
      <w:r>
        <w:t>Check that the organisation has an active subscription group.</w:t>
      </w:r>
    </w:p>
    <w:p>
      <w:pPr>
        <w:pStyle w:val="ListBullet"/>
      </w:pPr>
      <w:r>
        <w:t>Check that the individual user has the correct role and seat type.</w:t>
      </w:r>
    </w:p>
    <w:p>
      <w:pPr>
        <w:pStyle w:val="ListBullet"/>
      </w:pPr>
      <w:r>
        <w:t>Refresh the entitlement cache.</w:t>
      </w:r>
    </w:p>
    <w:p>
      <w:pPr>
        <w:pStyle w:val="ListBullet"/>
      </w:pPr>
      <w:r>
        <w:t>Ask the user to sign out and sign in again after cache refresh.</w:t>
      </w:r>
    </w:p>
    <w:p>
      <w:pPr>
        <w:pStyle w:val="ListBullet"/>
      </w:pPr>
      <w:r>
        <w:t>If only one title is locked, check collection-level subscription rules.</w:t>
      </w:r>
    </w:p>
    <w:p>
      <w:pPr>
        <w:pStyle w:val="Heading1"/>
      </w:pPr>
      <w:r>
        <w:t>Escalation triggers</w:t>
      </w:r>
    </w:p>
    <w:p>
      <w:pPr>
        <w:pStyle w:val="ListBullet"/>
      </w:pPr>
      <w:r>
        <w:t>Multiple organisations report sign-in failures within 15 minutes.</w:t>
      </w:r>
    </w:p>
    <w:p>
      <w:pPr>
        <w:pStyle w:val="ListBullet"/>
      </w:pPr>
      <w:r>
        <w:t>Reset emails are not being generated for any customer.</w:t>
      </w:r>
    </w:p>
    <w:p>
      <w:pPr>
        <w:pStyle w:val="ListBullet"/>
      </w:pPr>
      <w:r>
        <w:t>The entitlement cache refresh job fails or remains queued.</w:t>
      </w:r>
    </w:p>
    <w:p>
      <w:pPr>
        <w:pStyle w:val="ListBullet"/>
      </w:pPr>
      <w:r>
        <w:t>A customer reports access to content outside their subscription.</w:t>
      </w:r>
    </w:p>
    <w:p>
      <w:r>
        <w:rPr>
          <w:b/>
        </w:rPr>
        <w:t xml:space="preserve">Support note: </w:t>
      </w:r>
      <w:r>
        <w:t>For security issues or incorrect access, escalate immediately and avoid changing customer records until the incident owner gives direction.</w:t>
      </w:r>
    </w:p>
    <w:p>
      <w:pPr>
        <w:pStyle w:val="Heading1"/>
      </w:pPr>
      <w:r>
        <w:t>Example support questions this document can answer</w:t>
      </w:r>
    </w:p>
    <w:p>
      <w:pPr>
        <w:pStyle w:val="ListBullet"/>
      </w:pPr>
      <w:r>
        <w:t>What should I check when a customer cannot sign in?</w:t>
      </w:r>
    </w:p>
    <w:p>
      <w:pPr>
        <w:pStyle w:val="ListBullet"/>
      </w:pPr>
      <w:r>
        <w:t>Why can a user sign in but still see locked content?</w:t>
      </w:r>
    </w:p>
    <w:p>
      <w:pPr>
        <w:pStyle w:val="ListBullet"/>
      </w:pPr>
      <w:r>
        <w:t>When should login issues be escalated?</w:t>
      </w:r>
    </w:p>
    <w:p>
      <w:pPr>
        <w:pStyle w:val="Heading1"/>
      </w:pPr>
      <w:r>
        <w:t>Internal handling rule</w:t>
      </w:r>
    </w:p>
    <w:p>
      <w:r>
        <w:t>When an answer is generated from this document, include the document ID, product area, and the section heading used. If the request involves customer entitlement changes, do not perform the change unless the requester is an authorised organisation administrator.</w:t>
      </w: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Fictional training content for MCP/RAG testing. Do not use for real customer operations.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BlueRiver Legal Platforms | Customer Support Knowledge Base | BR-SUP-006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Light" w:hAnsi="Calibri Light"/>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CivicLynx and AccessForge - Login and Access Troubleshooting</dc:title>
  <dc:subject>CivicLynx Portal and AccessForge</dc:subject>
  <dc:creator>BlueRiver Training Generator</dc:creator>
  <cp:keywords>login issues, password reset, access denied, troubleshooting</cp:keywords>
  <dc:description>Fictional training content for local RAG and MCP testing.</dc:description>
  <cp:lastModifiedBy>BlueRiver Training Generator</cp:lastModifiedBy>
  <cp:revision>1</cp:revision>
  <dcterms:created xsi:type="dcterms:W3CDTF">2013-12-23T23:15:00Z</dcterms:created>
  <dcterms:modified xsi:type="dcterms:W3CDTF">2013-12-23T23:15:00Z</dcterms:modified>
  <cp:category>Synthetic customer support documents</cp:category>
</cp:coreProperties>
</file>