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AccessForge - Organisation Users, Roles, and Permissions</w:t>
      </w:r>
    </w:p>
    <w:p>
      <w:pPr>
        <w:jc w:val="center"/>
      </w:pPr>
      <w:r>
        <w:rPr>
          <w:b/>
          <w:sz w:val="22"/>
        </w:rPr>
        <w:t>BlueRiver Legal Platforms - Customer Support Guide</w:t>
      </w:r>
    </w:p>
    <w:p>
      <w:r>
        <w:t>Synthetic training document for local RAG and MCP testing only. All company names, product names, procedures, URLs, identifiers, and examples are fictional.</w:t>
      </w:r>
    </w:p>
    <w:tbl>
      <w:tblPr>
        <w:tblStyle w:val="TableGrid"/>
        <w:tblW w:type="auto" w:w="0"/>
        <w:jc w:val="center"/>
        <w:tblLook w:firstColumn="1" w:firstRow="1" w:lastColumn="0" w:lastRow="0" w:noHBand="0" w:noVBand="1" w:val="04A0"/>
      </w:tblPr>
      <w:tblGrid>
        <w:gridCol w:w="5083"/>
        <w:gridCol w:w="5083"/>
      </w:tblGrid>
      <w:tr>
        <w:tc>
          <w:tcPr>
            <w:tcW w:type="dxa" w:w="2592"/>
            <w:shd w:fill="D9EAF7"/>
            <w:vAlign w:val="top"/>
          </w:tcPr>
          <w:p>
            <w:pPr>
              <w:spacing w:after="40"/>
            </w:pPr>
            <w:r/>
            <w:r>
              <w:rPr>
                <w:b/>
              </w:rPr>
              <w:t>Document ID</w:t>
            </w:r>
          </w:p>
        </w:tc>
        <w:tc>
          <w:tcPr>
            <w:tcW w:type="dxa" w:w="7056"/>
            <w:vAlign w:val="top"/>
          </w:tcPr>
          <w:p>
            <w:pPr>
              <w:spacing w:after="40"/>
            </w:pPr>
            <w:r/>
            <w:r>
              <w:rPr>
                <w:b w:val="0"/>
              </w:rPr>
              <w:t>BR-SUP-007</w:t>
            </w:r>
          </w:p>
        </w:tc>
      </w:tr>
      <w:tr>
        <w:tc>
          <w:tcPr>
            <w:tcW w:type="dxa" w:w="2592"/>
            <w:shd w:fill="D9EAF7"/>
            <w:vAlign w:val="top"/>
          </w:tcPr>
          <w:p>
            <w:pPr>
              <w:spacing w:after="40"/>
            </w:pPr>
            <w:r/>
            <w:r>
              <w:rPr>
                <w:b/>
              </w:rPr>
              <w:t>Product Area</w:t>
            </w:r>
          </w:p>
        </w:tc>
        <w:tc>
          <w:tcPr>
            <w:tcW w:type="dxa" w:w="7056"/>
            <w:vAlign w:val="top"/>
          </w:tcPr>
          <w:p>
            <w:pPr>
              <w:spacing w:after="40"/>
            </w:pPr>
            <w:r/>
            <w:r>
              <w:rPr>
                <w:b w:val="0"/>
              </w:rPr>
              <w:t>AccessForge</w:t>
            </w:r>
          </w:p>
        </w:tc>
      </w:tr>
      <w:tr>
        <w:tc>
          <w:tcPr>
            <w:tcW w:type="dxa" w:w="2592"/>
            <w:shd w:fill="D9EAF7"/>
            <w:vAlign w:val="top"/>
          </w:tcPr>
          <w:p>
            <w:pPr>
              <w:spacing w:after="40"/>
            </w:pPr>
            <w:r/>
            <w:r>
              <w:rPr>
                <w:b/>
              </w:rPr>
              <w:t>Audience</w:t>
            </w:r>
          </w:p>
        </w:tc>
        <w:tc>
          <w:tcPr>
            <w:tcW w:type="dxa" w:w="7056"/>
            <w:vAlign w:val="top"/>
          </w:tcPr>
          <w:p>
            <w:pPr>
              <w:spacing w:after="40"/>
            </w:pPr>
            <w:r/>
            <w:r>
              <w:rPr>
                <w:b w:val="0"/>
              </w:rPr>
              <w:t>Customer administrators and support analysts</w:t>
            </w:r>
          </w:p>
        </w:tc>
      </w:tr>
      <w:tr>
        <w:tc>
          <w:tcPr>
            <w:tcW w:type="dxa" w:w="2592"/>
            <w:shd w:fill="D9EAF7"/>
            <w:vAlign w:val="top"/>
          </w:tcPr>
          <w:p>
            <w:pPr>
              <w:spacing w:after="40"/>
            </w:pPr>
            <w:r/>
            <w:r>
              <w:rPr>
                <w:b/>
              </w:rPr>
              <w:t>Last Updated</w:t>
            </w:r>
          </w:p>
        </w:tc>
        <w:tc>
          <w:tcPr>
            <w:tcW w:type="dxa" w:w="7056"/>
            <w:vAlign w:val="top"/>
          </w:tcPr>
          <w:p>
            <w:pPr>
              <w:spacing w:after="40"/>
            </w:pPr>
            <w:r/>
            <w:r>
              <w:rPr>
                <w:b w:val="0"/>
              </w:rPr>
              <w:t>15 May 2026</w:t>
            </w:r>
          </w:p>
        </w:tc>
      </w:tr>
      <w:tr>
        <w:tc>
          <w:tcPr>
            <w:tcW w:type="dxa" w:w="2592"/>
            <w:shd w:fill="D9EAF7"/>
            <w:vAlign w:val="top"/>
          </w:tcPr>
          <w:p>
            <w:pPr>
              <w:spacing w:after="40"/>
            </w:pPr>
            <w:r/>
            <w:r>
              <w:rPr>
                <w:b/>
              </w:rPr>
              <w:t>RAG Tags</w:t>
            </w:r>
          </w:p>
        </w:tc>
        <w:tc>
          <w:tcPr>
            <w:tcW w:type="dxa" w:w="7056"/>
            <w:vAlign w:val="top"/>
          </w:tcPr>
          <w:p>
            <w:pPr>
              <w:spacing w:after="40"/>
            </w:pPr>
            <w:r/>
            <w:r>
              <w:rPr>
                <w:b w:val="0"/>
              </w:rPr>
              <w:t>roles, permissions, user management, administrator</w:t>
            </w:r>
          </w:p>
        </w:tc>
      </w:tr>
    </w:tbl>
    <w:p/>
    <w:p>
      <w:pPr>
        <w:pStyle w:val="Heading1"/>
      </w:pPr>
      <w:r>
        <w:t>Role model</w:t>
      </w:r>
    </w:p>
    <w:p>
      <w:r>
        <w:t>AccessForge uses roles to control what users can do inside customer-facing products and account administration screens.</w:t>
      </w:r>
    </w:p>
    <w:tbl>
      <w:tblPr>
        <w:tblStyle w:val="TableGrid"/>
        <w:tblW w:type="auto" w:w="0"/>
        <w:tblLook w:firstColumn="1" w:firstRow="1" w:lastColumn="0" w:lastRow="0" w:noHBand="0" w:noVBand="1" w:val="04A0"/>
      </w:tblPr>
      <w:tblGrid>
        <w:gridCol w:w="3389"/>
        <w:gridCol w:w="3389"/>
        <w:gridCol w:w="3389"/>
      </w:tblGrid>
      <w:tr>
        <w:tc>
          <w:tcPr>
            <w:tcW w:type="dxa" w:w="3389"/>
            <w:shd w:fill="E2F0D9"/>
          </w:tcPr>
          <w:p>
            <w:pPr>
              <w:spacing w:after="40"/>
            </w:pPr>
            <w:r/>
            <w:r>
              <w:rPr>
                <w:b/>
              </w:rPr>
              <w:t>Role</w:t>
            </w:r>
          </w:p>
        </w:tc>
        <w:tc>
          <w:tcPr>
            <w:tcW w:type="dxa" w:w="3389"/>
            <w:shd w:fill="E2F0D9"/>
          </w:tcPr>
          <w:p>
            <w:pPr>
              <w:spacing w:after="40"/>
            </w:pPr>
            <w:r/>
            <w:r>
              <w:rPr>
                <w:b/>
              </w:rPr>
              <w:t>Typical user</w:t>
            </w:r>
          </w:p>
        </w:tc>
        <w:tc>
          <w:tcPr>
            <w:tcW w:type="dxa" w:w="3389"/>
            <w:shd w:fill="E2F0D9"/>
          </w:tcPr>
          <w:p>
            <w:pPr>
              <w:spacing w:after="40"/>
            </w:pPr>
            <w:r/>
            <w:r>
              <w:rPr>
                <w:b/>
              </w:rPr>
              <w:t>Capabilities</w:t>
            </w:r>
          </w:p>
        </w:tc>
      </w:tr>
      <w:tr>
        <w:tc>
          <w:tcPr>
            <w:tcW w:type="dxa" w:w="3389"/>
          </w:tcPr>
          <w:p>
            <w:pPr>
              <w:spacing w:after="40"/>
            </w:pPr>
            <w:r/>
            <w:r>
              <w:rPr>
                <w:b w:val="0"/>
              </w:rPr>
              <w:t>Organisation administrator</w:t>
            </w:r>
          </w:p>
        </w:tc>
        <w:tc>
          <w:tcPr>
            <w:tcW w:type="dxa" w:w="3389"/>
          </w:tcPr>
          <w:p>
            <w:pPr>
              <w:spacing w:after="40"/>
            </w:pPr>
            <w:r/>
            <w:r>
              <w:rPr>
                <w:b w:val="0"/>
              </w:rPr>
              <w:t>Customer admin or library manager</w:t>
            </w:r>
          </w:p>
        </w:tc>
        <w:tc>
          <w:tcPr>
            <w:tcW w:type="dxa" w:w="3389"/>
          </w:tcPr>
          <w:p>
            <w:pPr>
              <w:spacing w:after="40"/>
            </w:pPr>
            <w:r/>
            <w:r>
              <w:rPr>
                <w:b w:val="0"/>
              </w:rPr>
              <w:t>Manage users, alerts, and basic organisation settings</w:t>
            </w:r>
          </w:p>
        </w:tc>
      </w:tr>
      <w:tr>
        <w:tc>
          <w:tcPr>
            <w:tcW w:type="dxa" w:w="3389"/>
          </w:tcPr>
          <w:p>
            <w:pPr>
              <w:spacing w:after="40"/>
            </w:pPr>
            <w:r/>
            <w:r>
              <w:rPr>
                <w:b w:val="0"/>
              </w:rPr>
              <w:t>Research user</w:t>
            </w:r>
          </w:p>
        </w:tc>
        <w:tc>
          <w:tcPr>
            <w:tcW w:type="dxa" w:w="3389"/>
          </w:tcPr>
          <w:p>
            <w:pPr>
              <w:spacing w:after="40"/>
            </w:pPr>
            <w:r/>
            <w:r>
              <w:rPr>
                <w:b w:val="0"/>
              </w:rPr>
              <w:t>Lawyer, librarian, policy officer</w:t>
            </w:r>
          </w:p>
        </w:tc>
        <w:tc>
          <w:tcPr>
            <w:tcW w:type="dxa" w:w="3389"/>
          </w:tcPr>
          <w:p>
            <w:pPr>
              <w:spacing w:after="40"/>
            </w:pPr>
            <w:r/>
            <w:r>
              <w:rPr>
                <w:b w:val="0"/>
              </w:rPr>
              <w:t>Search, browse, save folders, create personal alerts</w:t>
            </w:r>
          </w:p>
        </w:tc>
      </w:tr>
      <w:tr>
        <w:tc>
          <w:tcPr>
            <w:tcW w:type="dxa" w:w="3389"/>
          </w:tcPr>
          <w:p>
            <w:pPr>
              <w:spacing w:after="40"/>
            </w:pPr>
            <w:r/>
            <w:r>
              <w:rPr>
                <w:b w:val="0"/>
              </w:rPr>
              <w:t>Alert manager</w:t>
            </w:r>
          </w:p>
        </w:tc>
        <w:tc>
          <w:tcPr>
            <w:tcW w:type="dxa" w:w="3389"/>
          </w:tcPr>
          <w:p>
            <w:pPr>
              <w:spacing w:after="40"/>
            </w:pPr>
            <w:r/>
            <w:r>
              <w:rPr>
                <w:b w:val="0"/>
              </w:rPr>
              <w:t>Compliance coordinator</w:t>
            </w:r>
          </w:p>
        </w:tc>
        <w:tc>
          <w:tcPr>
            <w:tcW w:type="dxa" w:w="3389"/>
          </w:tcPr>
          <w:p>
            <w:pPr>
              <w:spacing w:after="40"/>
            </w:pPr>
            <w:r/>
            <w:r>
              <w:rPr>
                <w:b w:val="0"/>
              </w:rPr>
              <w:t>Manage shared alerts and digest recipients</w:t>
            </w:r>
          </w:p>
        </w:tc>
      </w:tr>
      <w:tr>
        <w:tc>
          <w:tcPr>
            <w:tcW w:type="dxa" w:w="3389"/>
          </w:tcPr>
          <w:p>
            <w:pPr>
              <w:spacing w:after="40"/>
            </w:pPr>
            <w:r/>
            <w:r>
              <w:rPr>
                <w:b w:val="0"/>
              </w:rPr>
              <w:t>Read-only visitor</w:t>
            </w:r>
          </w:p>
        </w:tc>
        <w:tc>
          <w:tcPr>
            <w:tcW w:type="dxa" w:w="3389"/>
          </w:tcPr>
          <w:p>
            <w:pPr>
              <w:spacing w:after="40"/>
            </w:pPr>
            <w:r/>
            <w:r>
              <w:rPr>
                <w:b w:val="0"/>
              </w:rPr>
              <w:t>Public terminal or shared access user</w:t>
            </w:r>
          </w:p>
        </w:tc>
        <w:tc>
          <w:tcPr>
            <w:tcW w:type="dxa" w:w="3389"/>
          </w:tcPr>
          <w:p>
            <w:pPr>
              <w:spacing w:after="40"/>
            </w:pPr>
            <w:r/>
            <w:r>
              <w:rPr>
                <w:b w:val="0"/>
              </w:rPr>
              <w:t>Search and open subscribed content only</w:t>
            </w:r>
          </w:p>
        </w:tc>
      </w:tr>
    </w:tbl>
    <w:p/>
    <w:p>
      <w:pPr>
        <w:pStyle w:val="Heading1"/>
      </w:pPr>
      <w:r>
        <w:t>Adding a new user</w:t>
      </w:r>
    </w:p>
    <w:p>
      <w:pPr>
        <w:ind w:left="360" w:hanging="259"/>
      </w:pPr>
      <w:r>
        <w:t>1.  Open the organisation in AccessForge.</w:t>
      </w:r>
    </w:p>
    <w:p>
      <w:pPr>
        <w:ind w:left="360" w:hanging="259"/>
      </w:pPr>
      <w:r>
        <w:t>2.  Select Users and choose Add user.</w:t>
      </w:r>
    </w:p>
    <w:p>
      <w:pPr>
        <w:ind w:left="360" w:hanging="259"/>
      </w:pPr>
      <w:r>
        <w:t>3.  Enter the email address and display name.</w:t>
      </w:r>
    </w:p>
    <w:p>
      <w:pPr>
        <w:ind w:left="360" w:hanging="259"/>
      </w:pPr>
      <w:r>
        <w:t>4.  Select the role requested by the organisation administrator.</w:t>
      </w:r>
    </w:p>
    <w:p>
      <w:pPr>
        <w:ind w:left="360" w:hanging="259"/>
      </w:pPr>
      <w:r>
        <w:t>5.  Choose whether the user receives a welcome email immediately.</w:t>
      </w:r>
    </w:p>
    <w:p>
      <w:pPr>
        <w:ind w:left="360" w:hanging="259"/>
      </w:pPr>
      <w:r>
        <w:t>6.  Save the user and record the action in the support ticket.</w:t>
      </w:r>
    </w:p>
    <w:p>
      <w:pPr>
        <w:pStyle w:val="Heading1"/>
      </w:pPr>
      <w:r>
        <w:t>Changing roles</w:t>
      </w:r>
    </w:p>
    <w:p>
      <w:r>
        <w:t>Role changes affect what the user can do after their next sign-in.</w:t>
      </w:r>
    </w:p>
    <w:p>
      <w:pPr>
        <w:pStyle w:val="ListBullet"/>
      </w:pPr>
      <w:r>
        <w:t>Only authorised organisation administrators can request role changes.</w:t>
      </w:r>
    </w:p>
    <w:p>
      <w:pPr>
        <w:pStyle w:val="ListBullet"/>
      </w:pPr>
      <w:r>
        <w:t>Support must not grant organisation administrator permissions based on a direct end-user request.</w:t>
      </w:r>
    </w:p>
    <w:p>
      <w:pPr>
        <w:pStyle w:val="ListBullet"/>
      </w:pPr>
      <w:r>
        <w:t>When changing from administrator to research user, transfer shared alerts first.</w:t>
      </w:r>
    </w:p>
    <w:p>
      <w:pPr>
        <w:pStyle w:val="ListBullet"/>
      </w:pPr>
      <w:r>
        <w:t>Ask the customer to sign out and sign in again after role updates.</w:t>
      </w:r>
    </w:p>
    <w:p>
      <w:pPr>
        <w:pStyle w:val="Heading1"/>
      </w:pPr>
      <w:r>
        <w:t>Deactivating users</w:t>
      </w:r>
    </w:p>
    <w:p>
      <w:r>
        <w:t>Deactivate users when they leave the organisation or no longer require access.</w:t>
      </w:r>
    </w:p>
    <w:p>
      <w:pPr>
        <w:ind w:left="360" w:hanging="259"/>
      </w:pPr>
      <w:r>
        <w:t>1.  Find the user record.</w:t>
      </w:r>
    </w:p>
    <w:p>
      <w:pPr>
        <w:ind w:left="360" w:hanging="259"/>
      </w:pPr>
      <w:r>
        <w:t>2.  Check whether the user owns shared alerts or folders.</w:t>
      </w:r>
    </w:p>
    <w:p>
      <w:pPr>
        <w:ind w:left="360" w:hanging="259"/>
      </w:pPr>
      <w:r>
        <w:t>3.  Transfer ownership if required.</w:t>
      </w:r>
    </w:p>
    <w:p>
      <w:pPr>
        <w:ind w:left="360" w:hanging="259"/>
      </w:pPr>
      <w:r>
        <w:t>4.  Set user status to Inactive.</w:t>
      </w:r>
    </w:p>
    <w:p>
      <w:pPr>
        <w:ind w:left="360" w:hanging="259"/>
      </w:pPr>
      <w:r>
        <w:t>5.  Save and confirm deactivation in the support ticket.</w:t>
      </w:r>
    </w:p>
    <w:p>
      <w:pPr>
        <w:pStyle w:val="Heading1"/>
      </w:pPr>
      <w:r>
        <w:t>Example support questions this document can answer</w:t>
      </w:r>
    </w:p>
    <w:p>
      <w:pPr>
        <w:pStyle w:val="ListBullet"/>
      </w:pPr>
      <w:r>
        <w:t>What roles are available in AccessForge?</w:t>
      </w:r>
    </w:p>
    <w:p>
      <w:pPr>
        <w:pStyle w:val="ListBullet"/>
      </w:pPr>
      <w:r>
        <w:t>How do I add a new customer user?</w:t>
      </w:r>
    </w:p>
    <w:p>
      <w:pPr>
        <w:pStyle w:val="ListBullet"/>
      </w:pPr>
      <w:r>
        <w:t>What must be checked before deactivating a user?</w:t>
      </w:r>
    </w:p>
    <w:p>
      <w:pPr>
        <w:pStyle w:val="Heading1"/>
      </w:pPr>
      <w:r>
        <w:t>Internal handling rule</w:t>
      </w:r>
    </w:p>
    <w:p>
      <w:r>
        <w:t>When an answer is generated from this document, include the document ID, product area, and the section heading used. If the request involves customer entitlement changes, do not perform the change unless the requester is an authorised organisation administrator.</w:t>
      </w:r>
    </w:p>
    <w:sectPr w:rsidR="00FC693F" w:rsidRPr="0006063C" w:rsidSect="00034616">
      <w:headerReference w:type="default" r:id="rId9"/>
      <w:footerReference w:type="default" r:id="rId10"/>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Fictional training content for MCP/RAG testing. Do not use for real customer operations.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BlueRiver Legal Platforms | Customer Support Knowledge Base | BR-SUP-007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Light" w:hAnsi="Calibri Light"/>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760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Light" w:hAnsi="Calibri Light"/>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AccessForge - Organisation Users, Roles, and Permissions</dc:title>
  <dc:subject>AccessForge</dc:subject>
  <dc:creator>BlueRiver Training Generator</dc:creator>
  <cp:keywords>roles, permissions, user management, administrator</cp:keywords>
  <dc:description>Fictional training content for local RAG and MCP testing.</dc:description>
  <cp:lastModifiedBy>BlueRiver Training Generator</cp:lastModifiedBy>
  <cp:revision>1</cp:revision>
  <dcterms:created xsi:type="dcterms:W3CDTF">2013-12-23T23:15:00Z</dcterms:created>
  <dcterms:modified xsi:type="dcterms:W3CDTF">2013-12-23T23:15:00Z</dcterms:modified>
  <cp:category>Synthetic customer support documents</cp:category>
</cp:coreProperties>
</file>