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CivicLynx Portal - Saved Searches and Digest Configuration</w:t>
      </w:r>
    </w:p>
    <w:p>
      <w:pPr>
        <w:jc w:val="center"/>
      </w:pPr>
      <w:r>
        <w:rPr>
          <w:b/>
          <w:sz w:val="22"/>
        </w:rPr>
        <w:t>BlueRiver Legal Platforms - Customer Support Guide</w:t>
      </w:r>
    </w:p>
    <w:p>
      <w:r>
        <w:t>Synthetic training document for local RAG and MCP testing only. All company names, product names, procedures, URLs, identifiers, and examples are fictional.</w:t>
      </w:r>
    </w:p>
    <w:tbl>
      <w:tblPr>
        <w:tblStyle w:val="TableGrid"/>
        <w:tblW w:type="auto" w:w="0"/>
        <w:jc w:val="center"/>
        <w:tblLook w:firstColumn="1" w:firstRow="1" w:lastColumn="0" w:lastRow="0" w:noHBand="0" w:noVBand="1" w:val="04A0"/>
      </w:tblPr>
      <w:tblGrid>
        <w:gridCol w:w="5083"/>
        <w:gridCol w:w="5083"/>
      </w:tblGrid>
      <w:tr>
        <w:tc>
          <w:tcPr>
            <w:tcW w:type="dxa" w:w="2592"/>
            <w:shd w:fill="D9EAF7"/>
            <w:vAlign w:val="top"/>
          </w:tcPr>
          <w:p>
            <w:pPr>
              <w:spacing w:after="40"/>
            </w:pPr>
            <w:r/>
            <w:r>
              <w:rPr>
                <w:b/>
              </w:rPr>
              <w:t>Document ID</w:t>
            </w:r>
          </w:p>
        </w:tc>
        <w:tc>
          <w:tcPr>
            <w:tcW w:type="dxa" w:w="7056"/>
            <w:vAlign w:val="top"/>
          </w:tcPr>
          <w:p>
            <w:pPr>
              <w:spacing w:after="40"/>
            </w:pPr>
            <w:r/>
            <w:r>
              <w:rPr>
                <w:b w:val="0"/>
              </w:rPr>
              <w:t>BR-SUP-008</w:t>
            </w:r>
          </w:p>
        </w:tc>
      </w:tr>
      <w:tr>
        <w:tc>
          <w:tcPr>
            <w:tcW w:type="dxa" w:w="2592"/>
            <w:shd w:fill="D9EAF7"/>
            <w:vAlign w:val="top"/>
          </w:tcPr>
          <w:p>
            <w:pPr>
              <w:spacing w:after="40"/>
            </w:pPr>
            <w:r/>
            <w:r>
              <w:rPr>
                <w:b/>
              </w:rPr>
              <w:t>Product Area</w:t>
            </w:r>
          </w:p>
        </w:tc>
        <w:tc>
          <w:tcPr>
            <w:tcW w:type="dxa" w:w="7056"/>
            <w:vAlign w:val="top"/>
          </w:tcPr>
          <w:p>
            <w:pPr>
              <w:spacing w:after="40"/>
            </w:pPr>
            <w:r/>
            <w:r>
              <w:rPr>
                <w:b w:val="0"/>
              </w:rPr>
              <w:t>CivicLynx Portal and AmendAlert</w:t>
            </w:r>
          </w:p>
        </w:tc>
      </w:tr>
      <w:tr>
        <w:tc>
          <w:tcPr>
            <w:tcW w:type="dxa" w:w="2592"/>
            <w:shd w:fill="D9EAF7"/>
            <w:vAlign w:val="top"/>
          </w:tcPr>
          <w:p>
            <w:pPr>
              <w:spacing w:after="40"/>
            </w:pPr>
            <w:r/>
            <w:r>
              <w:rPr>
                <w:b/>
              </w:rPr>
              <w:t>Audience</w:t>
            </w:r>
          </w:p>
        </w:tc>
        <w:tc>
          <w:tcPr>
            <w:tcW w:type="dxa" w:w="7056"/>
            <w:vAlign w:val="top"/>
          </w:tcPr>
          <w:p>
            <w:pPr>
              <w:spacing w:after="40"/>
            </w:pPr>
            <w:r/>
            <w:r>
              <w:rPr>
                <w:b w:val="0"/>
              </w:rPr>
              <w:t>Support analysts helping customers manage research monitoring workflows</w:t>
            </w:r>
          </w:p>
        </w:tc>
      </w:tr>
      <w:tr>
        <w:tc>
          <w:tcPr>
            <w:tcW w:type="dxa" w:w="2592"/>
            <w:shd w:fill="D9EAF7"/>
            <w:vAlign w:val="top"/>
          </w:tcPr>
          <w:p>
            <w:pPr>
              <w:spacing w:after="40"/>
            </w:pPr>
            <w:r/>
            <w:r>
              <w:rPr>
                <w:b/>
              </w:rPr>
              <w:t>Last Updated</w:t>
            </w:r>
          </w:p>
        </w:tc>
        <w:tc>
          <w:tcPr>
            <w:tcW w:type="dxa" w:w="7056"/>
            <w:vAlign w:val="top"/>
          </w:tcPr>
          <w:p>
            <w:pPr>
              <w:spacing w:after="40"/>
            </w:pPr>
            <w:r/>
            <w:r>
              <w:rPr>
                <w:b w:val="0"/>
              </w:rPr>
              <w:t>15 May 2026</w:t>
            </w:r>
          </w:p>
        </w:tc>
      </w:tr>
      <w:tr>
        <w:tc>
          <w:tcPr>
            <w:tcW w:type="dxa" w:w="2592"/>
            <w:shd w:fill="D9EAF7"/>
            <w:vAlign w:val="top"/>
          </w:tcPr>
          <w:p>
            <w:pPr>
              <w:spacing w:after="40"/>
            </w:pPr>
            <w:r/>
            <w:r>
              <w:rPr>
                <w:b/>
              </w:rPr>
              <w:t>RAG Tags</w:t>
            </w:r>
          </w:p>
        </w:tc>
        <w:tc>
          <w:tcPr>
            <w:tcW w:type="dxa" w:w="7056"/>
            <w:vAlign w:val="top"/>
          </w:tcPr>
          <w:p>
            <w:pPr>
              <w:spacing w:after="40"/>
            </w:pPr>
            <w:r/>
            <w:r>
              <w:rPr>
                <w:b w:val="0"/>
              </w:rPr>
              <w:t>saved searches, digest, monitoring, search alerts</w:t>
            </w:r>
          </w:p>
        </w:tc>
      </w:tr>
    </w:tbl>
    <w:p/>
    <w:p>
      <w:pPr>
        <w:pStyle w:val="Heading1"/>
      </w:pPr>
      <w:r>
        <w:t>Saved search behaviour</w:t>
      </w:r>
    </w:p>
    <w:p>
      <w:r>
        <w:t>A saved search stores query terms, filters, jurisdiction selections, and sorting preferences. Users can run a saved search manually or connect it to AmendAlert for scheduled monitoring.</w:t>
      </w:r>
    </w:p>
    <w:p>
      <w:pPr>
        <w:pStyle w:val="ListBullet"/>
      </w:pPr>
      <w:r>
        <w:t>Saved searches are personal by default.</w:t>
      </w:r>
    </w:p>
    <w:p>
      <w:pPr>
        <w:pStyle w:val="ListBullet"/>
      </w:pPr>
      <w:r>
        <w:t>Organisation administrators can create shared saved searches.</w:t>
      </w:r>
    </w:p>
    <w:p>
      <w:pPr>
        <w:pStyle w:val="ListBullet"/>
      </w:pPr>
      <w:r>
        <w:t>Saved searches do not store search results; they store search criteria.</w:t>
      </w:r>
    </w:p>
    <w:p>
      <w:pPr>
        <w:pStyle w:val="ListBullet"/>
      </w:pPr>
      <w:r>
        <w:t>Changing a saved search changes future alert results.</w:t>
      </w:r>
    </w:p>
    <w:p>
      <w:pPr>
        <w:pStyle w:val="Heading1"/>
      </w:pPr>
      <w:r>
        <w:t>Creating a saved search</w:t>
      </w:r>
    </w:p>
    <w:p>
      <w:pPr>
        <w:ind w:left="360" w:hanging="259"/>
      </w:pPr>
      <w:r>
        <w:t>1.  Run the search in CivicLynx Portal.</w:t>
      </w:r>
    </w:p>
    <w:p>
      <w:pPr>
        <w:ind w:left="360" w:hanging="259"/>
      </w:pPr>
      <w:r>
        <w:t>2.  Apply filters such as jurisdiction, content type, or subject.</w:t>
      </w:r>
    </w:p>
    <w:p>
      <w:pPr>
        <w:ind w:left="360" w:hanging="259"/>
      </w:pPr>
      <w:r>
        <w:t>3.  Select Save search.</w:t>
      </w:r>
    </w:p>
    <w:p>
      <w:pPr>
        <w:ind w:left="360" w:hanging="259"/>
      </w:pPr>
      <w:r>
        <w:t>4.  Enter a clear name such as Building safety monitoring.</w:t>
      </w:r>
    </w:p>
    <w:p>
      <w:pPr>
        <w:ind w:left="360" w:hanging="259"/>
      </w:pPr>
      <w:r>
        <w:t>5.  Choose personal or shared visibility.</w:t>
      </w:r>
    </w:p>
    <w:p>
      <w:pPr>
        <w:ind w:left="360" w:hanging="259"/>
      </w:pPr>
      <w:r>
        <w:t>6.  Save and run the search again to confirm results.</w:t>
      </w:r>
    </w:p>
    <w:p>
      <w:pPr>
        <w:pStyle w:val="Heading1"/>
      </w:pPr>
      <w:r>
        <w:t>Connecting a saved search to a digest</w:t>
      </w:r>
    </w:p>
    <w:p>
      <w:pPr>
        <w:ind w:left="360" w:hanging="259"/>
      </w:pPr>
      <w:r>
        <w:t>1.  Open Alerts and choose Create alert.</w:t>
      </w:r>
    </w:p>
    <w:p>
      <w:pPr>
        <w:ind w:left="360" w:hanging="259"/>
      </w:pPr>
      <w:r>
        <w:t>2.  Select Saved search as the source.</w:t>
      </w:r>
    </w:p>
    <w:p>
      <w:pPr>
        <w:ind w:left="360" w:hanging="259"/>
      </w:pPr>
      <w:r>
        <w:t>3.  Choose the saved search name.</w:t>
      </w:r>
    </w:p>
    <w:p>
      <w:pPr>
        <w:ind w:left="360" w:hanging="259"/>
      </w:pPr>
      <w:r>
        <w:t>4.  Choose daily or weekly digest.</w:t>
      </w:r>
    </w:p>
    <w:p>
      <w:pPr>
        <w:ind w:left="360" w:hanging="259"/>
      </w:pPr>
      <w:r>
        <w:t>5.  Select recipients.</w:t>
      </w:r>
    </w:p>
    <w:p>
      <w:pPr>
        <w:ind w:left="360" w:hanging="259"/>
      </w:pPr>
      <w:r>
        <w:t>6.  Send a test email.</w:t>
      </w:r>
    </w:p>
    <w:p>
      <w:pPr>
        <w:ind w:left="360" w:hanging="259"/>
      </w:pPr>
      <w:r>
        <w:t>7.  Save the alert.</w:t>
      </w:r>
    </w:p>
    <w:p>
      <w:pPr>
        <w:pStyle w:val="Heading1"/>
      </w:pPr>
      <w:r>
        <w:t>Digest content rules</w:t>
      </w:r>
    </w:p>
    <w:p>
      <w:r>
        <w:t>Digest emails include new or changed results that match the saved search since the last scheduled run.</w:t>
      </w:r>
    </w:p>
    <w:tbl>
      <w:tblPr>
        <w:tblStyle w:val="TableGrid"/>
        <w:tblW w:type="auto" w:w="0"/>
        <w:tblLook w:firstColumn="1" w:firstRow="1" w:lastColumn="0" w:lastRow="0" w:noHBand="0" w:noVBand="1" w:val="04A0"/>
      </w:tblPr>
      <w:tblGrid>
        <w:gridCol w:w="3389"/>
        <w:gridCol w:w="3389"/>
        <w:gridCol w:w="3389"/>
      </w:tblGrid>
      <w:tr>
        <w:tc>
          <w:tcPr>
            <w:tcW w:type="dxa" w:w="3389"/>
            <w:shd w:fill="E2F0D9"/>
          </w:tcPr>
          <w:p>
            <w:pPr>
              <w:spacing w:after="40"/>
            </w:pPr>
            <w:r/>
            <w:r>
              <w:rPr>
                <w:b/>
              </w:rPr>
              <w:t>Rule</w:t>
            </w:r>
          </w:p>
        </w:tc>
        <w:tc>
          <w:tcPr>
            <w:tcW w:type="dxa" w:w="3389"/>
            <w:shd w:fill="E2F0D9"/>
          </w:tcPr>
          <w:p>
            <w:pPr>
              <w:spacing w:after="40"/>
            </w:pPr>
            <w:r/>
            <w:r>
              <w:rPr>
                <w:b/>
              </w:rPr>
              <w:t>Explanation</w:t>
            </w:r>
          </w:p>
        </w:tc>
        <w:tc>
          <w:tcPr>
            <w:tcW w:type="dxa" w:w="3389"/>
            <w:shd w:fill="E2F0D9"/>
          </w:tcPr>
          <w:p>
            <w:pPr>
              <w:spacing w:after="40"/>
            </w:pPr>
            <w:r/>
            <w:r>
              <w:rPr>
                <w:b/>
              </w:rPr>
              <w:t>Support response</w:t>
            </w:r>
          </w:p>
        </w:tc>
      </w:tr>
      <w:tr>
        <w:tc>
          <w:tcPr>
            <w:tcW w:type="dxa" w:w="3389"/>
          </w:tcPr>
          <w:p>
            <w:pPr>
              <w:spacing w:after="40"/>
            </w:pPr>
            <w:r/>
            <w:r>
              <w:rPr>
                <w:b w:val="0"/>
              </w:rPr>
              <w:t>No changes found</w:t>
            </w:r>
          </w:p>
        </w:tc>
        <w:tc>
          <w:tcPr>
            <w:tcW w:type="dxa" w:w="3389"/>
          </w:tcPr>
          <w:p>
            <w:pPr>
              <w:spacing w:after="40"/>
            </w:pPr>
            <w:r/>
            <w:r>
              <w:rPr>
                <w:b w:val="0"/>
              </w:rPr>
              <w:t>The digest may not send an email</w:t>
            </w:r>
          </w:p>
        </w:tc>
        <w:tc>
          <w:tcPr>
            <w:tcW w:type="dxa" w:w="3389"/>
          </w:tcPr>
          <w:p>
            <w:pPr>
              <w:spacing w:after="40"/>
            </w:pPr>
            <w:r/>
            <w:r>
              <w:rPr>
                <w:b w:val="0"/>
              </w:rPr>
              <w:t>Explain that empty digests are suppressed</w:t>
            </w:r>
          </w:p>
        </w:tc>
      </w:tr>
      <w:tr>
        <w:tc>
          <w:tcPr>
            <w:tcW w:type="dxa" w:w="3389"/>
          </w:tcPr>
          <w:p>
            <w:pPr>
              <w:spacing w:after="40"/>
            </w:pPr>
            <w:r/>
            <w:r>
              <w:rPr>
                <w:b w:val="0"/>
              </w:rPr>
              <w:t>Large number of results</w:t>
            </w:r>
          </w:p>
        </w:tc>
        <w:tc>
          <w:tcPr>
            <w:tcW w:type="dxa" w:w="3389"/>
          </w:tcPr>
          <w:p>
            <w:pPr>
              <w:spacing w:after="40"/>
            </w:pPr>
            <w:r/>
            <w:r>
              <w:rPr>
                <w:b w:val="0"/>
              </w:rPr>
              <w:t>Digest includes summary and portal link</w:t>
            </w:r>
          </w:p>
        </w:tc>
        <w:tc>
          <w:tcPr>
            <w:tcW w:type="dxa" w:w="3389"/>
          </w:tcPr>
          <w:p>
            <w:pPr>
              <w:spacing w:after="40"/>
            </w:pPr>
            <w:r/>
            <w:r>
              <w:rPr>
                <w:b w:val="0"/>
              </w:rPr>
              <w:t>Suggest narrowing the saved search</w:t>
            </w:r>
          </w:p>
        </w:tc>
      </w:tr>
      <w:tr>
        <w:tc>
          <w:tcPr>
            <w:tcW w:type="dxa" w:w="3389"/>
          </w:tcPr>
          <w:p>
            <w:pPr>
              <w:spacing w:after="40"/>
            </w:pPr>
            <w:r/>
            <w:r>
              <w:rPr>
                <w:b w:val="0"/>
              </w:rPr>
              <w:t>Shared digest recipients</w:t>
            </w:r>
          </w:p>
        </w:tc>
        <w:tc>
          <w:tcPr>
            <w:tcW w:type="dxa" w:w="3389"/>
          </w:tcPr>
          <w:p>
            <w:pPr>
              <w:spacing w:after="40"/>
            </w:pPr>
            <w:r/>
            <w:r>
              <w:rPr>
                <w:b w:val="0"/>
              </w:rPr>
              <w:t>Only alert managers can edit recipient list</w:t>
            </w:r>
          </w:p>
        </w:tc>
        <w:tc>
          <w:tcPr>
            <w:tcW w:type="dxa" w:w="3389"/>
          </w:tcPr>
          <w:p>
            <w:pPr>
              <w:spacing w:after="40"/>
            </w:pPr>
            <w:r/>
            <w:r>
              <w:rPr>
                <w:b w:val="0"/>
              </w:rPr>
              <w:t>Ask customer admin to confirm permissions</w:t>
            </w:r>
          </w:p>
        </w:tc>
      </w:tr>
      <w:tr>
        <w:tc>
          <w:tcPr>
            <w:tcW w:type="dxa" w:w="3389"/>
          </w:tcPr>
          <w:p>
            <w:pPr>
              <w:spacing w:after="40"/>
            </w:pPr>
            <w:r/>
            <w:r>
              <w:rPr>
                <w:b w:val="0"/>
              </w:rPr>
              <w:t>Changed search criteria</w:t>
            </w:r>
          </w:p>
        </w:tc>
        <w:tc>
          <w:tcPr>
            <w:tcW w:type="dxa" w:w="3389"/>
          </w:tcPr>
          <w:p>
            <w:pPr>
              <w:spacing w:after="40"/>
            </w:pPr>
            <w:r/>
            <w:r>
              <w:rPr>
                <w:b w:val="0"/>
              </w:rPr>
              <w:t>Future digests use new criteria</w:t>
            </w:r>
          </w:p>
        </w:tc>
        <w:tc>
          <w:tcPr>
            <w:tcW w:type="dxa" w:w="3389"/>
          </w:tcPr>
          <w:p>
            <w:pPr>
              <w:spacing w:after="40"/>
            </w:pPr>
            <w:r/>
            <w:r>
              <w:rPr>
                <w:b w:val="0"/>
              </w:rPr>
              <w:t>Review audit trail if results changed unexpectedly</w:t>
            </w:r>
          </w:p>
        </w:tc>
      </w:tr>
    </w:tbl>
    <w:p/>
    <w:p>
      <w:pPr>
        <w:pStyle w:val="Heading1"/>
      </w:pPr>
      <w:r>
        <w:t>Example support questions this document can answer</w:t>
      </w:r>
    </w:p>
    <w:p>
      <w:pPr>
        <w:pStyle w:val="ListBullet"/>
      </w:pPr>
      <w:r>
        <w:t>Do saved searches store results or only criteria?</w:t>
      </w:r>
    </w:p>
    <w:p>
      <w:pPr>
        <w:pStyle w:val="ListBullet"/>
      </w:pPr>
      <w:r>
        <w:t>How do I create a daily digest from a saved search?</w:t>
      </w:r>
    </w:p>
    <w:p>
      <w:pPr>
        <w:pStyle w:val="ListBullet"/>
      </w:pPr>
      <w:r>
        <w:t>Why did a saved-search digest not send an email?</w:t>
      </w:r>
    </w:p>
    <w:p>
      <w:pPr>
        <w:pStyle w:val="Heading1"/>
      </w:pPr>
      <w:r>
        <w:t>Internal handling rule</w:t>
      </w:r>
    </w:p>
    <w:p>
      <w:r>
        <w:t>When an answer is generated from this document, include the document ID, product area, and the section heading used. If the request involves customer entitlement changes, do not perform the change unless the requester is an authorised organisation administrator.</w:t>
      </w:r>
    </w:p>
    <w:sectPr w:rsidR="00FC693F" w:rsidRPr="0006063C" w:rsidSect="00034616">
      <w:headerReference w:type="default" r:id="rId9"/>
      <w:footerReference w:type="default" r:id="rId10"/>
      <w:pgSz w:w="12240" w:h="15840"/>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Fictional training content for MCP/RAG testing. Do not use for real customer operations.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BlueRiver Legal Platforms | Customer Support Knowledge Base | BR-SUP-008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Light" w:hAnsi="Calibri Light"/>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760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Light" w:hAnsi="Calibri Light"/>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CivicLynx Portal - Saved Searches and Digest Configuration</dc:title>
  <dc:subject>CivicLynx Portal and AmendAlert</dc:subject>
  <dc:creator>BlueRiver Training Generator</dc:creator>
  <cp:keywords>saved searches, digest, monitoring, search alerts</cp:keywords>
  <dc:description>Fictional training content for local RAG and MCP testing.</dc:description>
  <cp:lastModifiedBy>BlueRiver Training Generator</cp:lastModifiedBy>
  <cp:revision>1</cp:revision>
  <dcterms:created xsi:type="dcterms:W3CDTF">2013-12-23T23:15:00Z</dcterms:created>
  <dcterms:modified xsi:type="dcterms:W3CDTF">2013-12-23T23:15:00Z</dcterms:modified>
  <cp:category>Synthetic customer support documents</cp:category>
</cp:coreProperties>
</file>