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BlueRiver Legal Platforms</w:t>
      </w:r>
    </w:p>
    <w:p>
      <w:pPr>
        <w:pStyle w:val="Title"/>
        <w:jc w:val="center"/>
      </w:pPr>
      <w:r>
        <w:t>Subscription Plans and Pricing Guide</w:t>
      </w:r>
    </w:p>
    <w:p>
      <w:pPr>
        <w:jc w:val="center"/>
      </w:pPr>
      <w:r>
        <w:rPr>
          <w:color w:val="505050"/>
          <w:sz w:val="26"/>
        </w:rPr>
        <w:t>Customer Support and Sales Reference</w:t>
      </w:r>
    </w:p>
    <w:p>
      <w:pPr>
        <w:jc w:val="center"/>
      </w:pPr>
      <w:r>
        <w:rPr>
          <w:color w:val="646464"/>
          <w:sz w:val="18"/>
        </w:rPr>
        <w:t>Document ID: BRLP-SUB-011  |  Version: 1.0  |  Classification: Internal Training Sample</w:t>
      </w:r>
    </w:p>
    <w:p>
      <w:pPr>
        <w:pStyle w:val="IntenseQuote"/>
        <w:spacing w:before="80" w:after="160"/>
      </w:pPr>
      <w:r>
        <w:rPr>
          <w:sz w:val="18"/>
        </w:rPr>
        <w:t>Important: This is a fictional sample document created for testing a local RAG + MCP document assistant. Product names, company names, prices, support levels, and service details are invented and must not be treated as real commercial information.</w:t>
      </w:r>
    </w:p>
    <w:p>
      <w:pPr>
        <w:pStyle w:val="Heading1"/>
      </w:pPr>
      <w:r>
        <w:t>1. Purpose and Scope</w:t>
      </w:r>
    </w:p>
    <w:p>
      <w:r>
        <w:t>This document helps customer support and account teams explain subscription plans for the BlueRiver product suite. It can also be used as sample pricing data when testing retrieval, summarisation, and question-answering over local Word and PDF files.</w:t>
      </w:r>
    </w:p>
    <w:p>
      <w:pPr>
        <w:pStyle w:val="ListBullet"/>
      </w:pPr>
      <w:r>
        <w:t>CivicLynx Portal: current legislation browsing, search, saved searches, amendment alerts, and account profile management.</w:t>
      </w:r>
    </w:p>
    <w:p>
      <w:pPr>
        <w:pStyle w:val="ListBullet"/>
      </w:pPr>
      <w:r>
        <w:t>EraView Research: point-in-time legal research and comparison of historical legislative versions.</w:t>
      </w:r>
    </w:p>
    <w:p>
      <w:pPr>
        <w:pStyle w:val="ListBullet"/>
      </w:pPr>
      <w:r>
        <w:t>AccessForge: customer account creation, authentication settings, user roles, IP access management, and audit records.</w:t>
      </w:r>
    </w:p>
    <w:p>
      <w:pPr>
        <w:pStyle w:val="ListBullet"/>
      </w:pPr>
      <w:r>
        <w:t>AmendAlert: email alerting service for legislative amendments, saved topics, and weekly digests.</w:t>
      </w:r>
    </w:p>
    <w:p>
      <w:pPr>
        <w:pStyle w:val="Heading1"/>
      </w:pPr>
      <w:r>
        <w:t>2. Subscription Plan Summary</w:t>
      </w:r>
    </w:p>
    <w:tbl>
      <w:tblPr>
        <w:tblStyle w:val="TableGrid"/>
        <w:tblW w:type="auto" w:w="0"/>
        <w:jc w:val="center"/>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074"/>
        <w:gridCol w:w="2074"/>
        <w:gridCol w:w="2074"/>
        <w:gridCol w:w="2074"/>
        <w:gridCol w:w="2074"/>
      </w:tblGrid>
      <w:tr>
        <w:trPr>
          <w:tblHeader w:val="true"/>
        </w:trPr>
        <w:tc>
          <w:tcPr>
            <w:tcW w:type="dxa" w:w="2074"/>
            <w:vAlign w:val="top"/>
            <w:shd w:fill="1F4E79"/>
          </w:tcPr>
          <w:p>
            <w:r/>
            <w:r>
              <w:rPr>
                <w:b/>
                <w:color w:val="FFFFFF"/>
                <w:sz w:val="18"/>
              </w:rPr>
              <w:t>Plan</w:t>
            </w:r>
          </w:p>
        </w:tc>
        <w:tc>
          <w:tcPr>
            <w:tcW w:type="dxa" w:w="2074"/>
            <w:vAlign w:val="top"/>
            <w:shd w:fill="1F4E79"/>
          </w:tcPr>
          <w:p>
            <w:r/>
            <w:r>
              <w:rPr>
                <w:b/>
                <w:color w:val="FFFFFF"/>
                <w:sz w:val="18"/>
              </w:rPr>
              <w:t>Monthly Price (AUD, ex GST)</w:t>
            </w:r>
          </w:p>
        </w:tc>
        <w:tc>
          <w:tcPr>
            <w:tcW w:type="dxa" w:w="2074"/>
            <w:vAlign w:val="top"/>
            <w:shd w:fill="1F4E79"/>
          </w:tcPr>
          <w:p>
            <w:r/>
            <w:r>
              <w:rPr>
                <w:b/>
                <w:color w:val="FFFFFF"/>
                <w:sz w:val="18"/>
              </w:rPr>
              <w:t>Best For</w:t>
            </w:r>
          </w:p>
        </w:tc>
        <w:tc>
          <w:tcPr>
            <w:tcW w:type="dxa" w:w="2074"/>
            <w:vAlign w:val="top"/>
            <w:shd w:fill="1F4E79"/>
          </w:tcPr>
          <w:p>
            <w:r/>
            <w:r>
              <w:rPr>
                <w:b/>
                <w:color w:val="FFFFFF"/>
                <w:sz w:val="18"/>
              </w:rPr>
              <w:t>Named Users</w:t>
            </w:r>
          </w:p>
        </w:tc>
        <w:tc>
          <w:tcPr>
            <w:tcW w:type="dxa" w:w="2074"/>
            <w:vAlign w:val="top"/>
            <w:shd w:fill="1F4E79"/>
          </w:tcPr>
          <w:p>
            <w:r/>
            <w:r>
              <w:rPr>
                <w:b/>
                <w:color w:val="FFFFFF"/>
                <w:sz w:val="18"/>
              </w:rPr>
              <w:t>Main Products Included</w:t>
            </w:r>
          </w:p>
        </w:tc>
      </w:tr>
      <w:tr>
        <w:tc>
          <w:tcPr>
            <w:tcW w:type="dxa" w:w="2074"/>
            <w:vAlign w:val="top"/>
          </w:tcPr>
          <w:p>
            <w:r/>
            <w:r>
              <w:rPr>
                <w:b w:val="0"/>
                <w:sz w:val="17"/>
              </w:rPr>
              <w:t>Standard</w:t>
            </w:r>
          </w:p>
        </w:tc>
        <w:tc>
          <w:tcPr>
            <w:tcW w:type="dxa" w:w="2074"/>
            <w:vAlign w:val="top"/>
          </w:tcPr>
          <w:p>
            <w:r/>
            <w:r>
              <w:rPr>
                <w:b w:val="0"/>
                <w:sz w:val="17"/>
              </w:rPr>
              <w:t>$450 per month</w:t>
            </w:r>
          </w:p>
        </w:tc>
        <w:tc>
          <w:tcPr>
            <w:tcW w:type="dxa" w:w="2074"/>
            <w:vAlign w:val="top"/>
          </w:tcPr>
          <w:p>
            <w:r/>
            <w:r>
              <w:rPr>
                <w:b w:val="0"/>
                <w:sz w:val="17"/>
              </w:rPr>
              <w:t>Small teams needing current legislation search and basic alerts</w:t>
            </w:r>
          </w:p>
        </w:tc>
        <w:tc>
          <w:tcPr>
            <w:tcW w:type="dxa" w:w="2074"/>
            <w:vAlign w:val="top"/>
          </w:tcPr>
          <w:p>
            <w:r/>
            <w:r>
              <w:rPr>
                <w:b w:val="0"/>
                <w:sz w:val="17"/>
              </w:rPr>
              <w:t>Up to 10</w:t>
            </w:r>
          </w:p>
        </w:tc>
        <w:tc>
          <w:tcPr>
            <w:tcW w:type="dxa" w:w="2074"/>
            <w:vAlign w:val="top"/>
          </w:tcPr>
          <w:p>
            <w:r/>
            <w:r>
              <w:rPr>
                <w:b w:val="0"/>
                <w:sz w:val="17"/>
              </w:rPr>
              <w:t>CivicLynx Portal, AmendAlert Basic</w:t>
            </w:r>
          </w:p>
        </w:tc>
      </w:tr>
      <w:tr>
        <w:tc>
          <w:tcPr>
            <w:tcW w:type="dxa" w:w="2074"/>
            <w:vAlign w:val="top"/>
          </w:tcPr>
          <w:p>
            <w:r/>
            <w:r>
              <w:rPr>
                <w:b w:val="0"/>
                <w:sz w:val="17"/>
              </w:rPr>
              <w:t>Premium</w:t>
            </w:r>
          </w:p>
        </w:tc>
        <w:tc>
          <w:tcPr>
            <w:tcW w:type="dxa" w:w="2074"/>
            <w:vAlign w:val="top"/>
          </w:tcPr>
          <w:p>
            <w:r/>
            <w:r>
              <w:rPr>
                <w:b w:val="0"/>
                <w:sz w:val="17"/>
              </w:rPr>
              <w:t>$1,250 per month</w:t>
            </w:r>
          </w:p>
        </w:tc>
        <w:tc>
          <w:tcPr>
            <w:tcW w:type="dxa" w:w="2074"/>
            <w:vAlign w:val="top"/>
          </w:tcPr>
          <w:p>
            <w:r/>
            <w:r>
              <w:rPr>
                <w:b w:val="0"/>
                <w:sz w:val="17"/>
              </w:rPr>
              <w:t>Professional teams needing point-in-time research and advanced alerts</w:t>
            </w:r>
          </w:p>
        </w:tc>
        <w:tc>
          <w:tcPr>
            <w:tcW w:type="dxa" w:w="2074"/>
            <w:vAlign w:val="top"/>
          </w:tcPr>
          <w:p>
            <w:r/>
            <w:r>
              <w:rPr>
                <w:b w:val="0"/>
                <w:sz w:val="17"/>
              </w:rPr>
              <w:t>Up to 50</w:t>
            </w:r>
          </w:p>
        </w:tc>
        <w:tc>
          <w:tcPr>
            <w:tcW w:type="dxa" w:w="2074"/>
            <w:vAlign w:val="top"/>
          </w:tcPr>
          <w:p>
            <w:r/>
            <w:r>
              <w:rPr>
                <w:b w:val="0"/>
                <w:sz w:val="17"/>
              </w:rPr>
              <w:t>CivicLynx Portal, EraView Research, AmendAlert Pro, AccessForge Admin</w:t>
            </w:r>
          </w:p>
        </w:tc>
      </w:tr>
      <w:tr>
        <w:tc>
          <w:tcPr>
            <w:tcW w:type="dxa" w:w="2074"/>
            <w:vAlign w:val="top"/>
          </w:tcPr>
          <w:p>
            <w:r/>
            <w:r>
              <w:rPr>
                <w:b w:val="0"/>
                <w:sz w:val="17"/>
              </w:rPr>
              <w:t>Enterprise</w:t>
            </w:r>
          </w:p>
        </w:tc>
        <w:tc>
          <w:tcPr>
            <w:tcW w:type="dxa" w:w="2074"/>
            <w:vAlign w:val="top"/>
          </w:tcPr>
          <w:p>
            <w:r/>
            <w:r>
              <w:rPr>
                <w:b w:val="0"/>
                <w:sz w:val="17"/>
              </w:rPr>
              <w:t>$3,200 per month</w:t>
            </w:r>
          </w:p>
        </w:tc>
        <w:tc>
          <w:tcPr>
            <w:tcW w:type="dxa" w:w="2074"/>
            <w:vAlign w:val="top"/>
          </w:tcPr>
          <w:p>
            <w:r/>
            <w:r>
              <w:rPr>
                <w:b w:val="0"/>
                <w:sz w:val="17"/>
              </w:rPr>
              <w:t>Large organisations needing SSO, IP access, audit controls, and custom onboarding</w:t>
            </w:r>
          </w:p>
        </w:tc>
        <w:tc>
          <w:tcPr>
            <w:tcW w:type="dxa" w:w="2074"/>
            <w:vAlign w:val="top"/>
          </w:tcPr>
          <w:p>
            <w:r/>
            <w:r>
              <w:rPr>
                <w:b w:val="0"/>
                <w:sz w:val="17"/>
              </w:rPr>
              <w:t>Up to 250 included; additional packs available</w:t>
            </w:r>
          </w:p>
        </w:tc>
        <w:tc>
          <w:tcPr>
            <w:tcW w:type="dxa" w:w="2074"/>
            <w:vAlign w:val="top"/>
          </w:tcPr>
          <w:p>
            <w:r/>
            <w:r>
              <w:rPr>
                <w:b w:val="0"/>
                <w:sz w:val="17"/>
              </w:rPr>
              <w:t>Full suite: CivicLynx, EraView, AccessForge, AmendAlert Enterprise</w:t>
            </w:r>
          </w:p>
        </w:tc>
      </w:tr>
    </w:tbl>
    <w:p>
      <w:pPr>
        <w:pStyle w:val="IntenseQuote"/>
        <w:spacing w:before="80" w:after="160"/>
      </w:pPr>
      <w:r>
        <w:rPr>
          <w:sz w:val="18"/>
        </w:rPr>
        <w:t>Pricing is intentionally fictional. Use these values only to test document retrieval, plan comparison, table extraction, and citation behaviour in an MCP/RAG prototype.</w:t>
      </w:r>
    </w:p>
    <w:p>
      <w:pPr>
        <w:pStyle w:val="Heading1"/>
      </w:pPr>
      <w:r>
        <w:t>3. Services Included by Plan</w:t>
      </w:r>
    </w:p>
    <w:tbl>
      <w:tblPr>
        <w:tblStyle w:val="TableGrid"/>
        <w:tblW w:type="auto" w:w="0"/>
        <w:jc w:val="center"/>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592"/>
        <w:gridCol w:w="2592"/>
        <w:gridCol w:w="2592"/>
        <w:gridCol w:w="2592"/>
      </w:tblGrid>
      <w:tr>
        <w:trPr>
          <w:tblHeader w:val="true"/>
        </w:trPr>
        <w:tc>
          <w:tcPr>
            <w:tcW w:type="dxa" w:w="2592"/>
            <w:vAlign w:val="top"/>
            <w:shd w:fill="1F4E79"/>
          </w:tcPr>
          <w:p>
            <w:r/>
            <w:r>
              <w:rPr>
                <w:b/>
                <w:color w:val="FFFFFF"/>
                <w:sz w:val="17"/>
              </w:rPr>
              <w:t>Feature / Service</w:t>
            </w:r>
          </w:p>
        </w:tc>
        <w:tc>
          <w:tcPr>
            <w:tcW w:type="dxa" w:w="2592"/>
            <w:vAlign w:val="top"/>
            <w:shd w:fill="1F4E79"/>
          </w:tcPr>
          <w:p>
            <w:r/>
            <w:r>
              <w:rPr>
                <w:b/>
                <w:color w:val="FFFFFF"/>
                <w:sz w:val="17"/>
              </w:rPr>
              <w:t>Standard</w:t>
            </w:r>
          </w:p>
        </w:tc>
        <w:tc>
          <w:tcPr>
            <w:tcW w:type="dxa" w:w="2592"/>
            <w:vAlign w:val="top"/>
            <w:shd w:fill="1F4E79"/>
          </w:tcPr>
          <w:p>
            <w:r/>
            <w:r>
              <w:rPr>
                <w:b/>
                <w:color w:val="FFFFFF"/>
                <w:sz w:val="17"/>
              </w:rPr>
              <w:t>Premium</w:t>
            </w:r>
          </w:p>
        </w:tc>
        <w:tc>
          <w:tcPr>
            <w:tcW w:type="dxa" w:w="2592"/>
            <w:vAlign w:val="top"/>
            <w:shd w:fill="1F4E79"/>
          </w:tcPr>
          <w:p>
            <w:r/>
            <w:r>
              <w:rPr>
                <w:b/>
                <w:color w:val="FFFFFF"/>
                <w:sz w:val="17"/>
              </w:rPr>
              <w:t>Enterprise</w:t>
            </w:r>
          </w:p>
        </w:tc>
      </w:tr>
      <w:tr>
        <w:tc>
          <w:tcPr>
            <w:tcW w:type="dxa" w:w="2592"/>
            <w:vAlign w:val="top"/>
            <w:shd w:fill="EAF2F8"/>
          </w:tcPr>
          <w:p>
            <w:r/>
            <w:r>
              <w:rPr>
                <w:b/>
                <w:sz w:val="16"/>
              </w:rPr>
              <w:t>Current legislation search</w:t>
            </w:r>
          </w:p>
        </w:tc>
        <w:tc>
          <w:tcPr>
            <w:tcW w:type="dxa" w:w="2592"/>
            <w:vAlign w:val="top"/>
          </w:tcPr>
          <w:p>
            <w:r/>
            <w:r>
              <w:rPr>
                <w:b w:val="0"/>
                <w:sz w:val="16"/>
              </w:rPr>
              <w:t>Included</w:t>
            </w:r>
          </w:p>
        </w:tc>
        <w:tc>
          <w:tcPr>
            <w:tcW w:type="dxa" w:w="2592"/>
            <w:vAlign w:val="top"/>
          </w:tcPr>
          <w:p>
            <w:r/>
            <w:r>
              <w:rPr>
                <w:b w:val="0"/>
                <w:sz w:val="16"/>
              </w:rPr>
              <w:t>Included</w:t>
            </w:r>
          </w:p>
        </w:tc>
        <w:tc>
          <w:tcPr>
            <w:tcW w:type="dxa" w:w="2592"/>
            <w:vAlign w:val="top"/>
          </w:tcPr>
          <w:p>
            <w:r/>
            <w:r>
              <w:rPr>
                <w:b w:val="0"/>
                <w:sz w:val="16"/>
              </w:rPr>
              <w:t>Included</w:t>
            </w:r>
          </w:p>
        </w:tc>
      </w:tr>
      <w:tr>
        <w:tc>
          <w:tcPr>
            <w:tcW w:type="dxa" w:w="2592"/>
            <w:vAlign w:val="top"/>
            <w:shd w:fill="EAF2F8"/>
          </w:tcPr>
          <w:p>
            <w:r/>
            <w:r>
              <w:rPr>
                <w:b/>
                <w:sz w:val="16"/>
              </w:rPr>
              <w:t>Point-in-time legislation research</w:t>
            </w:r>
          </w:p>
        </w:tc>
        <w:tc>
          <w:tcPr>
            <w:tcW w:type="dxa" w:w="2592"/>
            <w:vAlign w:val="top"/>
          </w:tcPr>
          <w:p>
            <w:r/>
            <w:r>
              <w:rPr>
                <w:b w:val="0"/>
                <w:sz w:val="16"/>
              </w:rPr>
              <w:t>Not included</w:t>
            </w:r>
          </w:p>
        </w:tc>
        <w:tc>
          <w:tcPr>
            <w:tcW w:type="dxa" w:w="2592"/>
            <w:vAlign w:val="top"/>
          </w:tcPr>
          <w:p>
            <w:r/>
            <w:r>
              <w:rPr>
                <w:b w:val="0"/>
                <w:sz w:val="16"/>
              </w:rPr>
              <w:t>Included</w:t>
            </w:r>
          </w:p>
        </w:tc>
        <w:tc>
          <w:tcPr>
            <w:tcW w:type="dxa" w:w="2592"/>
            <w:vAlign w:val="top"/>
          </w:tcPr>
          <w:p>
            <w:r/>
            <w:r>
              <w:rPr>
                <w:b w:val="0"/>
                <w:sz w:val="16"/>
              </w:rPr>
              <w:t>Included</w:t>
            </w:r>
          </w:p>
        </w:tc>
      </w:tr>
      <w:tr>
        <w:tc>
          <w:tcPr>
            <w:tcW w:type="dxa" w:w="2592"/>
            <w:vAlign w:val="top"/>
            <w:shd w:fill="EAF2F8"/>
          </w:tcPr>
          <w:p>
            <w:r/>
            <w:r>
              <w:rPr>
                <w:b/>
                <w:sz w:val="16"/>
              </w:rPr>
              <w:t>Historical version comparison</w:t>
            </w:r>
          </w:p>
        </w:tc>
        <w:tc>
          <w:tcPr>
            <w:tcW w:type="dxa" w:w="2592"/>
            <w:vAlign w:val="top"/>
          </w:tcPr>
          <w:p>
            <w:r/>
            <w:r>
              <w:rPr>
                <w:b w:val="0"/>
                <w:sz w:val="16"/>
              </w:rPr>
              <w:t>Not included</w:t>
            </w:r>
          </w:p>
        </w:tc>
        <w:tc>
          <w:tcPr>
            <w:tcW w:type="dxa" w:w="2592"/>
            <w:vAlign w:val="top"/>
          </w:tcPr>
          <w:p>
            <w:r/>
            <w:r>
              <w:rPr>
                <w:b w:val="0"/>
                <w:sz w:val="16"/>
              </w:rPr>
              <w:t>Included</w:t>
            </w:r>
          </w:p>
        </w:tc>
        <w:tc>
          <w:tcPr>
            <w:tcW w:type="dxa" w:w="2592"/>
            <w:vAlign w:val="top"/>
          </w:tcPr>
          <w:p>
            <w:r/>
            <w:r>
              <w:rPr>
                <w:b w:val="0"/>
                <w:sz w:val="16"/>
              </w:rPr>
              <w:t>Included</w:t>
            </w:r>
          </w:p>
        </w:tc>
      </w:tr>
      <w:tr>
        <w:tc>
          <w:tcPr>
            <w:tcW w:type="dxa" w:w="2592"/>
            <w:vAlign w:val="top"/>
            <w:shd w:fill="EAF2F8"/>
          </w:tcPr>
          <w:p>
            <w:r/>
            <w:r>
              <w:rPr>
                <w:b/>
                <w:sz w:val="16"/>
              </w:rPr>
              <w:t>Email amendment alerts</w:t>
            </w:r>
          </w:p>
        </w:tc>
        <w:tc>
          <w:tcPr>
            <w:tcW w:type="dxa" w:w="2592"/>
            <w:vAlign w:val="top"/>
          </w:tcPr>
          <w:p>
            <w:r/>
            <w:r>
              <w:rPr>
                <w:b w:val="0"/>
                <w:sz w:val="16"/>
              </w:rPr>
              <w:t>Basic: 10 alert profiles</w:t>
            </w:r>
          </w:p>
        </w:tc>
        <w:tc>
          <w:tcPr>
            <w:tcW w:type="dxa" w:w="2592"/>
            <w:vAlign w:val="top"/>
          </w:tcPr>
          <w:p>
            <w:r/>
            <w:r>
              <w:rPr>
                <w:b w:val="0"/>
                <w:sz w:val="16"/>
              </w:rPr>
              <w:t>Pro: 100 alert profiles</w:t>
            </w:r>
          </w:p>
        </w:tc>
        <w:tc>
          <w:tcPr>
            <w:tcW w:type="dxa" w:w="2592"/>
            <w:vAlign w:val="top"/>
          </w:tcPr>
          <w:p>
            <w:r/>
            <w:r>
              <w:rPr>
                <w:b w:val="0"/>
                <w:sz w:val="16"/>
              </w:rPr>
              <w:t>Enterprise: unlimited profiles</w:t>
            </w:r>
          </w:p>
        </w:tc>
      </w:tr>
      <w:tr>
        <w:tc>
          <w:tcPr>
            <w:tcW w:type="dxa" w:w="2592"/>
            <w:vAlign w:val="top"/>
            <w:shd w:fill="EAF2F8"/>
          </w:tcPr>
          <w:p>
            <w:r/>
            <w:r>
              <w:rPr>
                <w:b/>
                <w:sz w:val="16"/>
              </w:rPr>
              <w:t>Saved searches</w:t>
            </w:r>
          </w:p>
        </w:tc>
        <w:tc>
          <w:tcPr>
            <w:tcW w:type="dxa" w:w="2592"/>
            <w:vAlign w:val="top"/>
          </w:tcPr>
          <w:p>
            <w:r/>
            <w:r>
              <w:rPr>
                <w:b w:val="0"/>
                <w:sz w:val="16"/>
              </w:rPr>
              <w:t>25 per organisation</w:t>
            </w:r>
          </w:p>
        </w:tc>
        <w:tc>
          <w:tcPr>
            <w:tcW w:type="dxa" w:w="2592"/>
            <w:vAlign w:val="top"/>
          </w:tcPr>
          <w:p>
            <w:r/>
            <w:r>
              <w:rPr>
                <w:b w:val="0"/>
                <w:sz w:val="16"/>
              </w:rPr>
              <w:t>250 per organisation</w:t>
            </w:r>
          </w:p>
        </w:tc>
        <w:tc>
          <w:tcPr>
            <w:tcW w:type="dxa" w:w="2592"/>
            <w:vAlign w:val="top"/>
          </w:tcPr>
          <w:p>
            <w:r/>
            <w:r>
              <w:rPr>
                <w:b w:val="0"/>
                <w:sz w:val="16"/>
              </w:rPr>
              <w:t>Unlimited, fair-use policy applies</w:t>
            </w:r>
          </w:p>
        </w:tc>
      </w:tr>
      <w:tr>
        <w:tc>
          <w:tcPr>
            <w:tcW w:type="dxa" w:w="2592"/>
            <w:vAlign w:val="top"/>
            <w:shd w:fill="EAF2F8"/>
          </w:tcPr>
          <w:p>
            <w:r/>
            <w:r>
              <w:rPr>
                <w:b/>
                <w:sz w:val="16"/>
              </w:rPr>
              <w:t>Weekly digest emails</w:t>
            </w:r>
          </w:p>
        </w:tc>
        <w:tc>
          <w:tcPr>
            <w:tcW w:type="dxa" w:w="2592"/>
            <w:vAlign w:val="top"/>
          </w:tcPr>
          <w:p>
            <w:r/>
            <w:r>
              <w:rPr>
                <w:b w:val="0"/>
                <w:sz w:val="16"/>
              </w:rPr>
              <w:t>Included</w:t>
            </w:r>
          </w:p>
        </w:tc>
        <w:tc>
          <w:tcPr>
            <w:tcW w:type="dxa" w:w="2592"/>
            <w:vAlign w:val="top"/>
          </w:tcPr>
          <w:p>
            <w:r/>
            <w:r>
              <w:rPr>
                <w:b w:val="0"/>
                <w:sz w:val="16"/>
              </w:rPr>
              <w:t>Included with topic grouping</w:t>
            </w:r>
          </w:p>
        </w:tc>
        <w:tc>
          <w:tcPr>
            <w:tcW w:type="dxa" w:w="2592"/>
            <w:vAlign w:val="top"/>
          </w:tcPr>
          <w:p>
            <w:r/>
            <w:r>
              <w:rPr>
                <w:b w:val="0"/>
                <w:sz w:val="16"/>
              </w:rPr>
              <w:t>Included with custom digest templates</w:t>
            </w:r>
          </w:p>
        </w:tc>
      </w:tr>
      <w:tr>
        <w:tc>
          <w:tcPr>
            <w:tcW w:type="dxa" w:w="2592"/>
            <w:vAlign w:val="top"/>
            <w:shd w:fill="EAF2F8"/>
          </w:tcPr>
          <w:p>
            <w:r/>
            <w:r>
              <w:rPr>
                <w:b/>
                <w:sz w:val="16"/>
              </w:rPr>
              <w:t>Customer account creation</w:t>
            </w:r>
          </w:p>
        </w:tc>
        <w:tc>
          <w:tcPr>
            <w:tcW w:type="dxa" w:w="2592"/>
            <w:vAlign w:val="top"/>
          </w:tcPr>
          <w:p>
            <w:r/>
            <w:r>
              <w:rPr>
                <w:b w:val="0"/>
                <w:sz w:val="16"/>
              </w:rPr>
              <w:t>Support-assisted only</w:t>
            </w:r>
          </w:p>
        </w:tc>
        <w:tc>
          <w:tcPr>
            <w:tcW w:type="dxa" w:w="2592"/>
            <w:vAlign w:val="top"/>
          </w:tcPr>
          <w:p>
            <w:r/>
            <w:r>
              <w:rPr>
                <w:b w:val="0"/>
                <w:sz w:val="16"/>
              </w:rPr>
              <w:t>Self-service admin plus support</w:t>
            </w:r>
          </w:p>
        </w:tc>
        <w:tc>
          <w:tcPr>
            <w:tcW w:type="dxa" w:w="2592"/>
            <w:vAlign w:val="top"/>
          </w:tcPr>
          <w:p>
            <w:r/>
            <w:r>
              <w:rPr>
                <w:b w:val="0"/>
                <w:sz w:val="16"/>
              </w:rPr>
              <w:t>Dedicated onboarding and bulk import</w:t>
            </w:r>
          </w:p>
        </w:tc>
      </w:tr>
      <w:tr>
        <w:tc>
          <w:tcPr>
            <w:tcW w:type="dxa" w:w="2592"/>
            <w:vAlign w:val="top"/>
            <w:shd w:fill="EAF2F8"/>
          </w:tcPr>
          <w:p>
            <w:r/>
            <w:r>
              <w:rPr>
                <w:b/>
                <w:sz w:val="16"/>
              </w:rPr>
              <w:t>User roles</w:t>
            </w:r>
          </w:p>
        </w:tc>
        <w:tc>
          <w:tcPr>
            <w:tcW w:type="dxa" w:w="2592"/>
            <w:vAlign w:val="top"/>
          </w:tcPr>
          <w:p>
            <w:r/>
            <w:r>
              <w:rPr>
                <w:b w:val="0"/>
                <w:sz w:val="16"/>
              </w:rPr>
              <w:t>Reader and Alert Manager</w:t>
            </w:r>
          </w:p>
        </w:tc>
        <w:tc>
          <w:tcPr>
            <w:tcW w:type="dxa" w:w="2592"/>
            <w:vAlign w:val="top"/>
          </w:tcPr>
          <w:p>
            <w:r/>
            <w:r>
              <w:rPr>
                <w:b w:val="0"/>
                <w:sz w:val="16"/>
              </w:rPr>
              <w:t>Reader, Alert Manager, Administrator</w:t>
            </w:r>
          </w:p>
        </w:tc>
        <w:tc>
          <w:tcPr>
            <w:tcW w:type="dxa" w:w="2592"/>
            <w:vAlign w:val="top"/>
          </w:tcPr>
          <w:p>
            <w:r/>
            <w:r>
              <w:rPr>
                <w:b w:val="0"/>
                <w:sz w:val="16"/>
              </w:rPr>
              <w:t>Custom roles and delegated administrators</w:t>
            </w:r>
          </w:p>
        </w:tc>
      </w:tr>
      <w:tr>
        <w:tc>
          <w:tcPr>
            <w:tcW w:type="dxa" w:w="2592"/>
            <w:vAlign w:val="top"/>
            <w:shd w:fill="EAF2F8"/>
          </w:tcPr>
          <w:p>
            <w:r/>
            <w:r>
              <w:rPr>
                <w:b/>
                <w:sz w:val="16"/>
              </w:rPr>
              <w:t>IP-based access</w:t>
            </w:r>
          </w:p>
        </w:tc>
        <w:tc>
          <w:tcPr>
            <w:tcW w:type="dxa" w:w="2592"/>
            <w:vAlign w:val="top"/>
          </w:tcPr>
          <w:p>
            <w:r/>
            <w:r>
              <w:rPr>
                <w:b w:val="0"/>
                <w:sz w:val="16"/>
              </w:rPr>
              <w:t>Not included</w:t>
            </w:r>
          </w:p>
        </w:tc>
        <w:tc>
          <w:tcPr>
            <w:tcW w:type="dxa" w:w="2592"/>
            <w:vAlign w:val="top"/>
          </w:tcPr>
          <w:p>
            <w:r/>
            <w:r>
              <w:rPr>
                <w:b w:val="0"/>
                <w:sz w:val="16"/>
              </w:rPr>
              <w:t>Available as paid add-on</w:t>
            </w:r>
          </w:p>
        </w:tc>
        <w:tc>
          <w:tcPr>
            <w:tcW w:type="dxa" w:w="2592"/>
            <w:vAlign w:val="top"/>
          </w:tcPr>
          <w:p>
            <w:r/>
            <w:r>
              <w:rPr>
                <w:b w:val="0"/>
                <w:sz w:val="16"/>
              </w:rPr>
              <w:t>Included</w:t>
            </w:r>
          </w:p>
        </w:tc>
      </w:tr>
      <w:tr>
        <w:tc>
          <w:tcPr>
            <w:tcW w:type="dxa" w:w="2592"/>
            <w:vAlign w:val="top"/>
            <w:shd w:fill="EAF2F8"/>
          </w:tcPr>
          <w:p>
            <w:r/>
            <w:r>
              <w:rPr>
                <w:b/>
                <w:sz w:val="16"/>
              </w:rPr>
              <w:t>Single sign-on</w:t>
            </w:r>
          </w:p>
        </w:tc>
        <w:tc>
          <w:tcPr>
            <w:tcW w:type="dxa" w:w="2592"/>
            <w:vAlign w:val="top"/>
          </w:tcPr>
          <w:p>
            <w:r/>
            <w:r>
              <w:rPr>
                <w:b w:val="0"/>
                <w:sz w:val="16"/>
              </w:rPr>
              <w:t>Not included</w:t>
            </w:r>
          </w:p>
        </w:tc>
        <w:tc>
          <w:tcPr>
            <w:tcW w:type="dxa" w:w="2592"/>
            <w:vAlign w:val="top"/>
          </w:tcPr>
          <w:p>
            <w:r/>
            <w:r>
              <w:rPr>
                <w:b w:val="0"/>
                <w:sz w:val="16"/>
              </w:rPr>
              <w:t>Optional setup fee</w:t>
            </w:r>
          </w:p>
        </w:tc>
        <w:tc>
          <w:tcPr>
            <w:tcW w:type="dxa" w:w="2592"/>
            <w:vAlign w:val="top"/>
          </w:tcPr>
          <w:p>
            <w:r/>
            <w:r>
              <w:rPr>
                <w:b w:val="0"/>
                <w:sz w:val="16"/>
              </w:rPr>
              <w:t>Included for SAML 2.0 or OIDC</w:t>
            </w:r>
          </w:p>
        </w:tc>
      </w:tr>
      <w:tr>
        <w:tc>
          <w:tcPr>
            <w:tcW w:type="dxa" w:w="2592"/>
            <w:vAlign w:val="top"/>
            <w:shd w:fill="EAF2F8"/>
          </w:tcPr>
          <w:p>
            <w:r/>
            <w:r>
              <w:rPr>
                <w:b/>
                <w:sz w:val="16"/>
              </w:rPr>
              <w:t>API access</w:t>
            </w:r>
          </w:p>
        </w:tc>
        <w:tc>
          <w:tcPr>
            <w:tcW w:type="dxa" w:w="2592"/>
            <w:vAlign w:val="top"/>
          </w:tcPr>
          <w:p>
            <w:r/>
            <w:r>
              <w:rPr>
                <w:b w:val="0"/>
                <w:sz w:val="16"/>
              </w:rPr>
              <w:t>Not included</w:t>
            </w:r>
          </w:p>
        </w:tc>
        <w:tc>
          <w:tcPr>
            <w:tcW w:type="dxa" w:w="2592"/>
            <w:vAlign w:val="top"/>
          </w:tcPr>
          <w:p>
            <w:r/>
            <w:r>
              <w:rPr>
                <w:b w:val="0"/>
                <w:sz w:val="16"/>
              </w:rPr>
              <w:t>Read-only research API add-on</w:t>
            </w:r>
          </w:p>
        </w:tc>
        <w:tc>
          <w:tcPr>
            <w:tcW w:type="dxa" w:w="2592"/>
            <w:vAlign w:val="top"/>
          </w:tcPr>
          <w:p>
            <w:r/>
            <w:r>
              <w:rPr>
                <w:b w:val="0"/>
                <w:sz w:val="16"/>
              </w:rPr>
              <w:t>Included with fair-use limits</w:t>
            </w:r>
          </w:p>
        </w:tc>
      </w:tr>
      <w:tr>
        <w:tc>
          <w:tcPr>
            <w:tcW w:type="dxa" w:w="2592"/>
            <w:vAlign w:val="top"/>
            <w:shd w:fill="EAF2F8"/>
          </w:tcPr>
          <w:p>
            <w:r/>
            <w:r>
              <w:rPr>
                <w:b/>
                <w:sz w:val="16"/>
              </w:rPr>
              <w:t>Audit logs</w:t>
            </w:r>
          </w:p>
        </w:tc>
        <w:tc>
          <w:tcPr>
            <w:tcW w:type="dxa" w:w="2592"/>
            <w:vAlign w:val="top"/>
          </w:tcPr>
          <w:p>
            <w:r/>
            <w:r>
              <w:rPr>
                <w:b w:val="0"/>
                <w:sz w:val="16"/>
              </w:rPr>
              <w:t>30 days</w:t>
            </w:r>
          </w:p>
        </w:tc>
        <w:tc>
          <w:tcPr>
            <w:tcW w:type="dxa" w:w="2592"/>
            <w:vAlign w:val="top"/>
          </w:tcPr>
          <w:p>
            <w:r/>
            <w:r>
              <w:rPr>
                <w:b w:val="0"/>
                <w:sz w:val="16"/>
              </w:rPr>
              <w:t>180 days</w:t>
            </w:r>
          </w:p>
        </w:tc>
        <w:tc>
          <w:tcPr>
            <w:tcW w:type="dxa" w:w="2592"/>
            <w:vAlign w:val="top"/>
          </w:tcPr>
          <w:p>
            <w:r/>
            <w:r>
              <w:rPr>
                <w:b w:val="0"/>
                <w:sz w:val="16"/>
              </w:rPr>
              <w:t>24 months</w:t>
            </w:r>
          </w:p>
        </w:tc>
      </w:tr>
      <w:tr>
        <w:tc>
          <w:tcPr>
            <w:tcW w:type="dxa" w:w="2592"/>
            <w:vAlign w:val="top"/>
            <w:shd w:fill="EAF2F8"/>
          </w:tcPr>
          <w:p>
            <w:r/>
            <w:r>
              <w:rPr>
                <w:b/>
                <w:sz w:val="16"/>
              </w:rPr>
              <w:t>Support level</w:t>
            </w:r>
          </w:p>
        </w:tc>
        <w:tc>
          <w:tcPr>
            <w:tcW w:type="dxa" w:w="2592"/>
            <w:vAlign w:val="top"/>
          </w:tcPr>
          <w:p>
            <w:r/>
            <w:r>
              <w:rPr>
                <w:b w:val="0"/>
                <w:sz w:val="16"/>
              </w:rPr>
              <w:t>Email support, 2 business day response</w:t>
            </w:r>
          </w:p>
        </w:tc>
        <w:tc>
          <w:tcPr>
            <w:tcW w:type="dxa" w:w="2592"/>
            <w:vAlign w:val="top"/>
          </w:tcPr>
          <w:p>
            <w:r/>
            <w:r>
              <w:rPr>
                <w:b w:val="0"/>
                <w:sz w:val="16"/>
              </w:rPr>
              <w:t>Priority email support, 1 business day response</w:t>
            </w:r>
          </w:p>
        </w:tc>
        <w:tc>
          <w:tcPr>
            <w:tcW w:type="dxa" w:w="2592"/>
            <w:vAlign w:val="top"/>
          </w:tcPr>
          <w:p>
            <w:r/>
            <w:r>
              <w:rPr>
                <w:b w:val="0"/>
                <w:sz w:val="16"/>
              </w:rPr>
              <w:t>Priority support, 4 business hour response for critical issues</w:t>
            </w:r>
          </w:p>
        </w:tc>
      </w:tr>
    </w:tbl>
    <w:p>
      <w:pPr>
        <w:pStyle w:val="Heading1"/>
      </w:pPr>
      <w:r>
        <w:t>4. Plan Details</w:t>
      </w:r>
    </w:p>
    <w:p>
      <w:pPr>
        <w:pStyle w:val="Heading2"/>
      </w:pPr>
      <w:r>
        <w:t>4.1 Standard Plan</w:t>
      </w:r>
    </w:p>
    <w:p>
      <w:r>
        <w:t>The Standard plan is suitable for smaller customers who mainly need current legislation search and simple amendment notifications.</w:t>
      </w:r>
    </w:p>
    <w:p>
      <w:pPr>
        <w:pStyle w:val="ListBullet"/>
      </w:pPr>
      <w:r>
        <w:t>Monthly price: AUD $450 excluding GST.</w:t>
      </w:r>
    </w:p>
    <w:p>
      <w:pPr>
        <w:pStyle w:val="ListBullet"/>
      </w:pPr>
      <w:r>
        <w:t>Annual price: AUD $4,860 excluding GST when paid yearly, representing a 10% discount compared with monthly billing.</w:t>
      </w:r>
    </w:p>
    <w:p>
      <w:pPr>
        <w:pStyle w:val="ListBullet"/>
      </w:pPr>
      <w:r>
        <w:t>Includes up to 10 named users and one organisation administrator maintained by support.</w:t>
      </w:r>
    </w:p>
    <w:p>
      <w:pPr>
        <w:pStyle w:val="ListBullet"/>
      </w:pPr>
      <w:r>
        <w:t>Includes CivicLynx Portal search, bookmarks, up to 25 saved searches, and AmendAlert Basic with up to 10 alert profiles.</w:t>
      </w:r>
    </w:p>
    <w:p>
      <w:pPr>
        <w:pStyle w:val="ListBullet"/>
      </w:pPr>
      <w:r>
        <w:t>Does not include EraView point-in-time research, IP-based access, SSO, bulk user imports, or API access.</w:t>
      </w:r>
    </w:p>
    <w:p>
      <w:pPr>
        <w:pStyle w:val="Heading2"/>
      </w:pPr>
      <w:r>
        <w:t>4.2 Premium Plan</w:t>
      </w:r>
    </w:p>
    <w:p>
      <w:r>
        <w:t>The Premium plan is suitable for legal research teams that need deeper historical research and flexible alert management.</w:t>
      </w:r>
    </w:p>
    <w:p>
      <w:pPr>
        <w:pStyle w:val="ListBullet"/>
      </w:pPr>
      <w:r>
        <w:t>Monthly price: AUD $1,250 excluding GST.</w:t>
      </w:r>
    </w:p>
    <w:p>
      <w:pPr>
        <w:pStyle w:val="ListBullet"/>
      </w:pPr>
      <w:r>
        <w:t>Annual price: AUD $13,500 excluding GST when paid yearly, representing a 10% discount compared with monthly billing.</w:t>
      </w:r>
    </w:p>
    <w:p>
      <w:pPr>
        <w:pStyle w:val="ListBullet"/>
      </w:pPr>
      <w:r>
        <w:t>Includes up to 50 named users and up to five organisation administrators.</w:t>
      </w:r>
    </w:p>
    <w:p>
      <w:pPr>
        <w:pStyle w:val="ListBullet"/>
      </w:pPr>
      <w:r>
        <w:t>Includes CivicLynx Portal, EraView Research, AmendAlert Pro, and AccessForge administration features.</w:t>
      </w:r>
    </w:p>
    <w:p>
      <w:pPr>
        <w:pStyle w:val="ListBullet"/>
      </w:pPr>
      <w:r>
        <w:t>Includes point-in-time research, historical version comparison, up to 250 saved searches, and 100 alert profiles.</w:t>
      </w:r>
    </w:p>
    <w:p>
      <w:pPr>
        <w:pStyle w:val="ListBullet"/>
      </w:pPr>
      <w:r>
        <w:t>IP-based access may be purchased as an add-on at AUD $250 per month per organisation.</w:t>
      </w:r>
    </w:p>
    <w:p>
      <w:pPr>
        <w:pStyle w:val="ListBullet"/>
      </w:pPr>
      <w:r>
        <w:t>SSO setup may be requested as a one-off implementation service at AUD $1,500 excluding GST.</w:t>
      </w:r>
    </w:p>
    <w:p>
      <w:pPr>
        <w:pStyle w:val="Heading2"/>
      </w:pPr>
      <w:r>
        <w:t>4.3 Enterprise Plan</w:t>
      </w:r>
    </w:p>
    <w:p>
      <w:r>
        <w:t>The Enterprise plan is suitable for government, university, library, and corporate customers that need centralised access control and higher support assurance.</w:t>
      </w:r>
    </w:p>
    <w:p>
      <w:pPr>
        <w:pStyle w:val="ListBullet"/>
      </w:pPr>
      <w:r>
        <w:t>Monthly price: AUD $3,200 excluding GST.</w:t>
      </w:r>
    </w:p>
    <w:p>
      <w:pPr>
        <w:pStyle w:val="ListBullet"/>
      </w:pPr>
      <w:r>
        <w:t>Annual price: AUD $34,560 excluding GST when paid yearly, representing a 10% discount compared with monthly billing.</w:t>
      </w:r>
    </w:p>
    <w:p>
      <w:pPr>
        <w:pStyle w:val="ListBullet"/>
      </w:pPr>
      <w:r>
        <w:t>Includes up to 250 named users. Additional 100-user packs are available at AUD $600 per month.</w:t>
      </w:r>
    </w:p>
    <w:p>
      <w:pPr>
        <w:pStyle w:val="ListBullet"/>
      </w:pPr>
      <w:r>
        <w:t>Includes the full BlueRiver product suite: CivicLynx Portal, EraView Research, AccessForge, and AmendAlert Enterprise.</w:t>
      </w:r>
    </w:p>
    <w:p>
      <w:pPr>
        <w:pStyle w:val="ListBullet"/>
      </w:pPr>
      <w:r>
        <w:t>Includes IP-based access, SAML 2.0 or OIDC single sign-on, bulk user import, audit exports, and read-only API access.</w:t>
      </w:r>
    </w:p>
    <w:p>
      <w:pPr>
        <w:pStyle w:val="ListBullet"/>
      </w:pPr>
      <w:r>
        <w:t>Includes a dedicated onboarding session, quarterly service review, and priority support response targets.</w:t>
      </w:r>
    </w:p>
    <w:p>
      <w:r>
        <w:br w:type="page"/>
      </w:r>
    </w:p>
    <w:p>
      <w:pPr>
        <w:pStyle w:val="Heading1"/>
      </w:pPr>
      <w:r>
        <w:t>5. Add-ons and One-off Services</w:t>
      </w:r>
    </w:p>
    <w:tbl>
      <w:tblPr>
        <w:tblStyle w:val="TableGrid"/>
        <w:tblW w:type="auto" w:w="0"/>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592"/>
        <w:gridCol w:w="2592"/>
        <w:gridCol w:w="2592"/>
        <w:gridCol w:w="2592"/>
      </w:tblGrid>
      <w:tr>
        <w:trPr>
          <w:tblHeader w:val="true"/>
        </w:trPr>
        <w:tc>
          <w:tcPr>
            <w:tcW w:type="dxa" w:w="2592"/>
            <w:vAlign w:val="top"/>
            <w:shd w:fill="1F4E79"/>
          </w:tcPr>
          <w:p>
            <w:r/>
            <w:r>
              <w:rPr>
                <w:b/>
                <w:color w:val="FFFFFF"/>
                <w:sz w:val="17"/>
              </w:rPr>
              <w:t>Add-on / Service</w:t>
            </w:r>
          </w:p>
        </w:tc>
        <w:tc>
          <w:tcPr>
            <w:tcW w:type="dxa" w:w="2592"/>
            <w:vAlign w:val="top"/>
            <w:shd w:fill="1F4E79"/>
          </w:tcPr>
          <w:p>
            <w:r/>
            <w:r>
              <w:rPr>
                <w:b/>
                <w:color w:val="FFFFFF"/>
                <w:sz w:val="17"/>
              </w:rPr>
              <w:t>Available On</w:t>
            </w:r>
          </w:p>
        </w:tc>
        <w:tc>
          <w:tcPr>
            <w:tcW w:type="dxa" w:w="2592"/>
            <w:vAlign w:val="top"/>
            <w:shd w:fill="1F4E79"/>
          </w:tcPr>
          <w:p>
            <w:r/>
            <w:r>
              <w:rPr>
                <w:b/>
                <w:color w:val="FFFFFF"/>
                <w:sz w:val="17"/>
              </w:rPr>
              <w:t>Price (AUD, ex GST)</w:t>
            </w:r>
          </w:p>
        </w:tc>
        <w:tc>
          <w:tcPr>
            <w:tcW w:type="dxa" w:w="2592"/>
            <w:vAlign w:val="top"/>
            <w:shd w:fill="1F4E79"/>
          </w:tcPr>
          <w:p>
            <w:r/>
            <w:r>
              <w:rPr>
                <w:b/>
                <w:color w:val="FFFFFF"/>
                <w:sz w:val="17"/>
              </w:rPr>
              <w:t>Description</w:t>
            </w:r>
          </w:p>
        </w:tc>
      </w:tr>
      <w:tr>
        <w:tc>
          <w:tcPr>
            <w:tcW w:type="dxa" w:w="2592"/>
            <w:vAlign w:val="top"/>
            <w:shd w:fill="EAF2F8"/>
          </w:tcPr>
          <w:p>
            <w:r/>
            <w:r>
              <w:rPr>
                <w:b/>
                <w:sz w:val="16"/>
              </w:rPr>
              <w:t>Additional 10 named users</w:t>
            </w:r>
          </w:p>
        </w:tc>
        <w:tc>
          <w:tcPr>
            <w:tcW w:type="dxa" w:w="2592"/>
            <w:vAlign w:val="top"/>
          </w:tcPr>
          <w:p>
            <w:r/>
            <w:r>
              <w:rPr>
                <w:b w:val="0"/>
                <w:sz w:val="16"/>
              </w:rPr>
              <w:t>Standard, Premium</w:t>
            </w:r>
          </w:p>
        </w:tc>
        <w:tc>
          <w:tcPr>
            <w:tcW w:type="dxa" w:w="2592"/>
            <w:vAlign w:val="top"/>
          </w:tcPr>
          <w:p>
            <w:r/>
            <w:r>
              <w:rPr>
                <w:b w:val="0"/>
                <w:sz w:val="16"/>
              </w:rPr>
              <w:t>$120 per month</w:t>
            </w:r>
          </w:p>
        </w:tc>
        <w:tc>
          <w:tcPr>
            <w:tcW w:type="dxa" w:w="2592"/>
            <w:vAlign w:val="top"/>
          </w:tcPr>
          <w:p>
            <w:r/>
            <w:r>
              <w:rPr>
                <w:b w:val="0"/>
                <w:sz w:val="16"/>
              </w:rPr>
              <w:t>Adds 10 named users to the organisation subscription.</w:t>
            </w:r>
          </w:p>
        </w:tc>
      </w:tr>
      <w:tr>
        <w:tc>
          <w:tcPr>
            <w:tcW w:type="dxa" w:w="2592"/>
            <w:vAlign w:val="top"/>
            <w:shd w:fill="EAF2F8"/>
          </w:tcPr>
          <w:p>
            <w:r/>
            <w:r>
              <w:rPr>
                <w:b/>
                <w:sz w:val="16"/>
              </w:rPr>
              <w:t>Additional 100 named users</w:t>
            </w:r>
          </w:p>
        </w:tc>
        <w:tc>
          <w:tcPr>
            <w:tcW w:type="dxa" w:w="2592"/>
            <w:vAlign w:val="top"/>
          </w:tcPr>
          <w:p>
            <w:r/>
            <w:r>
              <w:rPr>
                <w:b w:val="0"/>
                <w:sz w:val="16"/>
              </w:rPr>
              <w:t>Enterprise</w:t>
            </w:r>
          </w:p>
        </w:tc>
        <w:tc>
          <w:tcPr>
            <w:tcW w:type="dxa" w:w="2592"/>
            <w:vAlign w:val="top"/>
          </w:tcPr>
          <w:p>
            <w:r/>
            <w:r>
              <w:rPr>
                <w:b w:val="0"/>
                <w:sz w:val="16"/>
              </w:rPr>
              <w:t>$600 per month</w:t>
            </w:r>
          </w:p>
        </w:tc>
        <w:tc>
          <w:tcPr>
            <w:tcW w:type="dxa" w:w="2592"/>
            <w:vAlign w:val="top"/>
          </w:tcPr>
          <w:p>
            <w:r/>
            <w:r>
              <w:rPr>
                <w:b w:val="0"/>
                <w:sz w:val="16"/>
              </w:rPr>
              <w:t>Adds 100 named users for large organisations.</w:t>
            </w:r>
          </w:p>
        </w:tc>
      </w:tr>
      <w:tr>
        <w:tc>
          <w:tcPr>
            <w:tcW w:type="dxa" w:w="2592"/>
            <w:vAlign w:val="top"/>
            <w:shd w:fill="EAF2F8"/>
          </w:tcPr>
          <w:p>
            <w:r/>
            <w:r>
              <w:rPr>
                <w:b/>
                <w:sz w:val="16"/>
              </w:rPr>
              <w:t>IP-based access add-on</w:t>
            </w:r>
          </w:p>
        </w:tc>
        <w:tc>
          <w:tcPr>
            <w:tcW w:type="dxa" w:w="2592"/>
            <w:vAlign w:val="top"/>
          </w:tcPr>
          <w:p>
            <w:r/>
            <w:r>
              <w:rPr>
                <w:b w:val="0"/>
                <w:sz w:val="16"/>
              </w:rPr>
              <w:t>Premium</w:t>
            </w:r>
          </w:p>
        </w:tc>
        <w:tc>
          <w:tcPr>
            <w:tcW w:type="dxa" w:w="2592"/>
            <w:vAlign w:val="top"/>
          </w:tcPr>
          <w:p>
            <w:r/>
            <w:r>
              <w:rPr>
                <w:b w:val="0"/>
                <w:sz w:val="16"/>
              </w:rPr>
              <w:t>$250 per month</w:t>
            </w:r>
          </w:p>
        </w:tc>
        <w:tc>
          <w:tcPr>
            <w:tcW w:type="dxa" w:w="2592"/>
            <w:vAlign w:val="top"/>
          </w:tcPr>
          <w:p>
            <w:r/>
            <w:r>
              <w:rPr>
                <w:b w:val="0"/>
                <w:sz w:val="16"/>
              </w:rPr>
              <w:t>Allows access from approved customer public IP ranges.</w:t>
            </w:r>
          </w:p>
        </w:tc>
      </w:tr>
      <w:tr>
        <w:tc>
          <w:tcPr>
            <w:tcW w:type="dxa" w:w="2592"/>
            <w:vAlign w:val="top"/>
            <w:shd w:fill="EAF2F8"/>
          </w:tcPr>
          <w:p>
            <w:r/>
            <w:r>
              <w:rPr>
                <w:b/>
                <w:sz w:val="16"/>
              </w:rPr>
              <w:t>SSO implementation</w:t>
            </w:r>
          </w:p>
        </w:tc>
        <w:tc>
          <w:tcPr>
            <w:tcW w:type="dxa" w:w="2592"/>
            <w:vAlign w:val="top"/>
          </w:tcPr>
          <w:p>
            <w:r/>
            <w:r>
              <w:rPr>
                <w:b w:val="0"/>
                <w:sz w:val="16"/>
              </w:rPr>
              <w:t>Premium</w:t>
            </w:r>
          </w:p>
        </w:tc>
        <w:tc>
          <w:tcPr>
            <w:tcW w:type="dxa" w:w="2592"/>
            <w:vAlign w:val="top"/>
          </w:tcPr>
          <w:p>
            <w:r/>
            <w:r>
              <w:rPr>
                <w:b w:val="0"/>
                <w:sz w:val="16"/>
              </w:rPr>
              <w:t>$1,500 one-off</w:t>
            </w:r>
          </w:p>
        </w:tc>
        <w:tc>
          <w:tcPr>
            <w:tcW w:type="dxa" w:w="2592"/>
            <w:vAlign w:val="top"/>
          </w:tcPr>
          <w:p>
            <w:r/>
            <w:r>
              <w:rPr>
                <w:b w:val="0"/>
                <w:sz w:val="16"/>
              </w:rPr>
              <w:t>Configuration of SAML 2.0 or OIDC SSO with customer identity provider.</w:t>
            </w:r>
          </w:p>
        </w:tc>
      </w:tr>
      <w:tr>
        <w:tc>
          <w:tcPr>
            <w:tcW w:type="dxa" w:w="2592"/>
            <w:vAlign w:val="top"/>
            <w:shd w:fill="EAF2F8"/>
          </w:tcPr>
          <w:p>
            <w:r/>
            <w:r>
              <w:rPr>
                <w:b/>
                <w:sz w:val="16"/>
              </w:rPr>
              <w:t>Bulk user import</w:t>
            </w:r>
          </w:p>
        </w:tc>
        <w:tc>
          <w:tcPr>
            <w:tcW w:type="dxa" w:w="2592"/>
            <w:vAlign w:val="top"/>
          </w:tcPr>
          <w:p>
            <w:r/>
            <w:r>
              <w:rPr>
                <w:b w:val="0"/>
                <w:sz w:val="16"/>
              </w:rPr>
              <w:t>Premium, Enterprise</w:t>
            </w:r>
          </w:p>
        </w:tc>
        <w:tc>
          <w:tcPr>
            <w:tcW w:type="dxa" w:w="2592"/>
            <w:vAlign w:val="top"/>
          </w:tcPr>
          <w:p>
            <w:r/>
            <w:r>
              <w:rPr>
                <w:b w:val="0"/>
                <w:sz w:val="16"/>
              </w:rPr>
              <w:t>$350 per import</w:t>
            </w:r>
          </w:p>
        </w:tc>
        <w:tc>
          <w:tcPr>
            <w:tcW w:type="dxa" w:w="2592"/>
            <w:vAlign w:val="top"/>
          </w:tcPr>
          <w:p>
            <w:r/>
            <w:r>
              <w:rPr>
                <w:b w:val="0"/>
                <w:sz w:val="16"/>
              </w:rPr>
              <w:t>CSV-based import of users, roles, and alert ownership.</w:t>
            </w:r>
          </w:p>
        </w:tc>
      </w:tr>
      <w:tr>
        <w:tc>
          <w:tcPr>
            <w:tcW w:type="dxa" w:w="2592"/>
            <w:vAlign w:val="top"/>
            <w:shd w:fill="EAF2F8"/>
          </w:tcPr>
          <w:p>
            <w:r/>
            <w:r>
              <w:rPr>
                <w:b/>
                <w:sz w:val="16"/>
              </w:rPr>
              <w:t>Custom alert template</w:t>
            </w:r>
          </w:p>
        </w:tc>
        <w:tc>
          <w:tcPr>
            <w:tcW w:type="dxa" w:w="2592"/>
            <w:vAlign w:val="top"/>
          </w:tcPr>
          <w:p>
            <w:r/>
            <w:r>
              <w:rPr>
                <w:b w:val="0"/>
                <w:sz w:val="16"/>
              </w:rPr>
              <w:t>Enterprise</w:t>
            </w:r>
          </w:p>
        </w:tc>
        <w:tc>
          <w:tcPr>
            <w:tcW w:type="dxa" w:w="2592"/>
            <w:vAlign w:val="top"/>
          </w:tcPr>
          <w:p>
            <w:r/>
            <w:r>
              <w:rPr>
                <w:b w:val="0"/>
                <w:sz w:val="16"/>
              </w:rPr>
              <w:t>$900 one-off</w:t>
            </w:r>
          </w:p>
        </w:tc>
        <w:tc>
          <w:tcPr>
            <w:tcW w:type="dxa" w:w="2592"/>
            <w:vAlign w:val="top"/>
          </w:tcPr>
          <w:p>
            <w:r/>
            <w:r>
              <w:rPr>
                <w:b w:val="0"/>
                <w:sz w:val="16"/>
              </w:rPr>
              <w:t>Custom email branding and alert format for AmendAlert digests.</w:t>
            </w:r>
          </w:p>
        </w:tc>
      </w:tr>
      <w:tr>
        <w:tc>
          <w:tcPr>
            <w:tcW w:type="dxa" w:w="2592"/>
            <w:vAlign w:val="top"/>
            <w:shd w:fill="EAF2F8"/>
          </w:tcPr>
          <w:p>
            <w:r/>
            <w:r>
              <w:rPr>
                <w:b/>
                <w:sz w:val="16"/>
              </w:rPr>
              <w:t>API usage increase</w:t>
            </w:r>
          </w:p>
        </w:tc>
        <w:tc>
          <w:tcPr>
            <w:tcW w:type="dxa" w:w="2592"/>
            <w:vAlign w:val="top"/>
          </w:tcPr>
          <w:p>
            <w:r/>
            <w:r>
              <w:rPr>
                <w:b w:val="0"/>
                <w:sz w:val="16"/>
              </w:rPr>
              <w:t>Enterprise</w:t>
            </w:r>
          </w:p>
        </w:tc>
        <w:tc>
          <w:tcPr>
            <w:tcW w:type="dxa" w:w="2592"/>
            <w:vAlign w:val="top"/>
          </w:tcPr>
          <w:p>
            <w:r/>
            <w:r>
              <w:rPr>
                <w:b w:val="0"/>
                <w:sz w:val="16"/>
              </w:rPr>
              <w:t>Quoted case by case</w:t>
            </w:r>
          </w:p>
        </w:tc>
        <w:tc>
          <w:tcPr>
            <w:tcW w:type="dxa" w:w="2592"/>
            <w:vAlign w:val="top"/>
          </w:tcPr>
          <w:p>
            <w:r/>
            <w:r>
              <w:rPr>
                <w:b w:val="0"/>
                <w:sz w:val="16"/>
              </w:rPr>
              <w:t>Higher request limits for approved integration workloads.</w:t>
            </w:r>
          </w:p>
        </w:tc>
      </w:tr>
      <w:tr>
        <w:tc>
          <w:tcPr>
            <w:tcW w:type="dxa" w:w="2592"/>
            <w:vAlign w:val="top"/>
            <w:shd w:fill="EAF2F8"/>
          </w:tcPr>
          <w:p>
            <w:r/>
            <w:r>
              <w:rPr>
                <w:b/>
                <w:sz w:val="16"/>
              </w:rPr>
              <w:t>Training session</w:t>
            </w:r>
          </w:p>
        </w:tc>
        <w:tc>
          <w:tcPr>
            <w:tcW w:type="dxa" w:w="2592"/>
            <w:vAlign w:val="top"/>
          </w:tcPr>
          <w:p>
            <w:r/>
            <w:r>
              <w:rPr>
                <w:b w:val="0"/>
                <w:sz w:val="16"/>
              </w:rPr>
              <w:t>All plans</w:t>
            </w:r>
          </w:p>
        </w:tc>
        <w:tc>
          <w:tcPr>
            <w:tcW w:type="dxa" w:w="2592"/>
            <w:vAlign w:val="top"/>
          </w:tcPr>
          <w:p>
            <w:r/>
            <w:r>
              <w:rPr>
                <w:b w:val="0"/>
                <w:sz w:val="16"/>
              </w:rPr>
              <w:t>$650 per session</w:t>
            </w:r>
          </w:p>
        </w:tc>
        <w:tc>
          <w:tcPr>
            <w:tcW w:type="dxa" w:w="2592"/>
            <w:vAlign w:val="top"/>
          </w:tcPr>
          <w:p>
            <w:r/>
            <w:r>
              <w:rPr>
                <w:b w:val="0"/>
                <w:sz w:val="16"/>
              </w:rPr>
              <w:t>Remote 90-minute training session for users or administrators.</w:t>
            </w:r>
          </w:p>
        </w:tc>
      </w:tr>
    </w:tbl>
    <w:p>
      <w:pPr>
        <w:pStyle w:val="Heading1"/>
      </w:pPr>
      <w:r>
        <w:t>6. Access and Account Rules</w:t>
      </w:r>
    </w:p>
    <w:p>
      <w:r>
        <w:t>Subscription access is controlled through AccessForge. Customer support must confirm the subscribed plan before enabling products or add-ons.</w:t>
      </w:r>
    </w:p>
    <w:p>
      <w:pPr>
        <w:pStyle w:val="ListBullet"/>
      </w:pPr>
      <w:r>
        <w:t>Named users must have a unique work email address. Shared mailbox access is not permitted for named-user login.</w:t>
      </w:r>
    </w:p>
    <w:p>
      <w:pPr>
        <w:pStyle w:val="ListBullet"/>
      </w:pPr>
      <w:r>
        <w:t>IP-based access requires the customer to provide public static IP addresses or CIDR ranges. Private addresses such as 10.x.x.x, 172.16.x.x, and 192.168.x.x must not be registered.</w:t>
      </w:r>
    </w:p>
    <w:p>
      <w:pPr>
        <w:pStyle w:val="ListBullet"/>
      </w:pPr>
      <w:r>
        <w:t>Customers requesting IP access must provide the organisation name, technical contact, approved IP ranges, effective date, and confirmation that the IPs are controlled by the organisation.</w:t>
      </w:r>
    </w:p>
    <w:p>
      <w:pPr>
        <w:pStyle w:val="ListBullet"/>
      </w:pPr>
      <w:r>
        <w:t>For Premium customers, IP access is not enabled unless the IP add-on is active on the account.</w:t>
      </w:r>
    </w:p>
    <w:p>
      <w:pPr>
        <w:pStyle w:val="ListBullet"/>
      </w:pPr>
      <w:r>
        <w:t>For Enterprise customers, IP access is included but still requires support verification and approval before activation.</w:t>
      </w:r>
    </w:p>
    <w:p>
      <w:pPr>
        <w:pStyle w:val="Heading1"/>
      </w:pPr>
      <w:r>
        <w:t>7. Alert Entitlements</w:t>
      </w:r>
    </w:p>
    <w:p>
      <w:r>
        <w:t>AmendAlert entitlements differ by plan and should be checked before support creates or migrates alert profiles.</w:t>
      </w:r>
    </w:p>
    <w:tbl>
      <w:tblPr>
        <w:tblStyle w:val="TableGrid"/>
        <w:tblW w:type="auto" w:w="0"/>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592"/>
        <w:gridCol w:w="2592"/>
        <w:gridCol w:w="2592"/>
        <w:gridCol w:w="2592"/>
      </w:tblGrid>
      <w:tr>
        <w:trPr>
          <w:tblHeader w:val="true"/>
        </w:trPr>
        <w:tc>
          <w:tcPr>
            <w:tcW w:type="dxa" w:w="2592"/>
            <w:shd w:fill="1F4E79"/>
          </w:tcPr>
          <w:p>
            <w:r/>
            <w:r>
              <w:rPr>
                <w:b/>
                <w:color w:val="FFFFFF"/>
                <w:sz w:val="17"/>
              </w:rPr>
              <w:t>Entitlement</w:t>
            </w:r>
          </w:p>
        </w:tc>
        <w:tc>
          <w:tcPr>
            <w:tcW w:type="dxa" w:w="2592"/>
            <w:shd w:fill="1F4E79"/>
          </w:tcPr>
          <w:p>
            <w:r/>
            <w:r>
              <w:rPr>
                <w:b/>
                <w:color w:val="FFFFFF"/>
                <w:sz w:val="17"/>
              </w:rPr>
              <w:t>Standard</w:t>
            </w:r>
          </w:p>
        </w:tc>
        <w:tc>
          <w:tcPr>
            <w:tcW w:type="dxa" w:w="2592"/>
            <w:shd w:fill="1F4E79"/>
          </w:tcPr>
          <w:p>
            <w:r/>
            <w:r>
              <w:rPr>
                <w:b/>
                <w:color w:val="FFFFFF"/>
                <w:sz w:val="17"/>
              </w:rPr>
              <w:t>Premium</w:t>
            </w:r>
          </w:p>
        </w:tc>
        <w:tc>
          <w:tcPr>
            <w:tcW w:type="dxa" w:w="2592"/>
            <w:shd w:fill="1F4E79"/>
          </w:tcPr>
          <w:p>
            <w:r/>
            <w:r>
              <w:rPr>
                <w:b/>
                <w:color w:val="FFFFFF"/>
                <w:sz w:val="17"/>
              </w:rPr>
              <w:t>Enterprise</w:t>
            </w:r>
          </w:p>
        </w:tc>
      </w:tr>
      <w:tr>
        <w:tc>
          <w:tcPr>
            <w:tcW w:type="dxa" w:w="2592"/>
            <w:shd w:fill="EAF2F8"/>
          </w:tcPr>
          <w:p>
            <w:r/>
            <w:r>
              <w:rPr>
                <w:b/>
                <w:sz w:val="16"/>
              </w:rPr>
              <w:t>Alert profiles</w:t>
            </w:r>
          </w:p>
        </w:tc>
        <w:tc>
          <w:tcPr>
            <w:tcW w:type="dxa" w:w="2592"/>
          </w:tcPr>
          <w:p>
            <w:r/>
            <w:r>
              <w:rPr>
                <w:b w:val="0"/>
                <w:sz w:val="16"/>
              </w:rPr>
              <w:t>10</w:t>
            </w:r>
          </w:p>
        </w:tc>
        <w:tc>
          <w:tcPr>
            <w:tcW w:type="dxa" w:w="2592"/>
          </w:tcPr>
          <w:p>
            <w:r/>
            <w:r>
              <w:rPr>
                <w:b w:val="0"/>
                <w:sz w:val="16"/>
              </w:rPr>
              <w:t>100</w:t>
            </w:r>
          </w:p>
        </w:tc>
        <w:tc>
          <w:tcPr>
            <w:tcW w:type="dxa" w:w="2592"/>
          </w:tcPr>
          <w:p>
            <w:r/>
            <w:r>
              <w:rPr>
                <w:b w:val="0"/>
                <w:sz w:val="16"/>
              </w:rPr>
              <w:t>Unlimited under fair-use policy</w:t>
            </w:r>
          </w:p>
        </w:tc>
      </w:tr>
      <w:tr>
        <w:tc>
          <w:tcPr>
            <w:tcW w:type="dxa" w:w="2592"/>
            <w:shd w:fill="EAF2F8"/>
          </w:tcPr>
          <w:p>
            <w:r/>
            <w:r>
              <w:rPr>
                <w:b/>
                <w:sz w:val="16"/>
              </w:rPr>
              <w:t>Alert frequency</w:t>
            </w:r>
          </w:p>
        </w:tc>
        <w:tc>
          <w:tcPr>
            <w:tcW w:type="dxa" w:w="2592"/>
          </w:tcPr>
          <w:p>
            <w:r/>
            <w:r>
              <w:rPr>
                <w:b w:val="0"/>
                <w:sz w:val="16"/>
              </w:rPr>
              <w:t>Daily or weekly</w:t>
            </w:r>
          </w:p>
        </w:tc>
        <w:tc>
          <w:tcPr>
            <w:tcW w:type="dxa" w:w="2592"/>
          </w:tcPr>
          <w:p>
            <w:r/>
            <w:r>
              <w:rPr>
                <w:b w:val="0"/>
                <w:sz w:val="16"/>
              </w:rPr>
              <w:t>Immediate, daily, or weekly</w:t>
            </w:r>
          </w:p>
        </w:tc>
        <w:tc>
          <w:tcPr>
            <w:tcW w:type="dxa" w:w="2592"/>
          </w:tcPr>
          <w:p>
            <w:r/>
            <w:r>
              <w:rPr>
                <w:b w:val="0"/>
                <w:sz w:val="16"/>
              </w:rPr>
              <w:t>Immediate, daily, weekly, or custom digest window</w:t>
            </w:r>
          </w:p>
        </w:tc>
      </w:tr>
      <w:tr>
        <w:tc>
          <w:tcPr>
            <w:tcW w:type="dxa" w:w="2592"/>
            <w:shd w:fill="EAF2F8"/>
          </w:tcPr>
          <w:p>
            <w:r/>
            <w:r>
              <w:rPr>
                <w:b/>
                <w:sz w:val="16"/>
              </w:rPr>
              <w:t>Alert scope</w:t>
            </w:r>
          </w:p>
        </w:tc>
        <w:tc>
          <w:tcPr>
            <w:tcW w:type="dxa" w:w="2592"/>
          </w:tcPr>
          <w:p>
            <w:r/>
            <w:r>
              <w:rPr>
                <w:b w:val="0"/>
                <w:sz w:val="16"/>
              </w:rPr>
              <w:t>Current legislation only</w:t>
            </w:r>
          </w:p>
        </w:tc>
        <w:tc>
          <w:tcPr>
            <w:tcW w:type="dxa" w:w="2592"/>
          </w:tcPr>
          <w:p>
            <w:r/>
            <w:r>
              <w:rPr>
                <w:b w:val="0"/>
                <w:sz w:val="16"/>
              </w:rPr>
              <w:t>Current and selected historical research updates</w:t>
            </w:r>
          </w:p>
        </w:tc>
        <w:tc>
          <w:tcPr>
            <w:tcW w:type="dxa" w:w="2592"/>
          </w:tcPr>
          <w:p>
            <w:r/>
            <w:r>
              <w:rPr>
                <w:b w:val="0"/>
                <w:sz w:val="16"/>
              </w:rPr>
              <w:t>Current, historical, portfolio-based, and custom topic alerts</w:t>
            </w:r>
          </w:p>
        </w:tc>
      </w:tr>
      <w:tr>
        <w:tc>
          <w:tcPr>
            <w:tcW w:type="dxa" w:w="2592"/>
            <w:shd w:fill="EAF2F8"/>
          </w:tcPr>
          <w:p>
            <w:r/>
            <w:r>
              <w:rPr>
                <w:b/>
                <w:sz w:val="16"/>
              </w:rPr>
              <w:t>Delivery recipients</w:t>
            </w:r>
          </w:p>
        </w:tc>
        <w:tc>
          <w:tcPr>
            <w:tcW w:type="dxa" w:w="2592"/>
          </w:tcPr>
          <w:p>
            <w:r/>
            <w:r>
              <w:rPr>
                <w:b w:val="0"/>
                <w:sz w:val="16"/>
              </w:rPr>
              <w:t>Named users only</w:t>
            </w:r>
          </w:p>
        </w:tc>
        <w:tc>
          <w:tcPr>
            <w:tcW w:type="dxa" w:w="2592"/>
          </w:tcPr>
          <w:p>
            <w:r/>
            <w:r>
              <w:rPr>
                <w:b w:val="0"/>
                <w:sz w:val="16"/>
              </w:rPr>
              <w:t>Named users and approved team mailboxes</w:t>
            </w:r>
          </w:p>
        </w:tc>
        <w:tc>
          <w:tcPr>
            <w:tcW w:type="dxa" w:w="2592"/>
          </w:tcPr>
          <w:p>
            <w:r/>
            <w:r>
              <w:rPr>
                <w:b w:val="0"/>
                <w:sz w:val="16"/>
              </w:rPr>
              <w:t>Named users, team mailboxes, and approved integration endpoints</w:t>
            </w:r>
          </w:p>
        </w:tc>
      </w:tr>
      <w:tr>
        <w:tc>
          <w:tcPr>
            <w:tcW w:type="dxa" w:w="2592"/>
            <w:shd w:fill="EAF2F8"/>
          </w:tcPr>
          <w:p>
            <w:r/>
            <w:r>
              <w:rPr>
                <w:b/>
                <w:sz w:val="16"/>
              </w:rPr>
              <w:t>Template branding</w:t>
            </w:r>
          </w:p>
        </w:tc>
        <w:tc>
          <w:tcPr>
            <w:tcW w:type="dxa" w:w="2592"/>
          </w:tcPr>
          <w:p>
            <w:r/>
            <w:r>
              <w:rPr>
                <w:b w:val="0"/>
                <w:sz w:val="16"/>
              </w:rPr>
              <w:t>BlueRiver default</w:t>
            </w:r>
          </w:p>
        </w:tc>
        <w:tc>
          <w:tcPr>
            <w:tcW w:type="dxa" w:w="2592"/>
          </w:tcPr>
          <w:p>
            <w:r/>
            <w:r>
              <w:rPr>
                <w:b w:val="0"/>
                <w:sz w:val="16"/>
              </w:rPr>
              <w:t>BlueRiver default with customer name</w:t>
            </w:r>
          </w:p>
        </w:tc>
        <w:tc>
          <w:tcPr>
            <w:tcW w:type="dxa" w:w="2592"/>
          </w:tcPr>
          <w:p>
            <w:r/>
            <w:r>
              <w:rPr>
                <w:b w:val="0"/>
                <w:sz w:val="16"/>
              </w:rPr>
              <w:t>Customer-branded template available</w:t>
            </w:r>
          </w:p>
        </w:tc>
      </w:tr>
    </w:tbl>
    <w:p>
      <w:pPr>
        <w:pStyle w:val="Heading1"/>
      </w:pPr>
      <w:r>
        <w:t>8. Upgrade and Downgrade Handling</w:t>
      </w:r>
    </w:p>
    <w:p>
      <w:pPr>
        <w:pStyle w:val="ListNumber"/>
      </w:pPr>
      <w:r>
        <w:t>Confirm the customer organisation, current plan, renewal date, billing contact, and requested change.</w:t>
      </w:r>
    </w:p>
    <w:p>
      <w:pPr>
        <w:pStyle w:val="ListNumber"/>
      </w:pPr>
      <w:r>
        <w:t>Check whether the requested change affects user limits, alert profile limits, IP access, SSO, API access, or audit-log retention.</w:t>
      </w:r>
    </w:p>
    <w:p>
      <w:pPr>
        <w:pStyle w:val="ListNumber"/>
      </w:pPr>
      <w:r>
        <w:t>For upgrades, enable the new entitlements in AccessForge only after sales approval or account manager confirmation.</w:t>
      </w:r>
    </w:p>
    <w:p>
      <w:pPr>
        <w:pStyle w:val="ListNumber"/>
      </w:pPr>
      <w:r>
        <w:t>For downgrades, warn the customer if their current usage exceeds the target plan limit. Do not delete users or alert profiles without written customer approval.</w:t>
      </w:r>
    </w:p>
    <w:p>
      <w:pPr>
        <w:pStyle w:val="ListNumber"/>
      </w:pPr>
      <w:r>
        <w:t>Record the change in the customer account notes and include the effective date, approving person, and support ticket number.</w:t>
      </w:r>
    </w:p>
    <w:p>
      <w:pPr>
        <w:pStyle w:val="Heading1"/>
      </w:pPr>
      <w:r>
        <w:t>9. Common Support Questions</w:t>
      </w:r>
    </w:p>
    <w:p>
      <w:pPr>
        <w:spacing w:after="40"/>
      </w:pPr>
      <w:r>
        <w:rPr>
          <w:b/>
          <w:sz w:val="19"/>
        </w:rPr>
        <w:t>Q: Can a Standard customer use point-in-time research?</w:t>
      </w:r>
    </w:p>
    <w:p>
      <w:pPr>
        <w:spacing w:after="100"/>
        <w:ind w:left="216"/>
      </w:pPr>
      <w:r>
        <w:t>A: No. EraView Research is included only in Premium and Enterprise. The support team may offer a Premium trial if approved by Sales.</w:t>
      </w:r>
    </w:p>
    <w:p>
      <w:pPr>
        <w:spacing w:after="40"/>
      </w:pPr>
      <w:r>
        <w:rPr>
          <w:b/>
          <w:sz w:val="19"/>
        </w:rPr>
        <w:t>Q: Can a Premium customer use IP-based access?</w:t>
      </w:r>
    </w:p>
    <w:p>
      <w:pPr>
        <w:spacing w:after="100"/>
        <w:ind w:left="216"/>
      </w:pPr>
      <w:r>
        <w:t>A: Yes, but only when the IP-based access add-on is active. Without the add-on, Premium customers must use named-user login.</w:t>
      </w:r>
    </w:p>
    <w:p>
      <w:pPr>
        <w:spacing w:after="40"/>
      </w:pPr>
      <w:r>
        <w:rPr>
          <w:b/>
          <w:sz w:val="19"/>
        </w:rPr>
        <w:t>Q: What information is needed to enable IP-based access?</w:t>
      </w:r>
    </w:p>
    <w:p>
      <w:pPr>
        <w:spacing w:after="100"/>
        <w:ind w:left="216"/>
      </w:pPr>
      <w:r>
        <w:t>A: The customer must provide public static IP addresses or CIDR ranges, organisation name, technical contact, preferred activation date, and confirmation that the IP ranges are controlled by the customer.</w:t>
      </w:r>
    </w:p>
    <w:p>
      <w:pPr>
        <w:spacing w:after="40"/>
      </w:pPr>
      <w:r>
        <w:rPr>
          <w:b/>
          <w:sz w:val="19"/>
        </w:rPr>
        <w:t>Q: Does Enterprise include SSO?</w:t>
      </w:r>
    </w:p>
    <w:p>
      <w:pPr>
        <w:spacing w:after="100"/>
        <w:ind w:left="216"/>
      </w:pPr>
      <w:r>
        <w:t>A: Yes. Enterprise includes SAML 2.0 or OIDC SSO configuration as part of onboarding, subject to customer identity-provider readiness.</w:t>
      </w:r>
    </w:p>
    <w:p>
      <w:pPr>
        <w:spacing w:after="40"/>
      </w:pPr>
      <w:r>
        <w:rPr>
          <w:b/>
          <w:sz w:val="19"/>
        </w:rPr>
        <w:t>Q: Are prices inclusive of GST?</w:t>
      </w:r>
    </w:p>
    <w:p>
      <w:pPr>
        <w:spacing w:after="100"/>
        <w:ind w:left="216"/>
      </w:pPr>
      <w:r>
        <w:t>A: No. All listed prices are fictional AUD values excluding GST.</w:t>
      </w:r>
    </w:p>
    <w:p>
      <w:pPr>
        <w:pStyle w:val="Heading1"/>
      </w:pPr>
      <w:r>
        <w:t>10. RAG Testing Prompts</w:t>
      </w:r>
    </w:p>
    <w:p>
      <w:r>
        <w:t>Use the following prompts to test whether the local document assistant can retrieve subscription and entitlement details from this file:</w:t>
      </w:r>
    </w:p>
    <w:p>
      <w:pPr>
        <w:pStyle w:val="ListBullet"/>
      </w:pPr>
      <w:r>
        <w:t>Compare the Standard, Premium, and Enterprise plans and show the monthly prices.</w:t>
      </w:r>
    </w:p>
    <w:p>
      <w:pPr>
        <w:pStyle w:val="ListBullet"/>
      </w:pPr>
      <w:r>
        <w:t>Which plan includes IP-based access by default?</w:t>
      </w:r>
    </w:p>
    <w:p>
      <w:pPr>
        <w:pStyle w:val="ListBullet"/>
      </w:pPr>
      <w:r>
        <w:t>Can a Premium customer set up IP-based access? If yes, what is the add-on price?</w:t>
      </w:r>
    </w:p>
    <w:p>
      <w:pPr>
        <w:pStyle w:val="ListBullet"/>
      </w:pPr>
      <w:r>
        <w:t>What is included in the Enterprise plan that is not included in the Standard plan?</w:t>
      </w:r>
    </w:p>
    <w:p>
      <w:pPr>
        <w:pStyle w:val="ListBullet"/>
      </w:pPr>
      <w:r>
        <w:t>What information must a customer provide before IP-based access can be enabled?</w:t>
      </w:r>
    </w:p>
    <w:p>
      <w:pPr>
        <w:pStyle w:val="ListBullet"/>
      </w:pPr>
      <w:r>
        <w:t>What are the email alert limits for each subscription plan?</w:t>
      </w:r>
    </w:p>
    <w:p>
      <w:pPr>
        <w:pStyle w:val="Heading1"/>
      </w:pPr>
      <w:r>
        <w:t>11. Document Control</w:t>
      </w:r>
    </w:p>
    <w:tbl>
      <w:tblPr>
        <w:tblStyle w:val="TableGrid"/>
        <w:tblW w:type="auto" w:w="0"/>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5184"/>
        <w:gridCol w:w="5184"/>
      </w:tblGrid>
      <w:tr>
        <w:trPr>
          <w:tblHeader w:val="true"/>
        </w:trPr>
        <w:tc>
          <w:tcPr>
            <w:tcW w:type="dxa" w:w="5184"/>
            <w:shd w:fill="1F4E79"/>
          </w:tcPr>
          <w:p>
            <w:r/>
            <w:r>
              <w:rPr>
                <w:b/>
                <w:color w:val="FFFFFF"/>
                <w:sz w:val="17"/>
              </w:rPr>
              <w:t>Field</w:t>
            </w:r>
          </w:p>
        </w:tc>
        <w:tc>
          <w:tcPr>
            <w:tcW w:type="dxa" w:w="5184"/>
            <w:shd w:fill="1F4E79"/>
          </w:tcPr>
          <w:p>
            <w:r/>
            <w:r>
              <w:rPr>
                <w:b/>
                <w:color w:val="FFFFFF"/>
                <w:sz w:val="17"/>
              </w:rPr>
              <w:t>Value</w:t>
            </w:r>
          </w:p>
        </w:tc>
      </w:tr>
      <w:tr>
        <w:tc>
          <w:tcPr>
            <w:tcW w:type="dxa" w:w="5184"/>
            <w:shd w:fill="EAF2F8"/>
          </w:tcPr>
          <w:p>
            <w:r/>
            <w:r>
              <w:rPr>
                <w:b/>
                <w:sz w:val="17"/>
              </w:rPr>
              <w:t>Owner</w:t>
            </w:r>
          </w:p>
        </w:tc>
        <w:tc>
          <w:tcPr>
            <w:tcW w:type="dxa" w:w="5184"/>
          </w:tcPr>
          <w:p>
            <w:r/>
            <w:r>
              <w:rPr>
                <w:b w:val="0"/>
                <w:sz w:val="17"/>
              </w:rPr>
              <w:t>Customer Support Enablement</w:t>
            </w:r>
          </w:p>
        </w:tc>
      </w:tr>
      <w:tr>
        <w:tc>
          <w:tcPr>
            <w:tcW w:type="dxa" w:w="5184"/>
            <w:shd w:fill="EAF2F8"/>
          </w:tcPr>
          <w:p>
            <w:r/>
            <w:r>
              <w:rPr>
                <w:b/>
                <w:sz w:val="17"/>
              </w:rPr>
              <w:t>Review cycle</w:t>
            </w:r>
          </w:p>
        </w:tc>
        <w:tc>
          <w:tcPr>
            <w:tcW w:type="dxa" w:w="5184"/>
          </w:tcPr>
          <w:p>
            <w:r/>
            <w:r>
              <w:rPr>
                <w:b w:val="0"/>
                <w:sz w:val="17"/>
              </w:rPr>
              <w:t>Quarterly for sample data refresh</w:t>
            </w:r>
          </w:p>
        </w:tc>
      </w:tr>
      <w:tr>
        <w:tc>
          <w:tcPr>
            <w:tcW w:type="dxa" w:w="5184"/>
            <w:shd w:fill="EAF2F8"/>
          </w:tcPr>
          <w:p>
            <w:r/>
            <w:r>
              <w:rPr>
                <w:b/>
                <w:sz w:val="17"/>
              </w:rPr>
              <w:t>Applies to</w:t>
            </w:r>
          </w:p>
        </w:tc>
        <w:tc>
          <w:tcPr>
            <w:tcW w:type="dxa" w:w="5184"/>
          </w:tcPr>
          <w:p>
            <w:r/>
            <w:r>
              <w:rPr>
                <w:b w:val="0"/>
                <w:sz w:val="17"/>
              </w:rPr>
              <w:t>CivicLynx Portal, EraView Research, AccessForge, and AmendAlert</w:t>
            </w:r>
          </w:p>
        </w:tc>
      </w:tr>
      <w:tr>
        <w:tc>
          <w:tcPr>
            <w:tcW w:type="dxa" w:w="5184"/>
            <w:shd w:fill="EAF2F8"/>
          </w:tcPr>
          <w:p>
            <w:r/>
            <w:r>
              <w:rPr>
                <w:b/>
                <w:sz w:val="17"/>
              </w:rPr>
              <w:t>Related sample documents</w:t>
            </w:r>
          </w:p>
        </w:tc>
        <w:tc>
          <w:tcPr>
            <w:tcW w:type="dxa" w:w="5184"/>
          </w:tcPr>
          <w:p>
            <w:r/>
            <w:r>
              <w:rPr>
                <w:b w:val="0"/>
                <w:sz w:val="17"/>
              </w:rPr>
              <w:t>Customer Profile Creation Guide; IP-Based Access Registration; Email Alerts Setup Guide; Subscription Onboarding Checklist</w:t>
            </w:r>
          </w:p>
        </w:tc>
      </w:tr>
      <w:tr>
        <w:tc>
          <w:tcPr>
            <w:tcW w:type="dxa" w:w="5184"/>
            <w:shd w:fill="EAF2F8"/>
          </w:tcPr>
          <w:p>
            <w:r/>
            <w:r>
              <w:rPr>
                <w:b/>
                <w:sz w:val="17"/>
              </w:rPr>
              <w:t>Status</w:t>
            </w:r>
          </w:p>
        </w:tc>
        <w:tc>
          <w:tcPr>
            <w:tcW w:type="dxa" w:w="5184"/>
          </w:tcPr>
          <w:p>
            <w:r/>
            <w:r>
              <w:rPr>
                <w:b w:val="0"/>
                <w:sz w:val="17"/>
              </w:rPr>
              <w:t>Fictional sample - approved for local RAG/MCP testing</w:t>
            </w:r>
          </w:p>
        </w:tc>
      </w:tr>
    </w:tbl>
    <w:sectPr w:rsidR="00FC693F" w:rsidRPr="0006063C" w:rsidSect="00034616">
      <w:footerReference w:type="default" r:id="rId9"/>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BlueRiver Legal Platforms - Fictional sample document for MCP/RAG testing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Plans and Pricing Guide</dc:title>
  <dc:subject>Fictional subscription plans, prices, entitlements, and support levels for RAG/MCP sample data</dc:subject>
  <dc:creator>OpenAI</dc:creator>
  <cp:keywords>subscription, pricing, standard, premium, enterprise, IP access, alerts, RAG, MCP, fictional</cp:keywords>
  <dc:description>generated by python-docx</dc:description>
  <cp:lastModifiedBy/>
  <cp:revision>1</cp:revision>
  <dcterms:created xsi:type="dcterms:W3CDTF">2013-12-23T23:15:00Z</dcterms:created>
  <dcterms:modified xsi:type="dcterms:W3CDTF">2013-12-23T23:15:00Z</dcterms:modified>
  <cp:category/>
</cp:coreProperties>
</file>