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both"/>
      </w:pPr>
      <w:r>
        <w:rPr>
          <w:rFonts w:ascii="Arial" w:cs="Arial" w:eastAsia="Arial" w:hAnsi="Arial"/>
          <w:b/>
          <w:bCs/>
          <w:sz w:val="24"/>
          <w:szCs w:val="24"/>
        </w:rPr>
        <w:t xml:space="preserve">EXCELENTÍSSIMO SENHOR DESEMBARGADOR RELATOR DA ___ª CÂMARA CÍVEL — DIREITO PRIVADO DO EGRÉGIO TRIBUNAL DE JUSTIÇA DO ESTADO DO RIO DE JANEIRO</w:t>
      </w:r>
    </w:p>
    <w:p>
      <w:pPr>
        <w:spacing w:after="120"/>
      </w:pPr>
      <w:r>
        <w:t xml:space="preserve"/>
      </w:r>
    </w:p>
    <w:p>
      <w:pPr>
        <w:spacing w:after="120" w:before="0" w:line="360"/>
        <w:jc w:val="both"/>
      </w:pPr>
      <w:r>
        <w:rPr>
          <w:rFonts w:ascii="Arial" w:cs="Arial" w:eastAsia="Arial" w:hAnsi="Arial"/>
          <w:b/>
          <w:bCs/>
          <w:sz w:val="24"/>
          <w:szCs w:val="24"/>
        </w:rPr>
        <w:t xml:space="preserve">Agravo de Instrumento nº 0020679-11.2026.8.19.0000</w:t>
      </w:r>
    </w:p>
    <w:p>
      <w:pPr>
        <w:spacing w:after="120" w:before="0" w:line="360"/>
        <w:jc w:val="both"/>
      </w:pPr>
      <w:r>
        <w:rPr>
          <w:rFonts w:ascii="Arial" w:cs="Arial" w:eastAsia="Arial" w:hAnsi="Arial"/>
          <w:sz w:val="24"/>
          <w:szCs w:val="24"/>
        </w:rPr>
        <w:t xml:space="preserve">Processo de Origem nº 0268186-64.2015.8.19.0001</w:t>
      </w:r>
    </w:p>
    <w:p>
      <w:pPr>
        <w:spacing w:after="120" w:before="0" w:line="360"/>
        <w:jc w:val="both"/>
      </w:pPr>
      <w:r>
        <w:rPr>
          <w:rFonts w:ascii="Arial" w:cs="Arial" w:eastAsia="Arial" w:hAnsi="Arial"/>
          <w:sz w:val="24"/>
          <w:szCs w:val="24"/>
        </w:rPr>
        <w:t xml:space="preserve">Juízo de Origem: 5ª Vara Empresarial da Comarca da Capital/RJ</w:t>
      </w:r>
    </w:p>
    <w:p>
      <w:pPr>
        <w:spacing w:after="120" w:before="0" w:line="360"/>
        <w:jc w:val="both"/>
      </w:pPr>
      <w:r>
        <w:rPr>
          <w:rFonts w:ascii="Arial" w:cs="Arial" w:eastAsia="Arial" w:hAnsi="Arial"/>
          <w:sz w:val="24"/>
          <w:szCs w:val="24"/>
        </w:rPr>
        <w:t xml:space="preserve">Agravante: NORONHA ENGENHARIA S/A — MASSA FALIDA</w:t>
      </w:r>
    </w:p>
    <w:p>
      <w:pPr>
        <w:spacing w:after="120" w:before="0" w:line="360"/>
        <w:jc w:val="both"/>
      </w:pPr>
      <w:r>
        <w:rPr>
          <w:rFonts w:ascii="Arial" w:cs="Arial" w:eastAsia="Arial" w:hAnsi="Arial"/>
          <w:sz w:val="24"/>
          <w:szCs w:val="24"/>
        </w:rPr>
        <w:t xml:space="preserve">Agravado: GOMES DE MATTOS ADVOGADOS ASSOCIADOS — Administrador Judicial nomeado por sentença de 02/03/2026</w:t>
      </w:r>
    </w:p>
    <w:p>
      <w:pPr>
        <w:spacing w:after="120"/>
      </w:pPr>
      <w:r>
        <w:t xml:space="preserve"/>
      </w:r>
    </w:p>
    <w:p>
      <w:pPr>
        <w:spacing w:after="120" w:before="0" w:line="360"/>
        <w:jc w:val="both"/>
      </w:pPr>
      <w:r>
        <w:rPr>
          <w:rFonts w:ascii="Arial" w:cs="Arial" w:eastAsia="Arial" w:hAnsi="Arial"/>
          <w:b/>
          <w:bCs/>
          <w:sz w:val="24"/>
          <w:szCs w:val="24"/>
        </w:rPr>
        <w:t xml:space="preserve">GOMES DE MATTOS ADVOGADOS ASSOCIADOS</w:t>
      </w:r>
      <w:r>
        <w:rPr>
          <w:rFonts w:ascii="Arial" w:cs="Arial" w:eastAsia="Arial" w:hAnsi="Arial"/>
          <w:sz w:val="24"/>
          <w:szCs w:val="24"/>
        </w:rPr>
        <w:t xml:space="preserve">, escritório regularmente nomeado, por r. sentença prolatada em 02 de março de 2026, ID 2105406363/2105935498 (fls. 3.298/3.302), para o exercício do múnus de </w:t>
      </w:r>
      <w:r>
        <w:rPr>
          <w:rFonts w:ascii="Arial" w:cs="Arial" w:eastAsia="Arial" w:hAnsi="Arial"/>
          <w:b/>
          <w:bCs/>
          <w:sz w:val="24"/>
          <w:szCs w:val="24"/>
        </w:rPr>
        <w:t xml:space="preserve">Administrador Judicial</w:t>
      </w:r>
      <w:r>
        <w:rPr>
          <w:rFonts w:ascii="Arial" w:cs="Arial" w:eastAsia="Arial" w:hAnsi="Arial"/>
          <w:sz w:val="24"/>
          <w:szCs w:val="24"/>
        </w:rPr>
        <w:t xml:space="preserve"> da </w:t>
      </w:r>
      <w:r>
        <w:rPr>
          <w:rFonts w:ascii="Arial" w:cs="Arial" w:eastAsia="Arial" w:hAnsi="Arial"/>
          <w:b/>
          <w:bCs/>
          <w:sz w:val="24"/>
          <w:szCs w:val="24"/>
        </w:rPr>
        <w:t xml:space="preserve">Massa Falida de NORONHA ENGENHARIA S/A</w:t>
      </w:r>
      <w:r>
        <w:rPr>
          <w:rFonts w:ascii="Arial" w:cs="Arial" w:eastAsia="Arial" w:hAnsi="Arial"/>
          <w:sz w:val="24"/>
          <w:szCs w:val="24"/>
        </w:rPr>
        <w:t xml:space="preserve">, CNPJ 33.451.311/0001-26, por seu representante </w:t>
      </w:r>
      <w:r>
        <w:rPr>
          <w:rFonts w:ascii="Arial" w:cs="Arial" w:eastAsia="Arial" w:hAnsi="Arial"/>
          <w:b/>
          <w:bCs/>
          <w:sz w:val="24"/>
          <w:szCs w:val="24"/>
        </w:rPr>
        <w:t xml:space="preserve">Dr. AUGUSTO ALVES MOREIRA NETO, OAB/RJ 241.295</w:t>
      </w:r>
      <w:r>
        <w:rPr>
          <w:rFonts w:ascii="Arial" w:cs="Arial" w:eastAsia="Arial" w:hAnsi="Arial"/>
          <w:sz w:val="24"/>
          <w:szCs w:val="24"/>
        </w:rPr>
        <w:t xml:space="preserve">, com endereço profissional na Avenida Almirante Barroso, nº 52, 27º andar, Centro, Rio de Janeiro/RJ, e-mail admjud@gomesdemattos.com.br, vem, tempestivamente e por ora </w:t>
      </w:r>
      <w:r>
        <w:rPr>
          <w:rFonts w:ascii="Arial" w:cs="Arial" w:eastAsia="Arial" w:hAnsi="Arial"/>
          <w:b/>
          <w:bCs/>
          <w:sz w:val="24"/>
          <w:szCs w:val="24"/>
        </w:rPr>
        <w:t xml:space="preserve">com a ressalva expressa do vício processual que sustenta a preliminar de nulidade</w:t>
      </w:r>
      <w:r>
        <w:rPr>
          <w:rFonts w:ascii="Arial" w:cs="Arial" w:eastAsia="Arial" w:hAnsi="Arial"/>
          <w:sz w:val="24"/>
          <w:szCs w:val="24"/>
        </w:rPr>
        <w:t xml:space="preserve"> adiante deduzida, apresentar suas </w:t>
      </w:r>
      <w:r>
        <w:rPr>
          <w:rFonts w:ascii="Arial" w:cs="Arial" w:eastAsia="Arial" w:hAnsi="Arial"/>
          <w:b/>
          <w:bCs/>
          <w:sz w:val="24"/>
          <w:szCs w:val="24"/>
        </w:rPr>
        <w:t xml:space="preserve">CONTRARRAZÕES AO AGRAVO DE INSTRUMENTO</w:t>
      </w:r>
      <w:r>
        <w:rPr>
          <w:rFonts w:ascii="Arial" w:cs="Arial" w:eastAsia="Arial" w:hAnsi="Arial"/>
          <w:sz w:val="24"/>
          <w:szCs w:val="24"/>
        </w:rPr>
        <w:t xml:space="preserve"> interposto por </w:t>
      </w:r>
      <w:r>
        <w:rPr>
          <w:rFonts w:ascii="Arial" w:cs="Arial" w:eastAsia="Arial" w:hAnsi="Arial"/>
          <w:b/>
          <w:bCs/>
          <w:sz w:val="24"/>
          <w:szCs w:val="24"/>
        </w:rPr>
        <w:t xml:space="preserve">NORONHA ENGENHARIA S/A</w:t>
      </w:r>
      <w:r>
        <w:rPr>
          <w:rFonts w:ascii="Arial" w:cs="Arial" w:eastAsia="Arial" w:hAnsi="Arial"/>
          <w:sz w:val="24"/>
          <w:szCs w:val="24"/>
        </w:rPr>
        <w:t xml:space="preserve"> — em sentido próprio, </w:t>
      </w:r>
      <w:r>
        <w:rPr>
          <w:rFonts w:ascii="Arial" w:cs="Arial" w:eastAsia="Arial" w:hAnsi="Arial"/>
          <w:b/>
          <w:bCs/>
          <w:sz w:val="24"/>
          <w:szCs w:val="24"/>
        </w:rPr>
        <w:t xml:space="preserve">Massa Falida</w:t>
      </w:r>
      <w:r>
        <w:rPr>
          <w:rFonts w:ascii="Arial" w:cs="Arial" w:eastAsia="Arial" w:hAnsi="Arial"/>
          <w:sz w:val="24"/>
          <w:szCs w:val="24"/>
        </w:rPr>
        <w:t xml:space="preserve"> a partir de 02/03/2026 — em face da r. sentença que, naquela data, convolou a recuperação judicial em falência, nos termos dos arts. 61, § 1º, c/c 73, IV, da Lei nº 11.101/2005, requerendo, desde logo, na ordem que se segue: (i) a </w:t>
      </w:r>
      <w:r>
        <w:rPr>
          <w:rFonts w:ascii="Arial" w:cs="Arial" w:eastAsia="Arial" w:hAnsi="Arial"/>
          <w:b/>
          <w:bCs/>
          <w:sz w:val="24"/>
          <w:szCs w:val="24"/>
        </w:rPr>
        <w:t xml:space="preserve">decretação da nulidade</w:t>
      </w:r>
      <w:r>
        <w:rPr>
          <w:rFonts w:ascii="Arial" w:cs="Arial" w:eastAsia="Arial" w:hAnsi="Arial"/>
          <w:sz w:val="24"/>
          <w:szCs w:val="24"/>
        </w:rPr>
        <w:t xml:space="preserve"> do recurso, ante a integral inobservância da legitimidade passiva e do contraditório no que tange ao Administrador Judicial em exercício; e, sucessivamente, no mérito, o </w:t>
      </w:r>
      <w:r>
        <w:rPr>
          <w:rFonts w:ascii="Arial" w:cs="Arial" w:eastAsia="Arial" w:hAnsi="Arial"/>
          <w:b/>
          <w:bCs/>
          <w:sz w:val="24"/>
          <w:szCs w:val="24"/>
        </w:rPr>
        <w:t xml:space="preserve">DESPROVIMENTO INTEGRAL DO AGRAVO</w:t>
      </w:r>
      <w:r>
        <w:rPr>
          <w:rFonts w:ascii="Arial" w:cs="Arial" w:eastAsia="Arial" w:hAnsi="Arial"/>
          <w:sz w:val="24"/>
          <w:szCs w:val="24"/>
        </w:rPr>
        <w:t xml:space="preserve"> e a manutenção da r. decisão recorrida em todos os seus termos, pelas razões de fato e de direito que adiante se expõem.</w:t>
      </w:r>
    </w:p>
    <w:p>
      <w:pPr>
        <w:spacing w:after="120"/>
      </w:pPr>
      <w:r>
        <w:t xml:space="preserve"/>
      </w:r>
    </w:p>
    <w:p>
      <w:pPr>
        <w:keepNext/>
        <w:spacing w:after="180" w:before="360"/>
        <w:jc w:val="both"/>
      </w:pPr>
      <w:r>
        <w:rPr>
          <w:rFonts w:ascii="Arial" w:cs="Arial" w:eastAsia="Arial" w:hAnsi="Arial"/>
          <w:b/>
          <w:bCs/>
          <w:sz w:val="26"/>
          <w:szCs w:val="26"/>
        </w:rPr>
        <w:t xml:space="preserve">I — DA TEMPESTIVIDADE</w:t>
      </w:r>
    </w:p>
    <w:p>
      <w:pPr>
        <w:spacing w:after="120" w:before="0" w:line="360"/>
        <w:jc w:val="both"/>
      </w:pPr>
      <w:r>
        <w:rPr>
          <w:rFonts w:ascii="Arial" w:cs="Arial" w:eastAsia="Arial" w:hAnsi="Arial"/>
          <w:sz w:val="24"/>
          <w:szCs w:val="24"/>
        </w:rPr>
        <w:t xml:space="preserve">A intimação para apresentação das contrarrazões dá-se nos termos do art. 1.019, II, do CPC/2015, sendo o presente recurso protocolado dentro do prazo de 15 (quinze) dias úteis legalmente assegurado. As contrarrazões, portanto, são tempestivas e devem ser integralmente conhecidas por esta Colenda Câmara.</w:t>
      </w:r>
    </w:p>
    <w:p>
      <w:pPr>
        <w:keepNext/>
        <w:spacing w:after="180" w:before="360"/>
        <w:jc w:val="both"/>
      </w:pPr>
      <w:r>
        <w:rPr>
          <w:rFonts w:ascii="Arial" w:cs="Arial" w:eastAsia="Arial" w:hAnsi="Arial"/>
          <w:b/>
          <w:bCs/>
          <w:sz w:val="26"/>
          <w:szCs w:val="26"/>
        </w:rPr>
        <w:t xml:space="preserve">II — PRELIMINAR — DA NULIDADE ABSOLUTA DO AGRAVO POR INDICAÇÃO E DIRECIONAMENTO AO ADMINISTRADOR JUDICIAL DESTITUÍDO PELA PRÓPRIA SENTENÇA RECORRIDA — DEFEITO INSANÁVEL DE LEGITIMIDADE PASSIVA RECURSAL E DE CONTRADITÓRIO</w:t>
      </w:r>
    </w:p>
    <w:p>
      <w:pPr>
        <w:spacing w:after="120" w:before="0" w:line="360"/>
        <w:jc w:val="both"/>
      </w:pPr>
      <w:r>
        <w:rPr>
          <w:rFonts w:ascii="Arial" w:cs="Arial" w:eastAsia="Arial" w:hAnsi="Arial"/>
          <w:sz w:val="24"/>
          <w:szCs w:val="24"/>
        </w:rPr>
        <w:t xml:space="preserve">A petição recursal padece, em sua origem, de um </w:t>
      </w:r>
      <w:r>
        <w:rPr>
          <w:rFonts w:ascii="Arial" w:cs="Arial" w:eastAsia="Arial" w:hAnsi="Arial"/>
          <w:b/>
          <w:bCs/>
          <w:sz w:val="24"/>
          <w:szCs w:val="24"/>
        </w:rPr>
        <w:t xml:space="preserve">vício processual estrutural, anterior ao mérito e dele independente</w:t>
      </w:r>
      <w:r>
        <w:rPr>
          <w:rFonts w:ascii="Arial" w:cs="Arial" w:eastAsia="Arial" w:hAnsi="Arial"/>
          <w:sz w:val="24"/>
          <w:szCs w:val="24"/>
        </w:rPr>
        <w:t xml:space="preserve">, que impõe, desde logo, a decretação de nulidade absoluta do agravo, ou, na pior das hipóteses para a Agravante, a regularização imediata do polo passivo recursal, com nova abertura de prazo para resposta. Vejamos.</w:t>
      </w:r>
    </w:p>
    <w:p>
      <w:pPr>
        <w:spacing w:after="120" w:before="0" w:line="360"/>
        <w:jc w:val="both"/>
      </w:pPr>
      <w:r>
        <w:rPr>
          <w:rFonts w:ascii="Arial" w:cs="Arial" w:eastAsia="Arial" w:hAnsi="Arial"/>
          <w:sz w:val="24"/>
          <w:szCs w:val="24"/>
        </w:rPr>
        <w:t xml:space="preserve">A r. sentença ora atacada, prolatada em 02 de março de 2026 pela 5ª Vara Empresarial da Comarca da Capital, </w:t>
      </w:r>
      <w:r>
        <w:rPr>
          <w:rFonts w:ascii="Arial" w:cs="Arial" w:eastAsia="Arial" w:hAnsi="Arial"/>
          <w:b/>
          <w:bCs/>
          <w:sz w:val="24"/>
          <w:szCs w:val="24"/>
        </w:rPr>
        <w:t xml:space="preserve">além de decretar a falência</w:t>
      </w:r>
      <w:r>
        <w:rPr>
          <w:rFonts w:ascii="Arial" w:cs="Arial" w:eastAsia="Arial" w:hAnsi="Arial"/>
          <w:sz w:val="24"/>
          <w:szCs w:val="24"/>
        </w:rPr>
        <w:t xml:space="preserve"> de Noronha Engenharia S/A, expressa e formalmente </w:t>
      </w:r>
      <w:r>
        <w:rPr>
          <w:rFonts w:ascii="Arial" w:cs="Arial" w:eastAsia="Arial" w:hAnsi="Arial"/>
          <w:b/>
          <w:bCs/>
          <w:sz w:val="24"/>
          <w:szCs w:val="24"/>
        </w:rPr>
        <w:t xml:space="preserve">destituiu o administrador judicial até então em exercício</w:t>
      </w:r>
      <w:r>
        <w:rPr>
          <w:rFonts w:ascii="Arial" w:cs="Arial" w:eastAsia="Arial" w:hAnsi="Arial"/>
          <w:sz w:val="24"/>
          <w:szCs w:val="24"/>
        </w:rPr>
        <w:t xml:space="preserve"> — Ferreira Guimarães Sociedade de Advogados — </w:t>
      </w:r>
      <w:r>
        <w:rPr>
          <w:rFonts w:ascii="Arial" w:cs="Arial" w:eastAsia="Arial" w:hAnsi="Arial"/>
          <w:b/>
          <w:bCs/>
          <w:sz w:val="24"/>
          <w:szCs w:val="24"/>
        </w:rPr>
        <w:t xml:space="preserve">e nomeou, em sucessão e em definitivo</w:t>
      </w:r>
      <w:r>
        <w:rPr>
          <w:rFonts w:ascii="Arial" w:cs="Arial" w:eastAsia="Arial" w:hAnsi="Arial"/>
          <w:sz w:val="24"/>
          <w:szCs w:val="24"/>
        </w:rPr>
        <w:t xml:space="preserve">, GOMES DE MATTOS ADVOGADOS ASSOCIADOS, na pessoa do Dr. Augusto Alves Moreira Neto, OAB/RJ 241.295, nos termos do art. 22, III, da Lei nº 11.101/2005. O termo de compromisso foi assinado em 02 de março de 2026 (ID 2106084493) e juntado aos autos do processo originário; a investidura é, portanto, plena, atual e pública.</w:t>
      </w:r>
    </w:p>
    <w:p>
      <w:pPr>
        <w:spacing w:after="120" w:before="0" w:line="360"/>
        <w:jc w:val="both"/>
      </w:pPr>
      <w:r>
        <w:rPr>
          <w:rFonts w:ascii="Arial" w:cs="Arial" w:eastAsia="Arial" w:hAnsi="Arial"/>
          <w:sz w:val="24"/>
          <w:szCs w:val="24"/>
        </w:rPr>
        <w:t xml:space="preserve">Ocorre que, ao distribuir o presente agravo de instrumento em 27 de março de 2026, a Agravante </w:t>
      </w:r>
      <w:r>
        <w:rPr>
          <w:rFonts w:ascii="Arial" w:cs="Arial" w:eastAsia="Arial" w:hAnsi="Arial"/>
          <w:b/>
          <w:bCs/>
          <w:sz w:val="24"/>
          <w:szCs w:val="24"/>
        </w:rPr>
        <w:t xml:space="preserve">inseriu no polo passivo recursal, como Administrador Judicial,</w:t>
      </w:r>
      <w:r>
        <w:rPr>
          <w:rFonts w:ascii="Arial" w:cs="Arial" w:eastAsia="Arial" w:hAnsi="Arial"/>
          <w:sz w:val="24"/>
          <w:szCs w:val="24"/>
        </w:rPr>
        <w:t xml:space="preserve"> precisamente </w:t>
      </w:r>
      <w:r>
        <w:rPr>
          <w:rFonts w:ascii="Arial" w:cs="Arial" w:eastAsia="Arial" w:hAnsi="Arial"/>
          <w:b/>
          <w:bCs/>
          <w:sz w:val="24"/>
          <w:szCs w:val="24"/>
        </w:rPr>
        <w:t xml:space="preserve">o profissional já destituído pela mesma decisão que pretende reformar</w:t>
      </w:r>
      <w:r>
        <w:rPr>
          <w:rFonts w:ascii="Arial" w:cs="Arial" w:eastAsia="Arial" w:hAnsi="Arial"/>
          <w:sz w:val="24"/>
          <w:szCs w:val="24"/>
        </w:rPr>
        <w:t xml:space="preserve"> — Ferreira Guimarães Sociedade de Advogados —, </w:t>
      </w:r>
      <w:r>
        <w:rPr>
          <w:rFonts w:ascii="Arial" w:cs="Arial" w:eastAsia="Arial" w:hAnsi="Arial"/>
          <w:b/>
          <w:bCs/>
          <w:sz w:val="24"/>
          <w:szCs w:val="24"/>
        </w:rPr>
        <w:t xml:space="preserve">omitindo por completo o Administrador Judicial efetivamente investido nas funções por força da sentença recorrida.</w:t>
      </w:r>
      <w:r>
        <w:rPr>
          <w:rFonts w:ascii="Arial" w:cs="Arial" w:eastAsia="Arial" w:hAnsi="Arial"/>
          <w:sz w:val="24"/>
          <w:szCs w:val="24"/>
        </w:rPr>
        <w:t xml:space="preserve"> O efeito processual da omissão é triplo, e cada uma de suas dimensões, isoladamente, justificaria o reconhecimento da nulidade.</w:t>
      </w:r>
    </w:p>
    <w:p>
      <w:pPr>
        <w:spacing w:after="120" w:before="0" w:line="360"/>
        <w:jc w:val="both"/>
      </w:pPr>
      <w:r>
        <w:rPr>
          <w:rFonts w:ascii="Arial" w:cs="Arial" w:eastAsia="Arial" w:hAnsi="Arial"/>
          <w:b/>
          <w:bCs/>
          <w:sz w:val="24"/>
          <w:szCs w:val="24"/>
        </w:rPr>
        <w:t xml:space="preserve">Primeiro,</w:t>
      </w:r>
      <w:r>
        <w:rPr>
          <w:rFonts w:ascii="Arial" w:cs="Arial" w:eastAsia="Arial" w:hAnsi="Arial"/>
          <w:sz w:val="24"/>
          <w:szCs w:val="24"/>
        </w:rPr>
        <w:t xml:space="preserve"> porque o agravo de instrumento foi recebido sem efeito suspensivo, de modo que a sentença produz, neste exato momento, todos os seus efeitos: </w:t>
      </w:r>
      <w:r>
        <w:rPr>
          <w:rFonts w:ascii="Arial" w:cs="Arial" w:eastAsia="Arial" w:hAnsi="Arial"/>
          <w:b/>
          <w:bCs/>
          <w:sz w:val="24"/>
          <w:szCs w:val="24"/>
        </w:rPr>
        <w:t xml:space="preserve">a falência está decretada, a empresa é massa falida, e a representação dessa massa em juízo cabe, exclusivamente, ao administrador judicial atualmente investido</w:t>
      </w:r>
      <w:r>
        <w:rPr>
          <w:rFonts w:ascii="Arial" w:cs="Arial" w:eastAsia="Arial" w:hAnsi="Arial"/>
          <w:sz w:val="24"/>
          <w:szCs w:val="24"/>
        </w:rPr>
        <w:t xml:space="preserve"> (art. 22, III, alíneas "n" e "o", da LREF c/c art. 76 da mesma Lei). Direcionar o recurso a quem foi destituído pela sentença é o equivalente processual a contestar a entrega de chaves a quem não mais detém a guarda do imóvel: o ato é dirigido a parte sem capacidade postulatória atual e, portanto, </w:t>
      </w:r>
      <w:r>
        <w:rPr>
          <w:rFonts w:ascii="Arial" w:cs="Arial" w:eastAsia="Arial" w:hAnsi="Arial"/>
          <w:b/>
          <w:bCs/>
          <w:sz w:val="24"/>
          <w:szCs w:val="24"/>
        </w:rPr>
        <w:t xml:space="preserve">não opera efeitos jurídicos válidos no plano da relação recursal.</w:t>
      </w:r>
    </w:p>
    <w:p>
      <w:pPr>
        <w:spacing w:after="120" w:before="0" w:line="360"/>
        <w:jc w:val="both"/>
      </w:pPr>
      <w:r>
        <w:rPr>
          <w:rFonts w:ascii="Arial" w:cs="Arial" w:eastAsia="Arial" w:hAnsi="Arial"/>
          <w:b/>
          <w:bCs/>
          <w:sz w:val="24"/>
          <w:szCs w:val="24"/>
        </w:rPr>
        <w:t xml:space="preserve">Segundo,</w:t>
      </w:r>
      <w:r>
        <w:rPr>
          <w:rFonts w:ascii="Arial" w:cs="Arial" w:eastAsia="Arial" w:hAnsi="Arial"/>
          <w:sz w:val="24"/>
          <w:szCs w:val="24"/>
        </w:rPr>
        <w:t xml:space="preserve"> porque a representação da Massa Falida pelo administrador judicial não é faculdade da agravante, é </w:t>
      </w:r>
      <w:r>
        <w:rPr>
          <w:rFonts w:ascii="Arial" w:cs="Arial" w:eastAsia="Arial" w:hAnsi="Arial"/>
          <w:b/>
          <w:bCs/>
          <w:sz w:val="24"/>
          <w:szCs w:val="24"/>
        </w:rPr>
        <w:t xml:space="preserve">imperativo legal</w:t>
      </w:r>
      <w:r>
        <w:rPr>
          <w:rFonts w:ascii="Arial" w:cs="Arial" w:eastAsia="Arial" w:hAnsi="Arial"/>
          <w:sz w:val="24"/>
          <w:szCs w:val="24"/>
        </w:rPr>
        <w:t xml:space="preserve"> decorrente do art. 76, parágrafo único, e do art. 22, III, alíneas "n" e "o", da Lei nº 11.101/2005. Sendo o Administrador Judicial </w:t>
      </w:r>
      <w:r>
        <w:rPr>
          <w:rFonts w:ascii="Arial" w:cs="Arial" w:eastAsia="Arial" w:hAnsi="Arial"/>
          <w:b/>
          <w:bCs/>
          <w:sz w:val="24"/>
          <w:szCs w:val="24"/>
        </w:rPr>
        <w:t xml:space="preserve">parte essencial</w:t>
      </w:r>
      <w:r>
        <w:rPr>
          <w:rFonts w:ascii="Arial" w:cs="Arial" w:eastAsia="Arial" w:hAnsi="Arial"/>
          <w:sz w:val="24"/>
          <w:szCs w:val="24"/>
        </w:rPr>
        <w:t xml:space="preserve"> da relação processual recursal — porquanto é justamente o seu múnus que a Agravante, em última análise, pretende esvaziar mediante a reforma da sentença que decretou a falência — sua intimação obrigatória é </w:t>
      </w:r>
      <w:r>
        <w:rPr>
          <w:rFonts w:ascii="Arial" w:cs="Arial" w:eastAsia="Arial" w:hAnsi="Arial"/>
          <w:b/>
          <w:bCs/>
          <w:sz w:val="24"/>
          <w:szCs w:val="24"/>
        </w:rPr>
        <w:t xml:space="preserve">elemento de validade do processo</w:t>
      </w:r>
      <w:r>
        <w:rPr>
          <w:rFonts w:ascii="Arial" w:cs="Arial" w:eastAsia="Arial" w:hAnsi="Arial"/>
          <w:sz w:val="24"/>
          <w:szCs w:val="24"/>
        </w:rPr>
        <w:t xml:space="preserve">, e não mera formalidade. A omissão configura, no mínimo, hipótese de </w:t>
      </w:r>
      <w:r>
        <w:rPr>
          <w:rFonts w:ascii="Arial" w:cs="Arial" w:eastAsia="Arial" w:hAnsi="Arial"/>
          <w:b/>
          <w:bCs/>
          <w:sz w:val="24"/>
          <w:szCs w:val="24"/>
        </w:rPr>
        <w:t xml:space="preserve">litisconsórcio passivo necessário</w:t>
      </w:r>
      <w:r>
        <w:rPr>
          <w:rFonts w:ascii="Arial" w:cs="Arial" w:eastAsia="Arial" w:hAnsi="Arial"/>
          <w:sz w:val="24"/>
          <w:szCs w:val="24"/>
        </w:rPr>
        <w:t xml:space="preserve"> (art. 114 do CPC/2015): se a Agravante quisesse postular alguma sobrevida da figura do administrador anterior, deveria ter, ao menos, citado a ambos. O que não pode é </w:t>
      </w:r>
      <w:r>
        <w:rPr>
          <w:rFonts w:ascii="Arial" w:cs="Arial" w:eastAsia="Arial" w:hAnsi="Arial"/>
          <w:b/>
          <w:bCs/>
          <w:sz w:val="24"/>
          <w:szCs w:val="24"/>
        </w:rPr>
        <w:t xml:space="preserve">cobrir os olhos para o presente</w:t>
      </w:r>
      <w:r>
        <w:rPr>
          <w:rFonts w:ascii="Arial" w:cs="Arial" w:eastAsia="Arial" w:hAnsi="Arial"/>
          <w:sz w:val="24"/>
          <w:szCs w:val="24"/>
        </w:rPr>
        <w:t xml:space="preserve"> e dirigir-se exclusivamente ao passado.</w:t>
      </w:r>
    </w:p>
    <w:p>
      <w:pPr>
        <w:spacing w:after="120" w:before="0" w:line="360"/>
        <w:jc w:val="both"/>
      </w:pPr>
      <w:r>
        <w:rPr>
          <w:rFonts w:ascii="Arial" w:cs="Arial" w:eastAsia="Arial" w:hAnsi="Arial"/>
          <w:b/>
          <w:bCs/>
          <w:sz w:val="24"/>
          <w:szCs w:val="24"/>
        </w:rPr>
        <w:t xml:space="preserve">Terceiro,</w:t>
      </w:r>
      <w:r>
        <w:rPr>
          <w:rFonts w:ascii="Arial" w:cs="Arial" w:eastAsia="Arial" w:hAnsi="Arial"/>
          <w:sz w:val="24"/>
          <w:szCs w:val="24"/>
        </w:rPr>
        <w:t xml:space="preserve"> porque o vício compromete, de forma direta, o </w:t>
      </w:r>
      <w:r>
        <w:rPr>
          <w:rFonts w:ascii="Arial" w:cs="Arial" w:eastAsia="Arial" w:hAnsi="Arial"/>
          <w:b/>
          <w:bCs/>
          <w:sz w:val="24"/>
          <w:szCs w:val="24"/>
        </w:rPr>
        <w:t xml:space="preserve">contraditório material</w:t>
      </w:r>
      <w:r>
        <w:rPr>
          <w:rFonts w:ascii="Arial" w:cs="Arial" w:eastAsia="Arial" w:hAnsi="Arial"/>
          <w:sz w:val="24"/>
          <w:szCs w:val="24"/>
        </w:rPr>
        <w:t xml:space="preserve"> (CF/88, art. 5º, LV; CPC/2015, arts. 7º, 9º e 10): a defesa da decisão recorrida é prerrogativa de quem ostenta legitimidade para fazê-la — o Administrador Judicial atualmente em funções —, e não daquele que, por força da própria sentença, foi dela desinvestido. Permitir que o recurso prossiga sem a regularização do polo passivo é tolerar que o agravo seja debatido </w:t>
      </w:r>
      <w:r>
        <w:rPr>
          <w:rFonts w:ascii="Arial" w:cs="Arial" w:eastAsia="Arial" w:hAnsi="Arial"/>
          <w:b/>
          <w:bCs/>
          <w:sz w:val="24"/>
          <w:szCs w:val="24"/>
        </w:rPr>
        <w:t xml:space="preserve">sem o seu interlocutor processual legítimo</w:t>
      </w:r>
      <w:r>
        <w:rPr>
          <w:rFonts w:ascii="Arial" w:cs="Arial" w:eastAsia="Arial" w:hAnsi="Arial"/>
          <w:sz w:val="24"/>
          <w:szCs w:val="24"/>
        </w:rPr>
        <w:t xml:space="preserve">, em flagrante violação ao princípio do devido processo legal substancial.</w:t>
      </w:r>
    </w:p>
    <w:p>
      <w:pPr>
        <w:spacing w:after="120" w:before="0" w:line="360"/>
        <w:jc w:val="both"/>
      </w:pPr>
      <w:r>
        <w:rPr>
          <w:rFonts w:ascii="Arial" w:cs="Arial" w:eastAsia="Arial" w:hAnsi="Arial"/>
          <w:sz w:val="24"/>
          <w:szCs w:val="24"/>
        </w:rPr>
        <w:t xml:space="preserve">Não se trata, anote-se, de mera irregularidade formal, sanável pelo decurso do tempo ou pelo "comparecimento espontâneo" deste subscritor. Trata-se de </w:t>
      </w:r>
      <w:r>
        <w:rPr>
          <w:rFonts w:ascii="Arial" w:cs="Arial" w:eastAsia="Arial" w:hAnsi="Arial"/>
          <w:b/>
          <w:bCs/>
          <w:sz w:val="24"/>
          <w:szCs w:val="24"/>
        </w:rPr>
        <w:t xml:space="preserve">vício de constituição da relação recursal</w:t>
      </w:r>
      <w:r>
        <w:rPr>
          <w:rFonts w:ascii="Arial" w:cs="Arial" w:eastAsia="Arial" w:hAnsi="Arial"/>
          <w:sz w:val="24"/>
          <w:szCs w:val="24"/>
        </w:rPr>
        <w:t xml:space="preserve">, que, a um só tempo, (i) atribui o contraditório a quem não o pode mais exercer (o administrador destituído), (ii) priva o sucessor legitimamente investido da oportunidade de defender o ato judicial que o investiu, e (iii) cria, na sequência da pretensa reforma, o cenário kafkiano de uma decisão que reformaria nomeação de administrador sem ouvir o nomeado. A nulidade, portanto, não é </w:t>
      </w:r>
      <w:r>
        <w:rPr>
          <w:rFonts w:ascii="Arial" w:cs="Arial" w:eastAsia="Arial" w:hAnsi="Arial"/>
          <w:b/>
          <w:bCs/>
          <w:sz w:val="24"/>
          <w:szCs w:val="24"/>
        </w:rPr>
        <w:t xml:space="preserve">sanável por mera juntada superveniente</w:t>
      </w:r>
      <w:r>
        <w:rPr>
          <w:rFonts w:ascii="Arial" w:cs="Arial" w:eastAsia="Arial" w:hAnsi="Arial"/>
          <w:sz w:val="24"/>
          <w:szCs w:val="24"/>
        </w:rPr>
        <w:t xml:space="preserve">: é </w:t>
      </w:r>
      <w:r>
        <w:rPr>
          <w:rFonts w:ascii="Arial" w:cs="Arial" w:eastAsia="Arial" w:hAnsi="Arial"/>
          <w:b/>
          <w:bCs/>
          <w:sz w:val="24"/>
          <w:szCs w:val="24"/>
        </w:rPr>
        <w:t xml:space="preserve">absoluta</w:t>
      </w:r>
      <w:r>
        <w:rPr>
          <w:rFonts w:ascii="Arial" w:cs="Arial" w:eastAsia="Arial" w:hAnsi="Arial"/>
          <w:sz w:val="24"/>
          <w:szCs w:val="24"/>
        </w:rPr>
        <w:t xml:space="preserve"> e — porque comprometido o pressuposto subjetivo de validade do processo — </w:t>
      </w:r>
      <w:r>
        <w:rPr>
          <w:rFonts w:ascii="Arial" w:cs="Arial" w:eastAsia="Arial" w:hAnsi="Arial"/>
          <w:b/>
          <w:bCs/>
          <w:sz w:val="24"/>
          <w:szCs w:val="24"/>
        </w:rPr>
        <w:t xml:space="preserve">cognoscível de ofício</w:t>
      </w:r>
      <w:r>
        <w:rPr>
          <w:rFonts w:ascii="Arial" w:cs="Arial" w:eastAsia="Arial" w:hAnsi="Arial"/>
          <w:sz w:val="24"/>
          <w:szCs w:val="24"/>
        </w:rPr>
        <w:t xml:space="preserve"> (CPC/2015, art. 485, § 3º, c/c art. 1.011, II).</w:t>
      </w:r>
    </w:p>
    <w:p>
      <w:pPr>
        <w:spacing w:after="120" w:before="0" w:line="360"/>
        <w:jc w:val="both"/>
      </w:pPr>
      <w:r>
        <w:rPr>
          <w:rFonts w:ascii="Arial" w:cs="Arial" w:eastAsia="Arial" w:hAnsi="Arial"/>
          <w:sz w:val="24"/>
          <w:szCs w:val="24"/>
        </w:rPr>
        <w:t xml:space="preserve">Em situação rigorosamente análoga, o </w:t>
      </w:r>
      <w:r>
        <w:rPr>
          <w:rFonts w:ascii="Arial" w:cs="Arial" w:eastAsia="Arial" w:hAnsi="Arial"/>
          <w:b/>
          <w:bCs/>
          <w:sz w:val="24"/>
          <w:szCs w:val="24"/>
        </w:rPr>
        <w:t xml:space="preserve">Superior Tribunal de Justiça</w:t>
      </w:r>
      <w:r>
        <w:rPr>
          <w:rFonts w:ascii="Arial" w:cs="Arial" w:eastAsia="Arial" w:hAnsi="Arial"/>
          <w:sz w:val="24"/>
          <w:szCs w:val="24"/>
        </w:rPr>
        <w:t xml:space="preserve"> tem assentado, há tempos, que a substituição superveniente de administrador judicial impõe, sob pena de nulidade, </w:t>
      </w:r>
      <w:r>
        <w:rPr>
          <w:rFonts w:ascii="Arial" w:cs="Arial" w:eastAsia="Arial" w:hAnsi="Arial"/>
          <w:b/>
          <w:bCs/>
          <w:sz w:val="24"/>
          <w:szCs w:val="24"/>
        </w:rPr>
        <w:t xml:space="preserve">a regularização do polo processual</w:t>
      </w:r>
      <w:r>
        <w:rPr>
          <w:rFonts w:ascii="Arial" w:cs="Arial" w:eastAsia="Arial" w:hAnsi="Arial"/>
          <w:sz w:val="24"/>
          <w:szCs w:val="24"/>
        </w:rPr>
        <w:t xml:space="preserve"> antes da prolação de qualquer decisão de mérito que possa afetar a esfera jurídica do múnus, observando-se o devido processo legal e o contraditório do administrador atualmente investido (cf., entre outros, </w:t>
      </w:r>
      <w:r>
        <w:rPr>
          <w:rFonts w:ascii="Arial" w:cs="Arial" w:eastAsia="Arial" w:hAnsi="Arial"/>
          <w:i/>
          <w:iCs/>
          <w:sz w:val="24"/>
          <w:szCs w:val="24"/>
        </w:rPr>
        <w:t xml:space="preserve">STJ, 4ª Turma, REsp 1.665.042/SP</w:t>
      </w:r>
      <w:r>
        <w:rPr>
          <w:rFonts w:ascii="Arial" w:cs="Arial" w:eastAsia="Arial" w:hAnsi="Arial"/>
          <w:sz w:val="24"/>
          <w:szCs w:val="24"/>
        </w:rPr>
        <w:t xml:space="preserve">; </w:t>
      </w:r>
      <w:r>
        <w:rPr>
          <w:rFonts w:ascii="Arial" w:cs="Arial" w:eastAsia="Arial" w:hAnsi="Arial"/>
          <w:i/>
          <w:iCs/>
          <w:sz w:val="24"/>
          <w:szCs w:val="24"/>
        </w:rPr>
        <w:t xml:space="preserve">STJ, 3ª Turma, AgInt no REsp 1.789.523/RJ</w:t>
      </w:r>
      <w:r>
        <w:rPr>
          <w:rFonts w:ascii="Arial" w:cs="Arial" w:eastAsia="Arial" w:hAnsi="Arial"/>
          <w:sz w:val="24"/>
          <w:szCs w:val="24"/>
        </w:rPr>
        <w:t xml:space="preserve"> [AMARELO — verificar e atualizar números antes do protocolo]). O comando é claro: a relação processual em sede falimentar </w:t>
      </w:r>
      <w:r>
        <w:rPr>
          <w:rFonts w:ascii="Arial" w:cs="Arial" w:eastAsia="Arial" w:hAnsi="Arial"/>
          <w:b/>
          <w:bCs/>
          <w:sz w:val="24"/>
          <w:szCs w:val="24"/>
        </w:rPr>
        <w:t xml:space="preserve">não admite ficções de representação</w:t>
      </w:r>
      <w:r>
        <w:rPr>
          <w:rFonts w:ascii="Arial" w:cs="Arial" w:eastAsia="Arial" w:hAnsi="Arial"/>
          <w:sz w:val="24"/>
          <w:szCs w:val="24"/>
        </w:rPr>
        <w:t xml:space="preserve">. Entender de modo diverso seria converter o art. 76 da LREF em letra morta.</w:t>
      </w:r>
    </w:p>
    <w:p>
      <w:pPr>
        <w:spacing w:after="120" w:before="0" w:line="360"/>
        <w:jc w:val="both"/>
      </w:pPr>
      <w:r>
        <w:rPr>
          <w:rFonts w:ascii="Arial" w:cs="Arial" w:eastAsia="Arial" w:hAnsi="Arial"/>
          <w:sz w:val="24"/>
          <w:szCs w:val="24"/>
        </w:rPr>
        <w:t xml:space="preserve">Acresça-se, em remate, o que ensina </w:t>
      </w:r>
      <w:r>
        <w:rPr>
          <w:rFonts w:ascii="Arial" w:cs="Arial" w:eastAsia="Arial" w:hAnsi="Arial"/>
          <w:b/>
          <w:bCs/>
          <w:sz w:val="24"/>
          <w:szCs w:val="24"/>
        </w:rPr>
        <w:t xml:space="preserve">Marlon Tomazette</w:t>
      </w:r>
      <w:r>
        <w:rPr>
          <w:rFonts w:ascii="Arial" w:cs="Arial" w:eastAsia="Arial" w:hAnsi="Arial"/>
          <w:sz w:val="24"/>
          <w:szCs w:val="24"/>
        </w:rPr>
        <w:t xml:space="preserve"> no </w:t>
      </w:r>
      <w:r>
        <w:rPr>
          <w:rFonts w:ascii="Arial" w:cs="Arial" w:eastAsia="Arial" w:hAnsi="Arial"/>
          <w:i/>
          <w:iCs/>
          <w:sz w:val="24"/>
          <w:szCs w:val="24"/>
        </w:rPr>
        <w:t xml:space="preserve">Curso de Direito Empresarial</w:t>
      </w:r>
      <w:r>
        <w:rPr>
          <w:rFonts w:ascii="Arial" w:cs="Arial" w:eastAsia="Arial" w:hAnsi="Arial"/>
          <w:sz w:val="24"/>
          <w:szCs w:val="24"/>
        </w:rPr>
        <w:t xml:space="preserve"> (vol. 3 — Falência e Recuperação de Empresas), ao tratar das funções e da legitimidade do Administrador Judicial: a destituição e a substituição deslocam, </w:t>
      </w:r>
      <w:r>
        <w:rPr>
          <w:rFonts w:ascii="Arial" w:cs="Arial" w:eastAsia="Arial" w:hAnsi="Arial"/>
          <w:b/>
          <w:bCs/>
          <w:sz w:val="24"/>
          <w:szCs w:val="24"/>
        </w:rPr>
        <w:t xml:space="preserve">imediatamente</w:t>
      </w:r>
      <w:r>
        <w:rPr>
          <w:rFonts w:ascii="Arial" w:cs="Arial" w:eastAsia="Arial" w:hAnsi="Arial"/>
          <w:sz w:val="24"/>
          <w:szCs w:val="24"/>
        </w:rPr>
        <w:t xml:space="preserve">, a representação ativa e passiva da massa para o sucessor, sob pena de </w:t>
      </w:r>
      <w:r>
        <w:rPr>
          <w:rFonts w:ascii="Arial" w:cs="Arial" w:eastAsia="Arial" w:hAnsi="Arial"/>
          <w:b/>
          <w:bCs/>
          <w:sz w:val="24"/>
          <w:szCs w:val="24"/>
        </w:rPr>
        <w:t xml:space="preserve">frustração do propósito do art. 22 da LREF</w:t>
      </w:r>
      <w:r>
        <w:rPr>
          <w:rFonts w:ascii="Arial" w:cs="Arial" w:eastAsia="Arial" w:hAnsi="Arial"/>
          <w:sz w:val="24"/>
          <w:szCs w:val="24"/>
        </w:rPr>
        <w:t xml:space="preserve"> — que é, exatamente, o de que haja </w:t>
      </w:r>
      <w:r>
        <w:rPr>
          <w:rFonts w:ascii="Arial" w:cs="Arial" w:eastAsia="Arial" w:hAnsi="Arial"/>
          <w:b/>
          <w:bCs/>
          <w:sz w:val="24"/>
          <w:szCs w:val="24"/>
        </w:rPr>
        <w:t xml:space="preserve">um único interlocutor técnico</w:t>
      </w:r>
      <w:r>
        <w:rPr>
          <w:rFonts w:ascii="Arial" w:cs="Arial" w:eastAsia="Arial" w:hAnsi="Arial"/>
          <w:sz w:val="24"/>
          <w:szCs w:val="24"/>
        </w:rPr>
        <w:t xml:space="preserve"> do juízo, dos credores e do tribunal a cada momento processual. No mesmo sentido, </w:t>
      </w:r>
      <w:r>
        <w:rPr>
          <w:rFonts w:ascii="Arial" w:cs="Arial" w:eastAsia="Arial" w:hAnsi="Arial"/>
          <w:b/>
          <w:bCs/>
          <w:sz w:val="24"/>
          <w:szCs w:val="24"/>
        </w:rPr>
        <w:t xml:space="preserve">Fábio Ulhoa Coelho</w:t>
      </w:r>
      <w:r>
        <w:rPr>
          <w:rFonts w:ascii="Arial" w:cs="Arial" w:eastAsia="Arial" w:hAnsi="Arial"/>
          <w:sz w:val="24"/>
          <w:szCs w:val="24"/>
        </w:rPr>
        <w:t xml:space="preserve"> (Comentários à Lei de Falências e de Recuperação de Empresas) e </w:t>
      </w:r>
      <w:r>
        <w:rPr>
          <w:rFonts w:ascii="Arial" w:cs="Arial" w:eastAsia="Arial" w:hAnsi="Arial"/>
          <w:b/>
          <w:bCs/>
          <w:sz w:val="24"/>
          <w:szCs w:val="24"/>
        </w:rPr>
        <w:t xml:space="preserve">Luiz Roberto Ayoub e Cássio Cavalli</w:t>
      </w:r>
      <w:r>
        <w:rPr>
          <w:rFonts w:ascii="Arial" w:cs="Arial" w:eastAsia="Arial" w:hAnsi="Arial"/>
          <w:sz w:val="24"/>
          <w:szCs w:val="24"/>
        </w:rPr>
        <w:t xml:space="preserve"> (A Construção Jurisprudencial da Recuperação Judicial de Empresas), que tratam o ato de nomeação como </w:t>
      </w:r>
      <w:r>
        <w:rPr>
          <w:rFonts w:ascii="Arial" w:cs="Arial" w:eastAsia="Arial" w:hAnsi="Arial"/>
          <w:b/>
          <w:bCs/>
          <w:sz w:val="24"/>
          <w:szCs w:val="24"/>
        </w:rPr>
        <w:t xml:space="preserve">título constitutivo da legitimidade representativa da massa</w:t>
      </w:r>
      <w:r>
        <w:rPr>
          <w:rFonts w:ascii="Arial" w:cs="Arial" w:eastAsia="Arial" w:hAnsi="Arial"/>
          <w:sz w:val="24"/>
          <w:szCs w:val="24"/>
        </w:rPr>
        <w:t xml:space="preserve">, cujos efeitos se irradiam, automaticamente, sobre todos os incidentes recursais conexos.</w:t>
      </w:r>
    </w:p>
    <w:p>
      <w:pPr>
        <w:spacing w:after="120" w:before="0" w:line="360"/>
        <w:jc w:val="both"/>
      </w:pPr>
      <w:r>
        <w:rPr>
          <w:rFonts w:ascii="Arial" w:cs="Arial" w:eastAsia="Arial" w:hAnsi="Arial"/>
          <w:sz w:val="24"/>
          <w:szCs w:val="24"/>
        </w:rPr>
        <w:t xml:space="preserve">Diante desse quadro, requer-se, </w:t>
      </w:r>
      <w:r>
        <w:rPr>
          <w:rFonts w:ascii="Arial" w:cs="Arial" w:eastAsia="Arial" w:hAnsi="Arial"/>
          <w:b/>
          <w:bCs/>
          <w:sz w:val="24"/>
          <w:szCs w:val="24"/>
        </w:rPr>
        <w:t xml:space="preserve">preliminarmente</w:t>
      </w:r>
      <w:r>
        <w:rPr>
          <w:rFonts w:ascii="Arial" w:cs="Arial" w:eastAsia="Arial" w:hAnsi="Arial"/>
          <w:sz w:val="24"/>
          <w:szCs w:val="24"/>
        </w:rPr>
        <w:t xml:space="preserve">, o reconhecimento da </w:t>
      </w:r>
      <w:r>
        <w:rPr>
          <w:rFonts w:ascii="Arial" w:cs="Arial" w:eastAsia="Arial" w:hAnsi="Arial"/>
          <w:b/>
          <w:bCs/>
          <w:sz w:val="24"/>
          <w:szCs w:val="24"/>
        </w:rPr>
        <w:t xml:space="preserve">nulidade absoluta</w:t>
      </w:r>
      <w:r>
        <w:rPr>
          <w:rFonts w:ascii="Arial" w:cs="Arial" w:eastAsia="Arial" w:hAnsi="Arial"/>
          <w:sz w:val="24"/>
          <w:szCs w:val="24"/>
        </w:rPr>
        <w:t xml:space="preserve"> do agravo de instrumento, com a sua extinção sem resolução do mérito (CPC/2015, art. 485, IV e VI). Subsidiariamente, e em homenagem ao princípio da primazia do julgamento do mérito (art. 4º do CPC/2015), requer-se a determinação para que a Agravante </w:t>
      </w:r>
      <w:r>
        <w:rPr>
          <w:rFonts w:ascii="Arial" w:cs="Arial" w:eastAsia="Arial" w:hAnsi="Arial"/>
          <w:b/>
          <w:bCs/>
          <w:sz w:val="24"/>
          <w:szCs w:val="24"/>
        </w:rPr>
        <w:t xml:space="preserve">regularize o polo passivo recursal</w:t>
      </w:r>
      <w:r>
        <w:rPr>
          <w:rFonts w:ascii="Arial" w:cs="Arial" w:eastAsia="Arial" w:hAnsi="Arial"/>
          <w:sz w:val="24"/>
          <w:szCs w:val="24"/>
        </w:rPr>
        <w:t xml:space="preserve">, incluindo expressamente, no agravo, GOMES DE MATTOS ADVOGADOS ASSOCIADOS na qualidade de Administrador Judicial atualmente investido, com </w:t>
      </w:r>
      <w:r>
        <w:rPr>
          <w:rFonts w:ascii="Arial" w:cs="Arial" w:eastAsia="Arial" w:hAnsi="Arial"/>
          <w:b/>
          <w:bCs/>
          <w:sz w:val="24"/>
          <w:szCs w:val="24"/>
        </w:rPr>
        <w:t xml:space="preserve">reabertura integral do prazo de contrarrazões</w:t>
      </w:r>
      <w:r>
        <w:rPr>
          <w:rFonts w:ascii="Arial" w:cs="Arial" w:eastAsia="Arial" w:hAnsi="Arial"/>
          <w:sz w:val="24"/>
          <w:szCs w:val="24"/>
        </w:rPr>
        <w:t xml:space="preserve"> a partir da regular intimação. Em qualquer hipótese, </w:t>
      </w:r>
      <w:r>
        <w:rPr>
          <w:rFonts w:ascii="Arial" w:cs="Arial" w:eastAsia="Arial" w:hAnsi="Arial"/>
          <w:b/>
          <w:bCs/>
          <w:sz w:val="24"/>
          <w:szCs w:val="24"/>
        </w:rPr>
        <w:t xml:space="preserve">o presente recurso, no estado em que se encontra, não pode ser conhecido nem provido</w:t>
      </w:r>
      <w:r>
        <w:rPr>
          <w:rFonts w:ascii="Arial" w:cs="Arial" w:eastAsia="Arial" w:hAnsi="Arial"/>
          <w:sz w:val="24"/>
          <w:szCs w:val="24"/>
        </w:rPr>
        <w:t xml:space="preserve">.</w:t>
      </w:r>
    </w:p>
    <w:p>
      <w:pPr>
        <w:keepNext/>
        <w:spacing w:after="180" w:before="360"/>
        <w:jc w:val="both"/>
      </w:pPr>
      <w:r>
        <w:rPr>
          <w:rFonts w:ascii="Arial" w:cs="Arial" w:eastAsia="Arial" w:hAnsi="Arial"/>
          <w:b/>
          <w:bCs/>
          <w:sz w:val="26"/>
          <w:szCs w:val="26"/>
        </w:rPr>
        <w:t xml:space="preserve">III — DO PADRÃO ESTRITO DE REVISÃO RECURSAL DA SENTENÇA QUE CONVOLA A RECUPERAÇÃO JUDICIAL EM FALÊNCIA</w:t>
      </w:r>
    </w:p>
    <w:p>
      <w:pPr>
        <w:spacing w:after="120" w:before="0" w:line="360"/>
        <w:jc w:val="both"/>
      </w:pPr>
      <w:r>
        <w:rPr>
          <w:rFonts w:ascii="Arial" w:cs="Arial" w:eastAsia="Arial" w:hAnsi="Arial"/>
          <w:sz w:val="24"/>
          <w:szCs w:val="24"/>
        </w:rPr>
        <w:t xml:space="preserve">Superada — apenas para fins de eventualidade — a preliminar acima, impõe-se, antes do exame dos argumentos recursais, delimitar o </w:t>
      </w:r>
      <w:r>
        <w:rPr>
          <w:rFonts w:ascii="Arial" w:cs="Arial" w:eastAsia="Arial" w:hAnsi="Arial"/>
          <w:b/>
          <w:bCs/>
          <w:sz w:val="24"/>
          <w:szCs w:val="24"/>
        </w:rPr>
        <w:t xml:space="preserve">espaço cognitivo legítimo</w:t>
      </w:r>
      <w:r>
        <w:rPr>
          <w:rFonts w:ascii="Arial" w:cs="Arial" w:eastAsia="Arial" w:hAnsi="Arial"/>
          <w:sz w:val="24"/>
          <w:szCs w:val="24"/>
        </w:rPr>
        <w:t xml:space="preserve"> desta Colenda Câmara em sede de agravo contra sentença que </w:t>
      </w:r>
      <w:r>
        <w:rPr>
          <w:rFonts w:ascii="Arial" w:cs="Arial" w:eastAsia="Arial" w:hAnsi="Arial"/>
          <w:b/>
          <w:bCs/>
          <w:sz w:val="24"/>
          <w:szCs w:val="24"/>
        </w:rPr>
        <w:t xml:space="preserve">convola a recuperação judicial em falência</w:t>
      </w:r>
      <w:r>
        <w:rPr>
          <w:rFonts w:ascii="Arial" w:cs="Arial" w:eastAsia="Arial" w:hAnsi="Arial"/>
          <w:sz w:val="24"/>
          <w:szCs w:val="24"/>
        </w:rPr>
        <w:t xml:space="preserve">.</w:t>
      </w:r>
    </w:p>
    <w:p>
      <w:pPr>
        <w:spacing w:after="120" w:before="0" w:line="360"/>
        <w:jc w:val="both"/>
      </w:pPr>
      <w:r>
        <w:rPr>
          <w:rFonts w:ascii="Arial" w:cs="Arial" w:eastAsia="Arial" w:hAnsi="Arial"/>
          <w:sz w:val="24"/>
          <w:szCs w:val="24"/>
        </w:rPr>
        <w:t xml:space="preserve">A r. sentença recorrida não é ato discricionário tomado em superfície: é </w:t>
      </w:r>
      <w:r>
        <w:rPr>
          <w:rFonts w:ascii="Arial" w:cs="Arial" w:eastAsia="Arial" w:hAnsi="Arial"/>
          <w:b/>
          <w:bCs/>
          <w:sz w:val="24"/>
          <w:szCs w:val="24"/>
        </w:rPr>
        <w:t xml:space="preserve">decisão técnica e fundamentada</w:t>
      </w:r>
      <w:r>
        <w:rPr>
          <w:rFonts w:ascii="Arial" w:cs="Arial" w:eastAsia="Arial" w:hAnsi="Arial"/>
          <w:sz w:val="24"/>
          <w:szCs w:val="24"/>
        </w:rPr>
        <w:t xml:space="preserve">, amadurecida em mais de uma década de tramitação processual, ancorada em </w:t>
      </w:r>
      <w:r>
        <w:rPr>
          <w:rFonts w:ascii="Arial" w:cs="Arial" w:eastAsia="Arial" w:hAnsi="Arial"/>
          <w:b/>
          <w:bCs/>
          <w:sz w:val="24"/>
          <w:szCs w:val="24"/>
        </w:rPr>
        <w:t xml:space="preserve">manifestações reiteradas do Ministério Público</w:t>
      </w:r>
      <w:r>
        <w:rPr>
          <w:rFonts w:ascii="Arial" w:cs="Arial" w:eastAsia="Arial" w:hAnsi="Arial"/>
          <w:sz w:val="24"/>
          <w:szCs w:val="24"/>
        </w:rPr>
        <w:t xml:space="preserve"> (com pelo menos três pareceres pela convolação) e em </w:t>
      </w:r>
      <w:r>
        <w:rPr>
          <w:rFonts w:ascii="Arial" w:cs="Arial" w:eastAsia="Arial" w:hAnsi="Arial"/>
          <w:b/>
          <w:bCs/>
          <w:sz w:val="24"/>
          <w:szCs w:val="24"/>
        </w:rPr>
        <w:t xml:space="preserve">relatórios circunstanciados sucessivos do Administrador Judicial então em exercício</w:t>
      </w:r>
      <w:r>
        <w:rPr>
          <w:rFonts w:ascii="Arial" w:cs="Arial" w:eastAsia="Arial" w:hAnsi="Arial"/>
          <w:sz w:val="24"/>
          <w:szCs w:val="24"/>
        </w:rPr>
        <w:t xml:space="preserve"> (todos os quais, por sinal, subscritos pelo mesmo profissional que a Agravante, agora, indica como interlocutor recursal — Ferreira Guimarães), no sentido inequívoco da </w:t>
      </w:r>
      <w:r>
        <w:rPr>
          <w:rFonts w:ascii="Arial" w:cs="Arial" w:eastAsia="Arial" w:hAnsi="Arial"/>
          <w:b/>
          <w:bCs/>
          <w:sz w:val="24"/>
          <w:szCs w:val="24"/>
        </w:rPr>
        <w:t xml:space="preserve">inviabilidade do soerguimento</w:t>
      </w:r>
      <w:r>
        <w:rPr>
          <w:rFonts w:ascii="Arial" w:cs="Arial" w:eastAsia="Arial" w:hAnsi="Arial"/>
          <w:sz w:val="24"/>
          <w:szCs w:val="24"/>
        </w:rPr>
        <w:t xml:space="preserve"> da empresa. A reforma de tal pronunciamento exige, segundo a jurisprudência consolidada do STJ e desta Corte, </w:t>
      </w:r>
      <w:r>
        <w:rPr>
          <w:rFonts w:ascii="Arial" w:cs="Arial" w:eastAsia="Arial" w:hAnsi="Arial"/>
          <w:b/>
          <w:bCs/>
          <w:sz w:val="24"/>
          <w:szCs w:val="24"/>
        </w:rPr>
        <w:t xml:space="preserve">demonstração inequívoca de erro grave, teratologia ou flagrante violação à legalidade</w:t>
      </w:r>
      <w:r>
        <w:rPr>
          <w:rFonts w:ascii="Arial" w:cs="Arial" w:eastAsia="Arial" w:hAnsi="Arial"/>
          <w:sz w:val="24"/>
          <w:szCs w:val="24"/>
        </w:rPr>
        <w:t xml:space="preserve"> — e nada disso a Agravante demonstra.</w:t>
      </w:r>
    </w:p>
    <w:p>
      <w:pPr>
        <w:spacing w:after="120" w:before="0" w:line="360"/>
        <w:jc w:val="both"/>
      </w:pPr>
      <w:r>
        <w:rPr>
          <w:rFonts w:ascii="Arial" w:cs="Arial" w:eastAsia="Arial" w:hAnsi="Arial"/>
          <w:sz w:val="24"/>
          <w:szCs w:val="24"/>
        </w:rPr>
        <w:t xml:space="preserve">Releva, ainda, registrar que a própria </w:t>
      </w:r>
      <w:r>
        <w:rPr>
          <w:rFonts w:ascii="Arial" w:cs="Arial" w:eastAsia="Arial" w:hAnsi="Arial"/>
          <w:b/>
          <w:bCs/>
          <w:sz w:val="24"/>
          <w:szCs w:val="24"/>
        </w:rPr>
        <w:t xml:space="preserve">Agravante</w:t>
      </w:r>
      <w:r>
        <w:rPr>
          <w:rFonts w:ascii="Arial" w:cs="Arial" w:eastAsia="Arial" w:hAnsi="Arial"/>
          <w:sz w:val="24"/>
          <w:szCs w:val="24"/>
        </w:rPr>
        <w:t xml:space="preserve"> — agora </w:t>
      </w:r>
      <w:r>
        <w:rPr>
          <w:rFonts w:ascii="Arial" w:cs="Arial" w:eastAsia="Arial" w:hAnsi="Arial"/>
          <w:b/>
          <w:bCs/>
          <w:sz w:val="24"/>
          <w:szCs w:val="24"/>
        </w:rPr>
        <w:t xml:space="preserve">Massa Falida</w:t>
      </w:r>
      <w:r>
        <w:rPr>
          <w:rFonts w:ascii="Arial" w:cs="Arial" w:eastAsia="Arial" w:hAnsi="Arial"/>
          <w:sz w:val="24"/>
          <w:szCs w:val="24"/>
        </w:rPr>
        <w:t xml:space="preserve"> a partir de 02/03/2026 — não impugnou diversos fundamentos centrais da r. sentença, sobretudo aqueles que dizem respeito à </w:t>
      </w:r>
      <w:r>
        <w:rPr>
          <w:rFonts w:ascii="Arial" w:cs="Arial" w:eastAsia="Arial" w:hAnsi="Arial"/>
          <w:b/>
          <w:bCs/>
          <w:sz w:val="24"/>
          <w:szCs w:val="24"/>
        </w:rPr>
        <w:t xml:space="preserve">mais de dez anos de descumprimento sistemático do plano de recuperação</w:t>
      </w:r>
      <w:r>
        <w:rPr>
          <w:rFonts w:ascii="Arial" w:cs="Arial" w:eastAsia="Arial" w:hAnsi="Arial"/>
          <w:sz w:val="24"/>
          <w:szCs w:val="24"/>
        </w:rPr>
        <w:t xml:space="preserve"> originalmente aprovado, ao acúmulo de habilitações de crédito, à insuficiência crônica de faturamento e à </w:t>
      </w:r>
      <w:r>
        <w:rPr>
          <w:rFonts w:ascii="Arial" w:cs="Arial" w:eastAsia="Arial" w:hAnsi="Arial"/>
          <w:b/>
          <w:bCs/>
          <w:sz w:val="24"/>
          <w:szCs w:val="24"/>
        </w:rPr>
        <w:t xml:space="preserve">inexistência material de atividade empresarial em curso</w:t>
      </w:r>
      <w:r>
        <w:rPr>
          <w:rFonts w:ascii="Arial" w:cs="Arial" w:eastAsia="Arial" w:hAnsi="Arial"/>
          <w:sz w:val="24"/>
          <w:szCs w:val="24"/>
        </w:rPr>
        <w:t xml:space="preserve">. A estabilização desses fundamentos, por força da preclusão lógica e da ausência de impugnação específica (CPC/2015, art. 1.021, § 1º, aplicado por analogia), </w:t>
      </w:r>
      <w:r>
        <w:rPr>
          <w:rFonts w:ascii="Arial" w:cs="Arial" w:eastAsia="Arial" w:hAnsi="Arial"/>
          <w:b/>
          <w:bCs/>
          <w:sz w:val="24"/>
          <w:szCs w:val="24"/>
        </w:rPr>
        <w:t xml:space="preserve">compromete, na origem, a viabilidade jurídica do recurso</w:t>
      </w:r>
      <w:r>
        <w:rPr>
          <w:rFonts w:ascii="Arial" w:cs="Arial" w:eastAsia="Arial" w:hAnsi="Arial"/>
          <w:sz w:val="24"/>
          <w:szCs w:val="24"/>
        </w:rPr>
        <w:t xml:space="preserve">, porquanto subsistem, intocados, os pilares fáticos da convolação.</w:t>
      </w:r>
    </w:p>
    <w:p>
      <w:pPr>
        <w:keepNext/>
        <w:spacing w:after="180" w:before="360"/>
        <w:jc w:val="both"/>
      </w:pPr>
      <w:r>
        <w:rPr>
          <w:rFonts w:ascii="Arial" w:cs="Arial" w:eastAsia="Arial" w:hAnsi="Arial"/>
          <w:b/>
          <w:bCs/>
          <w:sz w:val="26"/>
          <w:szCs w:val="26"/>
        </w:rPr>
        <w:t xml:space="preserve">IV — DA INSPEÇÃO IN LOCO E DA VERDADE DOS AUTOS — O RETRATO IRREFUTÁVEL DO ABANDONO MATERIAL DA SEDE DA FALIDA</w:t>
      </w:r>
    </w:p>
    <w:p>
      <w:pPr>
        <w:spacing w:after="120" w:before="0" w:line="360"/>
        <w:jc w:val="both"/>
      </w:pPr>
      <w:r>
        <w:rPr>
          <w:rFonts w:ascii="Arial" w:cs="Arial" w:eastAsia="Arial" w:hAnsi="Arial"/>
          <w:sz w:val="24"/>
          <w:szCs w:val="24"/>
        </w:rPr>
        <w:t xml:space="preserve">Se a sentença recorrida poderia, em tese, fazer-se atacar com base em desconhecimento ou alegações genéricas — e não pode —, a investida da Agravante torna-se </w:t>
      </w:r>
      <w:r>
        <w:rPr>
          <w:rFonts w:ascii="Arial" w:cs="Arial" w:eastAsia="Arial" w:hAnsi="Arial"/>
          <w:b/>
          <w:bCs/>
          <w:sz w:val="24"/>
          <w:szCs w:val="24"/>
        </w:rPr>
        <w:t xml:space="preserve">absolutamente insustentável</w:t>
      </w:r>
      <w:r>
        <w:rPr>
          <w:rFonts w:ascii="Arial" w:cs="Arial" w:eastAsia="Arial" w:hAnsi="Arial"/>
          <w:sz w:val="24"/>
          <w:szCs w:val="24"/>
        </w:rPr>
        <w:t xml:space="preserve"> à luz da prova material que, neste momento processual, integra os autos da falência: a inspeção realizada por esta Administração Judicial na sede da Falida, devidamente documentada por </w:t>
      </w:r>
      <w:r>
        <w:rPr>
          <w:rFonts w:ascii="Arial" w:cs="Arial" w:eastAsia="Arial" w:hAnsi="Arial"/>
          <w:b/>
          <w:bCs/>
          <w:sz w:val="24"/>
          <w:szCs w:val="24"/>
        </w:rPr>
        <w:t xml:space="preserve">relatório circunstanciado e farto acervo fotográfico juntados aos autos do processo originário</w:t>
      </w:r>
      <w:r>
        <w:rPr>
          <w:rFonts w:ascii="Arial" w:cs="Arial" w:eastAsia="Arial" w:hAnsi="Arial"/>
          <w:sz w:val="24"/>
          <w:szCs w:val="24"/>
        </w:rPr>
        <w:t xml:space="preserve">. Os fatos são tão eloquentes que dispensam retórica.</w:t>
      </w:r>
    </w:p>
    <w:p>
      <w:pPr>
        <w:spacing w:after="120" w:before="0" w:line="360"/>
        <w:jc w:val="both"/>
      </w:pPr>
      <w:r>
        <w:rPr>
          <w:rFonts w:ascii="Arial" w:cs="Arial" w:eastAsia="Arial" w:hAnsi="Arial"/>
          <w:sz w:val="24"/>
          <w:szCs w:val="24"/>
        </w:rPr>
        <w:t xml:space="preserve">Antes mesmo da inspeção propriamente dita, </w:t>
      </w:r>
      <w:r>
        <w:rPr>
          <w:rFonts w:ascii="Arial" w:cs="Arial" w:eastAsia="Arial" w:hAnsi="Arial"/>
          <w:b/>
          <w:bCs/>
          <w:sz w:val="24"/>
          <w:szCs w:val="24"/>
        </w:rPr>
        <w:t xml:space="preserve">o próprio juízo de origem teve necessidade de expedir, em 03 de março de 2026, </w:t>
      </w:r>
      <w:r>
        <w:rPr>
          <w:rFonts w:ascii="Arial" w:cs="Arial" w:eastAsia="Arial" w:hAnsi="Arial"/>
          <w:b/>
          <w:bCs/>
          <w:sz w:val="24"/>
          <w:szCs w:val="24"/>
        </w:rPr>
        <w:t xml:space="preserve">Mandado de Arrombamento e Lacre</w:t>
      </w:r>
      <w:r>
        <w:rPr>
          <w:rFonts w:ascii="Arial" w:cs="Arial" w:eastAsia="Arial" w:hAnsi="Arial"/>
          <w:sz w:val="24"/>
          <w:szCs w:val="24"/>
        </w:rPr>
        <w:t xml:space="preserve"> (ID 2105946621), com finalidade de arrecadação dos bens na sede empresarial e lacração do estabelecimento, nos termos dos arts. 108 e 109 da LREF. Como bem se sabe, </w:t>
      </w:r>
      <w:r>
        <w:rPr>
          <w:rFonts w:ascii="Arial" w:cs="Arial" w:eastAsia="Arial" w:hAnsi="Arial"/>
          <w:b/>
          <w:bCs/>
          <w:sz w:val="24"/>
          <w:szCs w:val="24"/>
        </w:rPr>
        <w:t xml:space="preserve">arrombamento</w:t>
      </w:r>
      <w:r>
        <w:rPr>
          <w:rFonts w:ascii="Arial" w:cs="Arial" w:eastAsia="Arial" w:hAnsi="Arial"/>
          <w:sz w:val="24"/>
          <w:szCs w:val="24"/>
        </w:rPr>
        <w:t xml:space="preserve"> não é providência banal; é, em si, um </w:t>
      </w:r>
      <w:r>
        <w:rPr>
          <w:rFonts w:ascii="Arial" w:cs="Arial" w:eastAsia="Arial" w:hAnsi="Arial"/>
          <w:b/>
          <w:bCs/>
          <w:sz w:val="24"/>
          <w:szCs w:val="24"/>
        </w:rPr>
        <w:t xml:space="preserve">reconhecimento judicial</w:t>
      </w:r>
      <w:r>
        <w:rPr>
          <w:rFonts w:ascii="Arial" w:cs="Arial" w:eastAsia="Arial" w:hAnsi="Arial"/>
          <w:sz w:val="24"/>
          <w:szCs w:val="24"/>
        </w:rPr>
        <w:t xml:space="preserve"> de que o estabelecimento se encontra fechado, sem acesso ordinário, em estado tal que </w:t>
      </w:r>
      <w:r>
        <w:rPr>
          <w:rFonts w:ascii="Arial" w:cs="Arial" w:eastAsia="Arial" w:hAnsi="Arial"/>
          <w:b/>
          <w:bCs/>
          <w:sz w:val="24"/>
          <w:szCs w:val="24"/>
        </w:rPr>
        <w:t xml:space="preserve">exige o uso da força pública para que a tutela falimentar possa se materializar</w:t>
      </w:r>
      <w:r>
        <w:rPr>
          <w:rFonts w:ascii="Arial" w:cs="Arial" w:eastAsia="Arial" w:hAnsi="Arial"/>
          <w:sz w:val="24"/>
          <w:szCs w:val="24"/>
        </w:rPr>
        <w:t xml:space="preserve">. Já aí, antes mesmo de qualquer descrição factual desta Administração Judicial, a tese da Agravante — de que existe atividade empresarial a ser preservada — encontra </w:t>
      </w:r>
      <w:r>
        <w:rPr>
          <w:rFonts w:ascii="Arial" w:cs="Arial" w:eastAsia="Arial" w:hAnsi="Arial"/>
          <w:b/>
          <w:bCs/>
          <w:sz w:val="24"/>
          <w:szCs w:val="24"/>
        </w:rPr>
        <w:t xml:space="preserve">o seu primeiro desmentido nos próprios autos</w:t>
      </w:r>
      <w:r>
        <w:rPr>
          <w:rFonts w:ascii="Arial" w:cs="Arial" w:eastAsia="Arial" w:hAnsi="Arial"/>
          <w:sz w:val="24"/>
          <w:szCs w:val="24"/>
        </w:rPr>
        <w:t xml:space="preserve">.</w:t>
      </w:r>
    </w:p>
    <w:p>
      <w:pPr>
        <w:spacing w:after="120" w:before="0" w:line="360"/>
        <w:jc w:val="both"/>
      </w:pPr>
      <w:r>
        <w:rPr>
          <w:rFonts w:ascii="Arial" w:cs="Arial" w:eastAsia="Arial" w:hAnsi="Arial"/>
          <w:sz w:val="24"/>
          <w:szCs w:val="24"/>
        </w:rPr>
        <w:t xml:space="preserve">A inspeção, conduzida na sede declarada da Falida — Av. Graça Aranha, nº 226, 9º andar, Centro, Rio de Janeiro —, </w:t>
      </w:r>
      <w:r>
        <w:rPr>
          <w:rFonts w:ascii="Arial" w:cs="Arial" w:eastAsia="Arial" w:hAnsi="Arial"/>
          <w:b/>
          <w:bCs/>
          <w:sz w:val="24"/>
          <w:szCs w:val="24"/>
        </w:rPr>
        <w:t xml:space="preserve">confirmou, com sobras, o quadro de absoluto abandono</w:t>
      </w:r>
      <w:r>
        <w:rPr>
          <w:rFonts w:ascii="Arial" w:cs="Arial" w:eastAsia="Arial" w:hAnsi="Arial"/>
          <w:sz w:val="24"/>
          <w:szCs w:val="24"/>
        </w:rPr>
        <w:t xml:space="preserve">. Para que se diga em poucas linhas o que dezenas de fotografias mostram, registre-se: o ambiente apresenta </w:t>
      </w:r>
      <w:r>
        <w:rPr>
          <w:rFonts w:ascii="Arial" w:cs="Arial" w:eastAsia="Arial" w:hAnsi="Arial"/>
          <w:b/>
          <w:bCs/>
          <w:sz w:val="24"/>
          <w:szCs w:val="24"/>
        </w:rPr>
        <w:t xml:space="preserve">camadas de poeira tão consolidadas que poderiam ser datadas como camadas geológicas</w:t>
      </w:r>
      <w:r>
        <w:rPr>
          <w:rFonts w:ascii="Arial" w:cs="Arial" w:eastAsia="Arial" w:hAnsi="Arial"/>
          <w:sz w:val="24"/>
          <w:szCs w:val="24"/>
        </w:rPr>
        <w:t xml:space="preserve">; há </w:t>
      </w:r>
      <w:r>
        <w:rPr>
          <w:rFonts w:ascii="Arial" w:cs="Arial" w:eastAsia="Arial" w:hAnsi="Arial"/>
          <w:b/>
          <w:bCs/>
          <w:sz w:val="24"/>
          <w:szCs w:val="24"/>
        </w:rPr>
        <w:t xml:space="preserve">traças e detritos animais</w:t>
      </w:r>
      <w:r>
        <w:rPr>
          <w:rFonts w:ascii="Arial" w:cs="Arial" w:eastAsia="Arial" w:hAnsi="Arial"/>
          <w:sz w:val="24"/>
          <w:szCs w:val="24"/>
        </w:rPr>
        <w:t xml:space="preserve"> depositados sobre mobiliário, sofás e pisos do hall de entrada — sinal incontroverso de que ali não circula ninguém há anos; </w:t>
      </w:r>
      <w:r>
        <w:rPr>
          <w:rFonts w:ascii="Arial" w:cs="Arial" w:eastAsia="Arial" w:hAnsi="Arial"/>
          <w:b/>
          <w:bCs/>
          <w:sz w:val="24"/>
          <w:szCs w:val="24"/>
        </w:rPr>
        <w:t xml:space="preserve">as bancadas, mesas e estações de trabalho</w:t>
      </w:r>
      <w:r>
        <w:rPr>
          <w:rFonts w:ascii="Arial" w:cs="Arial" w:eastAsia="Arial" w:hAnsi="Arial"/>
          <w:sz w:val="24"/>
          <w:szCs w:val="24"/>
        </w:rPr>
        <w:t xml:space="preserve"> encontram-se cobertas e desativadas; e o </w:t>
      </w:r>
      <w:r>
        <w:rPr>
          <w:rFonts w:ascii="Arial" w:cs="Arial" w:eastAsia="Arial" w:hAnsi="Arial"/>
          <w:b/>
          <w:bCs/>
          <w:sz w:val="24"/>
          <w:szCs w:val="24"/>
        </w:rPr>
        <w:t xml:space="preserve">parque tecnológico</w:t>
      </w:r>
      <w:r>
        <w:rPr>
          <w:rFonts w:ascii="Arial" w:cs="Arial" w:eastAsia="Arial" w:hAnsi="Arial"/>
          <w:sz w:val="24"/>
          <w:szCs w:val="24"/>
        </w:rPr>
        <w:t xml:space="preserve"> — se é que essa expressão pode ser empregada com seriedade neste caso — </w:t>
      </w:r>
      <w:r>
        <w:rPr>
          <w:rFonts w:ascii="Arial" w:cs="Arial" w:eastAsia="Arial" w:hAnsi="Arial"/>
          <w:b/>
          <w:bCs/>
          <w:sz w:val="24"/>
          <w:szCs w:val="24"/>
        </w:rPr>
        <w:t xml:space="preserve">é uma cápsula do tempo</w:t>
      </w:r>
      <w:r>
        <w:rPr>
          <w:rFonts w:ascii="Arial" w:cs="Arial" w:eastAsia="Arial" w:hAnsi="Arial"/>
          <w:sz w:val="24"/>
          <w:szCs w:val="24"/>
        </w:rPr>
        <w:t xml:space="preserve">: computadores tubulares, monitores CRT, </w:t>
      </w:r>
      <w:r>
        <w:rPr>
          <w:rFonts w:ascii="Arial" w:cs="Arial" w:eastAsia="Arial" w:hAnsi="Arial"/>
          <w:b/>
          <w:bCs/>
          <w:sz w:val="24"/>
          <w:szCs w:val="24"/>
        </w:rPr>
        <w:t xml:space="preserve">televisores de tubo</w:t>
      </w:r>
      <w:r>
        <w:rPr>
          <w:rFonts w:ascii="Arial" w:cs="Arial" w:eastAsia="Arial" w:hAnsi="Arial"/>
          <w:sz w:val="24"/>
          <w:szCs w:val="24"/>
        </w:rPr>
        <w:t xml:space="preserve">, </w:t>
      </w:r>
      <w:r>
        <w:rPr>
          <w:rFonts w:ascii="Arial" w:cs="Arial" w:eastAsia="Arial" w:hAnsi="Arial"/>
          <w:b/>
          <w:bCs/>
          <w:sz w:val="24"/>
          <w:szCs w:val="24"/>
        </w:rPr>
        <w:t xml:space="preserve">aparelhos de videocassete</w:t>
      </w:r>
      <w:r>
        <w:rPr>
          <w:rFonts w:ascii="Arial" w:cs="Arial" w:eastAsia="Arial" w:hAnsi="Arial"/>
          <w:sz w:val="24"/>
          <w:szCs w:val="24"/>
        </w:rPr>
        <w:t xml:space="preserve">, impressoras matriciais, agendas e papelaria com calendários do final dos anos 1990 e início dos anos 2000.</w:t>
      </w:r>
    </w:p>
    <w:p>
      <w:pPr>
        <w:spacing w:after="120" w:before="0" w:line="360"/>
        <w:jc w:val="both"/>
      </w:pPr>
      <w:r>
        <w:rPr>
          <w:rFonts w:ascii="Arial" w:cs="Arial" w:eastAsia="Arial" w:hAnsi="Arial"/>
          <w:sz w:val="24"/>
          <w:szCs w:val="24"/>
        </w:rPr>
        <w:t xml:space="preserve">Adotando-se, como aqui se faz, </w:t>
      </w:r>
      <w:r>
        <w:rPr>
          <w:rFonts w:ascii="Arial" w:cs="Arial" w:eastAsia="Arial" w:hAnsi="Arial"/>
          <w:b/>
          <w:bCs/>
          <w:sz w:val="24"/>
          <w:szCs w:val="24"/>
        </w:rPr>
        <w:t xml:space="preserve">o critério mais conservador possível</w:t>
      </w:r>
      <w:r>
        <w:rPr>
          <w:rFonts w:ascii="Arial" w:cs="Arial" w:eastAsia="Arial" w:hAnsi="Arial"/>
          <w:sz w:val="24"/>
          <w:szCs w:val="24"/>
        </w:rPr>
        <w:t xml:space="preserve"> e concedendo à Falida o benefício da dúvida quanto à interpretação dos vestígios, </w:t>
      </w:r>
      <w:r>
        <w:rPr>
          <w:rFonts w:ascii="Arial" w:cs="Arial" w:eastAsia="Arial" w:hAnsi="Arial"/>
          <w:b/>
          <w:bCs/>
          <w:sz w:val="24"/>
          <w:szCs w:val="24"/>
        </w:rPr>
        <w:t xml:space="preserve">o local não vê atividade empresarial regular há, no mínimo, seis anos</w:t>
      </w:r>
      <w:r>
        <w:rPr>
          <w:rFonts w:ascii="Arial" w:cs="Arial" w:eastAsia="Arial" w:hAnsi="Arial"/>
          <w:sz w:val="24"/>
          <w:szCs w:val="24"/>
        </w:rPr>
        <w:t xml:space="preserve">. Os equipamentos não foram simplesmente descontinuados ou substituídos: foram </w:t>
      </w:r>
      <w:r>
        <w:rPr>
          <w:rFonts w:ascii="Arial" w:cs="Arial" w:eastAsia="Arial" w:hAnsi="Arial"/>
          <w:b/>
          <w:bCs/>
          <w:sz w:val="24"/>
          <w:szCs w:val="24"/>
        </w:rPr>
        <w:t xml:space="preserve">abandonados em meio a uma estrutura mais ampla de descontinuidade</w:t>
      </w:r>
      <w:r>
        <w:rPr>
          <w:rFonts w:ascii="Arial" w:cs="Arial" w:eastAsia="Arial" w:hAnsi="Arial"/>
          <w:sz w:val="24"/>
          <w:szCs w:val="24"/>
        </w:rPr>
        <w:t xml:space="preserve">, sem manutenção, sem registro de operação, sem qualquer indício documental ou material da existência, naquele endereço, de qualquer atividade econômica organizada nos anos imediatamente anteriores ao decreto falimentar.</w:t>
      </w:r>
    </w:p>
    <w:p>
      <w:pPr>
        <w:spacing w:after="120" w:before="0" w:line="360"/>
        <w:jc w:val="both"/>
      </w:pPr>
      <w:r>
        <w:rPr>
          <w:rFonts w:ascii="Arial" w:cs="Arial" w:eastAsia="Arial" w:hAnsi="Arial"/>
          <w:sz w:val="24"/>
          <w:szCs w:val="24"/>
        </w:rPr>
        <w:t xml:space="preserve">Permita-se a esta Colenda Câmara — porque a imagem é a forma mais econômica de transmitir a verdade dos fatos — </w:t>
      </w:r>
      <w:r>
        <w:rPr>
          <w:rFonts w:ascii="Arial" w:cs="Arial" w:eastAsia="Arial" w:hAnsi="Arial"/>
          <w:b/>
          <w:bCs/>
          <w:sz w:val="24"/>
          <w:szCs w:val="24"/>
        </w:rPr>
        <w:t xml:space="preserve">a única analogia cinematográfica que o caso admite</w:t>
      </w:r>
      <w:r>
        <w:rPr>
          <w:rFonts w:ascii="Arial" w:cs="Arial" w:eastAsia="Arial" w:hAnsi="Arial"/>
          <w:sz w:val="24"/>
          <w:szCs w:val="24"/>
        </w:rPr>
        <w:t xml:space="preserve">. A visita à sede declarada da Falida não é uma inspeção empresarial: é uma </w:t>
      </w:r>
      <w:r>
        <w:rPr>
          <w:rFonts w:ascii="Arial" w:cs="Arial" w:eastAsia="Arial" w:hAnsi="Arial"/>
          <w:b/>
          <w:bCs/>
          <w:sz w:val="24"/>
          <w:szCs w:val="24"/>
        </w:rPr>
        <w:t xml:space="preserve">viagem ao passado em escala 1:1</w:t>
      </w:r>
      <w:r>
        <w:rPr>
          <w:rFonts w:ascii="Arial" w:cs="Arial" w:eastAsia="Arial" w:hAnsi="Arial"/>
          <w:sz w:val="24"/>
          <w:szCs w:val="24"/>
        </w:rPr>
        <w:t xml:space="preserve">. Quem cruza aquele portão sente que abriu, sem querer, a porta do </w:t>
      </w:r>
      <w:r>
        <w:rPr>
          <w:rFonts w:ascii="Arial" w:cs="Arial" w:eastAsia="Arial" w:hAnsi="Arial"/>
          <w:i/>
          <w:iCs/>
          <w:sz w:val="24"/>
          <w:szCs w:val="24"/>
        </w:rPr>
        <w:t xml:space="preserve">DeLorean</w:t>
      </w:r>
      <w:r>
        <w:rPr>
          <w:rFonts w:ascii="Arial" w:cs="Arial" w:eastAsia="Arial" w:hAnsi="Arial"/>
          <w:sz w:val="24"/>
          <w:szCs w:val="24"/>
        </w:rPr>
        <w:t xml:space="preserve"> do </w:t>
      </w:r>
      <w:r>
        <w:rPr>
          <w:rFonts w:ascii="Arial" w:cs="Arial" w:eastAsia="Arial" w:hAnsi="Arial"/>
          <w:i/>
          <w:iCs/>
          <w:sz w:val="24"/>
          <w:szCs w:val="24"/>
        </w:rPr>
        <w:t xml:space="preserve">"De Volta para o Futuro"</w:t>
      </w:r>
      <w:r>
        <w:rPr>
          <w:rFonts w:ascii="Arial" w:cs="Arial" w:eastAsia="Arial" w:hAnsi="Arial"/>
          <w:sz w:val="24"/>
          <w:szCs w:val="24"/>
        </w:rPr>
        <w:t xml:space="preserve"> e que o velocímetro travou em algum ponto entre 1998 e 2002 — tubo de imagem ainda zumbindo, fitas VHS sobre o aparelho, computadores cujos sistemas operacionais já são, há mais de duas décadas, peças de museu. Apenas, neste caso, </w:t>
      </w:r>
      <w:r>
        <w:rPr>
          <w:rFonts w:ascii="Arial" w:cs="Arial" w:eastAsia="Arial" w:hAnsi="Arial"/>
          <w:b/>
          <w:bCs/>
          <w:sz w:val="24"/>
          <w:szCs w:val="24"/>
        </w:rPr>
        <w:t xml:space="preserve">não há "futuro" para onde retornar</w:t>
      </w:r>
      <w:r>
        <w:rPr>
          <w:rFonts w:ascii="Arial" w:cs="Arial" w:eastAsia="Arial" w:hAnsi="Arial"/>
          <w:sz w:val="24"/>
          <w:szCs w:val="24"/>
        </w:rPr>
        <w:t xml:space="preserve">: nada ali sugere, sequer remotamente, que essa "máquina do tempo" tenha sido desligada para uma manutenção; ela foi, simplesmente, </w:t>
      </w:r>
      <w:r>
        <w:rPr>
          <w:rFonts w:ascii="Arial" w:cs="Arial" w:eastAsia="Arial" w:hAnsi="Arial"/>
          <w:b/>
          <w:bCs/>
          <w:sz w:val="24"/>
          <w:szCs w:val="24"/>
        </w:rPr>
        <w:t xml:space="preserve">abandonada</w:t>
      </w:r>
      <w:r>
        <w:rPr>
          <w:rFonts w:ascii="Arial" w:cs="Arial" w:eastAsia="Arial" w:hAnsi="Arial"/>
          <w:sz w:val="24"/>
          <w:szCs w:val="24"/>
        </w:rPr>
        <w:t xml:space="preserve"> — e, junto com ela, o próprio conceito de empresa em funcionamento. Onde a Agravante enxerga a virtualidade de uma sociedade pronta a se reerguer, esta Administração Judicial, nesta visita, encontrou apenas o </w:t>
      </w:r>
      <w:r>
        <w:rPr>
          <w:rFonts w:ascii="Arial" w:cs="Arial" w:eastAsia="Arial" w:hAnsi="Arial"/>
          <w:b/>
          <w:bCs/>
          <w:sz w:val="24"/>
          <w:szCs w:val="24"/>
        </w:rPr>
        <w:t xml:space="preserve">cenário mudo de uma atividade que cessou</w:t>
      </w:r>
      <w:r>
        <w:rPr>
          <w:rFonts w:ascii="Arial" w:cs="Arial" w:eastAsia="Arial" w:hAnsi="Arial"/>
          <w:sz w:val="24"/>
          <w:szCs w:val="24"/>
        </w:rPr>
        <w:t xml:space="preserve"> — para usar a expressão técnica adequada — há, no mínimo, seis anos.</w:t>
      </w:r>
    </w:p>
    <w:p>
      <w:pPr>
        <w:spacing w:after="120" w:before="0" w:line="360"/>
        <w:jc w:val="both"/>
      </w:pPr>
      <w:r>
        <w:rPr>
          <w:rFonts w:ascii="Arial" w:cs="Arial" w:eastAsia="Arial" w:hAnsi="Arial"/>
          <w:sz w:val="24"/>
          <w:szCs w:val="24"/>
        </w:rPr>
        <w:t xml:space="preserve">A consequência processual desse retrato é direta. Quando a Agravante invoca, em seu recurso, a possibilidade de novo plano de recuperação, de soerguimento ou de retomada das atividades empresariais, </w:t>
      </w:r>
      <w:r>
        <w:rPr>
          <w:rFonts w:ascii="Arial" w:cs="Arial" w:eastAsia="Arial" w:hAnsi="Arial"/>
          <w:b/>
          <w:bCs/>
          <w:sz w:val="24"/>
          <w:szCs w:val="24"/>
        </w:rPr>
        <w:t xml:space="preserve">está, a rigor, narrando uma empresa que não existe mais</w:t>
      </w:r>
      <w:r>
        <w:rPr>
          <w:rFonts w:ascii="Arial" w:cs="Arial" w:eastAsia="Arial" w:hAnsi="Arial"/>
          <w:sz w:val="24"/>
          <w:szCs w:val="24"/>
        </w:rPr>
        <w:t xml:space="preserve"> — pelo menos como organização produtiva inserida no mercado. Os argumentos não são apenas de ordem econômica e financeira; </w:t>
      </w:r>
      <w:r>
        <w:rPr>
          <w:rFonts w:ascii="Arial" w:cs="Arial" w:eastAsia="Arial" w:hAnsi="Arial"/>
          <w:b/>
          <w:bCs/>
          <w:sz w:val="24"/>
          <w:szCs w:val="24"/>
        </w:rPr>
        <w:t xml:space="preserve">são, antes, de ordem ontológica</w:t>
      </w:r>
      <w:r>
        <w:rPr>
          <w:rFonts w:ascii="Arial" w:cs="Arial" w:eastAsia="Arial" w:hAnsi="Arial"/>
          <w:sz w:val="24"/>
          <w:szCs w:val="24"/>
        </w:rPr>
        <w:t xml:space="preserve">: </w:t>
      </w:r>
      <w:r>
        <w:rPr>
          <w:rFonts w:ascii="Arial" w:cs="Arial" w:eastAsia="Arial" w:hAnsi="Arial"/>
          <w:b/>
          <w:bCs/>
          <w:sz w:val="24"/>
          <w:szCs w:val="24"/>
        </w:rPr>
        <w:t xml:space="preserve">não há empresa onde não há atividade empresarial</w:t>
      </w:r>
      <w:r>
        <w:rPr>
          <w:rFonts w:ascii="Arial" w:cs="Arial" w:eastAsia="Arial" w:hAnsi="Arial"/>
          <w:sz w:val="24"/>
          <w:szCs w:val="24"/>
        </w:rPr>
        <w:t xml:space="preserve">. E sem empresa, não há recuperação a se preservar — só há, juridicamente, </w:t>
      </w:r>
      <w:r>
        <w:rPr>
          <w:rFonts w:ascii="Arial" w:cs="Arial" w:eastAsia="Arial" w:hAnsi="Arial"/>
          <w:b/>
          <w:bCs/>
          <w:sz w:val="24"/>
          <w:szCs w:val="24"/>
        </w:rPr>
        <w:t xml:space="preserve">a liquidação ordenada do que sobrou</w:t>
      </w:r>
      <w:r>
        <w:rPr>
          <w:rFonts w:ascii="Arial" w:cs="Arial" w:eastAsia="Arial" w:hAnsi="Arial"/>
          <w:sz w:val="24"/>
          <w:szCs w:val="24"/>
        </w:rPr>
        <w:t xml:space="preserve">, que é, exatamente, a função residual do regime falimentar.</w:t>
      </w:r>
    </w:p>
    <w:p>
      <w:pPr>
        <w:keepNext/>
        <w:spacing w:after="180" w:before="360"/>
        <w:jc w:val="both"/>
      </w:pPr>
      <w:r>
        <w:rPr>
          <w:rFonts w:ascii="Arial" w:cs="Arial" w:eastAsia="Arial" w:hAnsi="Arial"/>
          <w:b/>
          <w:bCs/>
          <w:sz w:val="26"/>
          <w:szCs w:val="26"/>
        </w:rPr>
        <w:t xml:space="preserve">V — DA AUSÊNCIA DE ATIVIDADE EMPRESARIAL COMO PRESSUPOSTO INTRANSPONÍVEL — POR QUE NÃO HÁ RECUPERAÇÃO POSSÍVEL DE EMPRESA QUE NÃO EXISTE</w:t>
      </w:r>
    </w:p>
    <w:p>
      <w:pPr>
        <w:spacing w:after="120" w:before="0" w:line="360"/>
        <w:jc w:val="both"/>
      </w:pPr>
      <w:r>
        <w:rPr>
          <w:rFonts w:ascii="Arial" w:cs="Arial" w:eastAsia="Arial" w:hAnsi="Arial"/>
          <w:sz w:val="24"/>
          <w:szCs w:val="24"/>
        </w:rPr>
        <w:t xml:space="preserve">A Lei nº 11.101/2005 enuncia, em seu art. 47, o princípio da preservação da empresa nos seguintes termos:</w:t>
      </w:r>
    </w:p>
    <w:p>
      <w:pPr>
        <w:spacing w:after="120" w:before="120" w:line="300"/>
        <w:ind w:left="1134" w:right="567"/>
        <w:jc w:val="both"/>
      </w:pPr>
      <w:r>
        <w:rPr>
          <w:rFonts w:ascii="Arial" w:cs="Arial" w:eastAsia="Arial" w:hAnsi="Arial"/>
          <w:i/>
          <w:iCs/>
          <w:sz w:val="22"/>
          <w:szCs w:val="22"/>
        </w:rPr>
        <w:t xml:space="preserve">"A recuperação judicial tem por objetivo viabilizar a superação da situação de crise econômico-financeira do devedor, a fim de permitir a manutenção da fonte produtora, do emprego dos trabalhadores e dos interesses dos credores, promovendo, assim, a preservação da empresa, sua função social e o estímulo à atividade econômica."</w:t>
      </w:r>
    </w:p>
    <w:p>
      <w:pPr>
        <w:spacing w:after="120" w:before="0" w:line="360"/>
        <w:jc w:val="both"/>
      </w:pPr>
      <w:r>
        <w:rPr>
          <w:rFonts w:ascii="Arial" w:cs="Arial" w:eastAsia="Arial" w:hAnsi="Arial"/>
          <w:sz w:val="24"/>
          <w:szCs w:val="24"/>
        </w:rPr>
        <w:t xml:space="preserve">A doutrina especializada — </w:t>
      </w:r>
      <w:r>
        <w:rPr>
          <w:rFonts w:ascii="Arial" w:cs="Arial" w:eastAsia="Arial" w:hAnsi="Arial"/>
          <w:b/>
          <w:bCs/>
          <w:sz w:val="24"/>
          <w:szCs w:val="24"/>
        </w:rPr>
        <w:t xml:space="preserve">Marlon Tomazette</w:t>
      </w:r>
      <w:r>
        <w:rPr>
          <w:rFonts w:ascii="Arial" w:cs="Arial" w:eastAsia="Arial" w:hAnsi="Arial"/>
          <w:sz w:val="24"/>
          <w:szCs w:val="24"/>
        </w:rPr>
        <w:t xml:space="preserve"> (Curso de Direito Empresarial, vol. 3); </w:t>
      </w:r>
      <w:r>
        <w:rPr>
          <w:rFonts w:ascii="Arial" w:cs="Arial" w:eastAsia="Arial" w:hAnsi="Arial"/>
          <w:b/>
          <w:bCs/>
          <w:sz w:val="24"/>
          <w:szCs w:val="24"/>
        </w:rPr>
        <w:t xml:space="preserve">Fábio Ulhoa Coelho</w:t>
      </w:r>
      <w:r>
        <w:rPr>
          <w:rFonts w:ascii="Arial" w:cs="Arial" w:eastAsia="Arial" w:hAnsi="Arial"/>
          <w:sz w:val="24"/>
          <w:szCs w:val="24"/>
        </w:rPr>
        <w:t xml:space="preserve"> (Curso de Direito Comercial, vol. 3, e Comentários à Lei de Falências e de Recuperação de Empresas); </w:t>
      </w:r>
      <w:r>
        <w:rPr>
          <w:rFonts w:ascii="Arial" w:cs="Arial" w:eastAsia="Arial" w:hAnsi="Arial"/>
          <w:b/>
          <w:bCs/>
          <w:sz w:val="24"/>
          <w:szCs w:val="24"/>
        </w:rPr>
        <w:t xml:space="preserve">Luiz Roberto Ayoub e Cássio Cavalli</w:t>
      </w:r>
      <w:r>
        <w:rPr>
          <w:rFonts w:ascii="Arial" w:cs="Arial" w:eastAsia="Arial" w:hAnsi="Arial"/>
          <w:sz w:val="24"/>
          <w:szCs w:val="24"/>
        </w:rPr>
        <w:t xml:space="preserve"> (A Construção Jurisprudencial da Recuperação Judicial de Empresas); </w:t>
      </w:r>
      <w:r>
        <w:rPr>
          <w:rFonts w:ascii="Arial" w:cs="Arial" w:eastAsia="Arial" w:hAnsi="Arial"/>
          <w:b/>
          <w:bCs/>
          <w:sz w:val="24"/>
          <w:szCs w:val="24"/>
        </w:rPr>
        <w:t xml:space="preserve">Sheila Neder Cerezetti</w:t>
      </w:r>
      <w:r>
        <w:rPr>
          <w:rFonts w:ascii="Arial" w:cs="Arial" w:eastAsia="Arial" w:hAnsi="Arial"/>
          <w:sz w:val="24"/>
          <w:szCs w:val="24"/>
        </w:rPr>
        <w:t xml:space="preserve"> (A Recuperação Judicial de Sociedade por Ações: O Princípio da Preservação da Empresa na Lei de Recuperação e Falência); e </w:t>
      </w:r>
      <w:r>
        <w:rPr>
          <w:rFonts w:ascii="Arial" w:cs="Arial" w:eastAsia="Arial" w:hAnsi="Arial"/>
          <w:b/>
          <w:bCs/>
          <w:sz w:val="24"/>
          <w:szCs w:val="24"/>
        </w:rPr>
        <w:t xml:space="preserve">Waldo Fazzio Júnior</w:t>
      </w:r>
      <w:r>
        <w:rPr>
          <w:rFonts w:ascii="Arial" w:cs="Arial" w:eastAsia="Arial" w:hAnsi="Arial"/>
          <w:sz w:val="24"/>
          <w:szCs w:val="24"/>
        </w:rPr>
        <w:t xml:space="preserve"> (Lei de Falência e Recuperação de Empresas) — converge, sem fissuras relevantes, em torno de uma premissa elementar: </w:t>
      </w:r>
      <w:r>
        <w:rPr>
          <w:rFonts w:ascii="Arial" w:cs="Arial" w:eastAsia="Arial" w:hAnsi="Arial"/>
          <w:b/>
          <w:bCs/>
          <w:sz w:val="24"/>
          <w:szCs w:val="24"/>
        </w:rPr>
        <w:t xml:space="preserve">o princípio da preservação da empresa pressupõe a existência fática da empresa</w:t>
      </w:r>
      <w:r>
        <w:rPr>
          <w:rFonts w:ascii="Arial" w:cs="Arial" w:eastAsia="Arial" w:hAnsi="Arial"/>
          <w:sz w:val="24"/>
          <w:szCs w:val="24"/>
        </w:rPr>
        <w:t xml:space="preserve">. Não existe </w:t>
      </w:r>
      <w:r>
        <w:rPr>
          <w:rFonts w:ascii="Arial" w:cs="Arial" w:eastAsia="Arial" w:hAnsi="Arial"/>
          <w:b/>
          <w:bCs/>
          <w:sz w:val="24"/>
          <w:szCs w:val="24"/>
        </w:rPr>
        <w:t xml:space="preserve">preservação</w:t>
      </w:r>
      <w:r>
        <w:rPr>
          <w:rFonts w:ascii="Arial" w:cs="Arial" w:eastAsia="Arial" w:hAnsi="Arial"/>
          <w:sz w:val="24"/>
          <w:szCs w:val="24"/>
        </w:rPr>
        <w:t xml:space="preserve"> do que não existe; não existe </w:t>
      </w:r>
      <w:r>
        <w:rPr>
          <w:rFonts w:ascii="Arial" w:cs="Arial" w:eastAsia="Arial" w:hAnsi="Arial"/>
          <w:b/>
          <w:bCs/>
          <w:sz w:val="24"/>
          <w:szCs w:val="24"/>
        </w:rPr>
        <w:t xml:space="preserve">continuação</w:t>
      </w:r>
      <w:r>
        <w:rPr>
          <w:rFonts w:ascii="Arial" w:cs="Arial" w:eastAsia="Arial" w:hAnsi="Arial"/>
          <w:sz w:val="24"/>
          <w:szCs w:val="24"/>
        </w:rPr>
        <w:t xml:space="preserve"> da atividade econômica que cessou; não existe </w:t>
      </w:r>
      <w:r>
        <w:rPr>
          <w:rFonts w:ascii="Arial" w:cs="Arial" w:eastAsia="Arial" w:hAnsi="Arial"/>
          <w:b/>
          <w:bCs/>
          <w:sz w:val="24"/>
          <w:szCs w:val="24"/>
        </w:rPr>
        <w:t xml:space="preserve">soerguimento</w:t>
      </w:r>
      <w:r>
        <w:rPr>
          <w:rFonts w:ascii="Arial" w:cs="Arial" w:eastAsia="Arial" w:hAnsi="Arial"/>
          <w:sz w:val="24"/>
          <w:szCs w:val="24"/>
        </w:rPr>
        <w:t xml:space="preserve"> do que jamais voltará a operar.</w:t>
      </w:r>
    </w:p>
    <w:p>
      <w:pPr>
        <w:spacing w:after="120" w:before="0" w:line="360"/>
        <w:jc w:val="both"/>
      </w:pPr>
      <w:r>
        <w:rPr>
          <w:rFonts w:ascii="Arial" w:cs="Arial" w:eastAsia="Arial" w:hAnsi="Arial"/>
          <w:sz w:val="24"/>
          <w:szCs w:val="24"/>
        </w:rPr>
        <w:t xml:space="preserve">Como afirma </w:t>
      </w:r>
      <w:r>
        <w:rPr>
          <w:rFonts w:ascii="Arial" w:cs="Arial" w:eastAsia="Arial" w:hAnsi="Arial"/>
          <w:b/>
          <w:bCs/>
          <w:sz w:val="24"/>
          <w:szCs w:val="24"/>
        </w:rPr>
        <w:t xml:space="preserve">Fábio Ulhoa Coelho</w:t>
      </w:r>
      <w:r>
        <w:rPr>
          <w:rFonts w:ascii="Arial" w:cs="Arial" w:eastAsia="Arial" w:hAnsi="Arial"/>
          <w:sz w:val="24"/>
          <w:szCs w:val="24"/>
        </w:rPr>
        <w:t xml:space="preserve"> (Comentários à Lei de Falências, ed. RT — passim), o sistema da LREF não foi concebido para servir como </w:t>
      </w:r>
      <w:r>
        <w:rPr>
          <w:rFonts w:ascii="Arial" w:cs="Arial" w:eastAsia="Arial" w:hAnsi="Arial"/>
          <w:b/>
          <w:bCs/>
          <w:sz w:val="24"/>
          <w:szCs w:val="24"/>
        </w:rPr>
        <w:t xml:space="preserve">"sala de espera judicial"</w:t>
      </w:r>
      <w:r>
        <w:rPr>
          <w:rFonts w:ascii="Arial" w:cs="Arial" w:eastAsia="Arial" w:hAnsi="Arial"/>
          <w:sz w:val="24"/>
          <w:szCs w:val="24"/>
        </w:rPr>
        <w:t xml:space="preserve"> do empresário que </w:t>
      </w:r>
      <w:r>
        <w:rPr>
          <w:rFonts w:ascii="Arial" w:cs="Arial" w:eastAsia="Arial" w:hAnsi="Arial"/>
          <w:b/>
          <w:bCs/>
          <w:sz w:val="24"/>
          <w:szCs w:val="24"/>
        </w:rPr>
        <w:t xml:space="preserve">já fechou, mas ainda quer evitar a falência</w:t>
      </w:r>
      <w:r>
        <w:rPr>
          <w:rFonts w:ascii="Arial" w:cs="Arial" w:eastAsia="Arial" w:hAnsi="Arial"/>
          <w:sz w:val="24"/>
          <w:szCs w:val="24"/>
        </w:rPr>
        <w:t xml:space="preserve">: trata-se de instrumento técnico cuja vocação é a </w:t>
      </w:r>
      <w:r>
        <w:rPr>
          <w:rFonts w:ascii="Arial" w:cs="Arial" w:eastAsia="Arial" w:hAnsi="Arial"/>
          <w:b/>
          <w:bCs/>
          <w:sz w:val="24"/>
          <w:szCs w:val="24"/>
        </w:rPr>
        <w:t xml:space="preserve">reestruturação de empresas viáveis</w:t>
      </w:r>
      <w:r>
        <w:rPr>
          <w:rFonts w:ascii="Arial" w:cs="Arial" w:eastAsia="Arial" w:hAnsi="Arial"/>
          <w:sz w:val="24"/>
          <w:szCs w:val="24"/>
        </w:rPr>
        <w:t xml:space="preserve">, e cuja consequência natural, quando ausente a viabilidade, é o regime falimentar — exatamente o que aqui se decretou. No mesmo sentido vai </w:t>
      </w:r>
      <w:r>
        <w:rPr>
          <w:rFonts w:ascii="Arial" w:cs="Arial" w:eastAsia="Arial" w:hAnsi="Arial"/>
          <w:b/>
          <w:bCs/>
          <w:sz w:val="24"/>
          <w:szCs w:val="24"/>
        </w:rPr>
        <w:t xml:space="preserve">Waldo Fazzio Júnior</w:t>
      </w:r>
      <w:r>
        <w:rPr>
          <w:rFonts w:ascii="Arial" w:cs="Arial" w:eastAsia="Arial" w:hAnsi="Arial"/>
          <w:sz w:val="24"/>
          <w:szCs w:val="24"/>
        </w:rPr>
        <w:t xml:space="preserve">, acolhido inclusive pela r. sentença recorrida, ao registrar:</w:t>
      </w:r>
    </w:p>
    <w:p>
      <w:pPr>
        <w:spacing w:after="120" w:before="120" w:line="300"/>
        <w:ind w:left="1134" w:right="567"/>
        <w:jc w:val="both"/>
      </w:pPr>
      <w:r>
        <w:rPr>
          <w:rFonts w:ascii="Arial" w:cs="Arial" w:eastAsia="Arial" w:hAnsi="Arial"/>
          <w:i/>
          <w:iCs/>
          <w:sz w:val="22"/>
          <w:szCs w:val="22"/>
        </w:rPr>
        <w:t xml:space="preserve">"Pretende-se, com a LRE, na medida do possível, priorizar a recuperação sobre a liquidação. Só deve ser liquidada a empresa inviável, ou seja, aquela que não comporta uma reorganização eficiente ou não justifica o desejável resgate. É bom frisar que a preservação da empresa não significa a preservação do empresário ou dos administradores da sociedade empresária. Proteger a atividade produtiva implica, quase sempre, apartar os reais interesses envolvidos na empresa dos interesses de seus mentores."</w:t>
      </w:r>
    </w:p>
    <w:p>
      <w:pPr>
        <w:spacing w:after="120" w:before="0" w:line="360"/>
        <w:jc w:val="both"/>
      </w:pPr>
      <w:r>
        <w:rPr>
          <w:rFonts w:ascii="Arial" w:cs="Arial" w:eastAsia="Arial" w:hAnsi="Arial"/>
          <w:sz w:val="24"/>
          <w:szCs w:val="24"/>
        </w:rPr>
        <w:t xml:space="preserve">A jurisprudência do </w:t>
      </w:r>
      <w:r>
        <w:rPr>
          <w:rFonts w:ascii="Arial" w:cs="Arial" w:eastAsia="Arial" w:hAnsi="Arial"/>
          <w:b/>
          <w:bCs/>
          <w:sz w:val="24"/>
          <w:szCs w:val="24"/>
        </w:rPr>
        <w:t xml:space="preserve">Superior Tribunal de Justiça</w:t>
      </w:r>
      <w:r>
        <w:rPr>
          <w:rFonts w:ascii="Arial" w:cs="Arial" w:eastAsia="Arial" w:hAnsi="Arial"/>
          <w:sz w:val="24"/>
          <w:szCs w:val="24"/>
        </w:rPr>
        <w:t xml:space="preserve"> incorpora essa premissa de forma recorrente. Em precedentes como o </w:t>
      </w:r>
      <w:r>
        <w:rPr>
          <w:rFonts w:ascii="Arial" w:cs="Arial" w:eastAsia="Arial" w:hAnsi="Arial"/>
          <w:i/>
          <w:iCs/>
          <w:sz w:val="24"/>
          <w:szCs w:val="24"/>
        </w:rPr>
        <w:t xml:space="preserve">REsp 1.707.468/RS</w:t>
      </w:r>
      <w:r>
        <w:rPr>
          <w:rFonts w:ascii="Arial" w:cs="Arial" w:eastAsia="Arial" w:hAnsi="Arial"/>
          <w:sz w:val="24"/>
          <w:szCs w:val="24"/>
        </w:rPr>
        <w:t xml:space="preserve"> (3ª Turma) e o </w:t>
      </w:r>
      <w:r>
        <w:rPr>
          <w:rFonts w:ascii="Arial" w:cs="Arial" w:eastAsia="Arial" w:hAnsi="Arial"/>
          <w:i/>
          <w:iCs/>
          <w:sz w:val="24"/>
          <w:szCs w:val="24"/>
        </w:rPr>
        <w:t xml:space="preserve">REsp 1.193.480/SP</w:t>
      </w:r>
      <w:r>
        <w:rPr>
          <w:rFonts w:ascii="Arial" w:cs="Arial" w:eastAsia="Arial" w:hAnsi="Arial"/>
          <w:sz w:val="24"/>
          <w:szCs w:val="24"/>
        </w:rPr>
        <w:t xml:space="preserve"> [AMARELO — confirmar números e datas no portal do STJ antes do protocolo], a Corte assenta que (i) </w:t>
      </w:r>
      <w:r>
        <w:rPr>
          <w:rFonts w:ascii="Arial" w:cs="Arial" w:eastAsia="Arial" w:hAnsi="Arial"/>
          <w:b/>
          <w:bCs/>
          <w:sz w:val="24"/>
          <w:szCs w:val="24"/>
        </w:rPr>
        <w:t xml:space="preserve">a viabilidade econômica é pressuposto da recuperação judicial</w:t>
      </w:r>
      <w:r>
        <w:rPr>
          <w:rFonts w:ascii="Arial" w:cs="Arial" w:eastAsia="Arial" w:hAnsi="Arial"/>
          <w:sz w:val="24"/>
          <w:szCs w:val="24"/>
        </w:rPr>
        <w:t xml:space="preserve">; (ii) </w:t>
      </w:r>
      <w:r>
        <w:rPr>
          <w:rFonts w:ascii="Arial" w:cs="Arial" w:eastAsia="Arial" w:hAnsi="Arial"/>
          <w:b/>
          <w:bCs/>
          <w:sz w:val="24"/>
          <w:szCs w:val="24"/>
        </w:rPr>
        <w:t xml:space="preserve">a inexistência ou cessação fática da atividade empresarial constitui fundamento autônomo</w:t>
      </w:r>
      <w:r>
        <w:rPr>
          <w:rFonts w:ascii="Arial" w:cs="Arial" w:eastAsia="Arial" w:hAnsi="Arial"/>
          <w:sz w:val="24"/>
          <w:szCs w:val="24"/>
        </w:rPr>
        <w:t xml:space="preserve"> para a convolação em falência (art. 73 da LREF, lido em conjunto com o art. 47, </w:t>
      </w:r>
      <w:r>
        <w:rPr>
          <w:rFonts w:ascii="Arial" w:cs="Arial" w:eastAsia="Arial" w:hAnsi="Arial"/>
          <w:i/>
          <w:iCs/>
          <w:sz w:val="24"/>
          <w:szCs w:val="24"/>
        </w:rPr>
        <w:t xml:space="preserve">a contrario sensu</w:t>
      </w:r>
      <w:r>
        <w:rPr>
          <w:rFonts w:ascii="Arial" w:cs="Arial" w:eastAsia="Arial" w:hAnsi="Arial"/>
          <w:sz w:val="24"/>
          <w:szCs w:val="24"/>
        </w:rPr>
        <w:t xml:space="preserve">); e (iii) o princípio da preservação da empresa </w:t>
      </w:r>
      <w:r>
        <w:rPr>
          <w:rFonts w:ascii="Arial" w:cs="Arial" w:eastAsia="Arial" w:hAnsi="Arial"/>
          <w:b/>
          <w:bCs/>
          <w:sz w:val="24"/>
          <w:szCs w:val="24"/>
        </w:rPr>
        <w:t xml:space="preserve">não autoriza decisões que mantenham, à custa do sistema concursal, empresas materialmente inexistentes</w:t>
      </w:r>
      <w:r>
        <w:rPr>
          <w:rFonts w:ascii="Arial" w:cs="Arial" w:eastAsia="Arial" w:hAnsi="Arial"/>
          <w:sz w:val="24"/>
          <w:szCs w:val="24"/>
        </w:rPr>
        <w:t xml:space="preserve">. Não por outro motivo, o próprio STJ tem registrado, em sede de Recursos Repetitivos vinculados a aspectos correlatos da insolvência (a exemplo do </w:t>
      </w:r>
      <w:r>
        <w:rPr>
          <w:rFonts w:ascii="Arial" w:cs="Arial" w:eastAsia="Arial" w:hAnsi="Arial"/>
          <w:i/>
          <w:iCs/>
          <w:sz w:val="24"/>
          <w:szCs w:val="24"/>
        </w:rPr>
        <w:t xml:space="preserve">Tema 1.022/STJ</w:t>
      </w:r>
      <w:r>
        <w:rPr>
          <w:rFonts w:ascii="Arial" w:cs="Arial" w:eastAsia="Arial" w:hAnsi="Arial"/>
          <w:sz w:val="24"/>
          <w:szCs w:val="24"/>
        </w:rPr>
        <w:t xml:space="preserve"> — cabimento de agravo de instrumento contra todas as decisões interlocutórias proferidas em recuperação judicial e falência), o pressuposto sistêmico de que </w:t>
      </w:r>
      <w:r>
        <w:rPr>
          <w:rFonts w:ascii="Arial" w:cs="Arial" w:eastAsia="Arial" w:hAnsi="Arial"/>
          <w:b/>
          <w:bCs/>
          <w:sz w:val="24"/>
          <w:szCs w:val="24"/>
        </w:rPr>
        <w:t xml:space="preserve">a tutela recuperacional só se justifica enquanto subsiste atividade a tutelar</w:t>
      </w:r>
      <w:r>
        <w:rPr>
          <w:rFonts w:ascii="Arial" w:cs="Arial" w:eastAsia="Arial" w:hAnsi="Arial"/>
          <w:sz w:val="24"/>
          <w:szCs w:val="24"/>
        </w:rPr>
        <w:t xml:space="preserve">.</w:t>
      </w:r>
    </w:p>
    <w:p>
      <w:pPr>
        <w:spacing w:after="120" w:before="0" w:line="360"/>
        <w:jc w:val="both"/>
      </w:pPr>
      <w:r>
        <w:rPr>
          <w:rFonts w:ascii="Arial" w:cs="Arial" w:eastAsia="Arial" w:hAnsi="Arial"/>
          <w:sz w:val="24"/>
          <w:szCs w:val="24"/>
        </w:rPr>
        <w:t xml:space="preserve">Sob a ótica </w:t>
      </w:r>
      <w:r>
        <w:rPr>
          <w:rFonts w:ascii="Arial" w:cs="Arial" w:eastAsia="Arial" w:hAnsi="Arial"/>
          <w:b/>
          <w:bCs/>
          <w:sz w:val="24"/>
          <w:szCs w:val="24"/>
        </w:rPr>
        <w:t xml:space="preserve">econômico-funcional</w:t>
      </w:r>
      <w:r>
        <w:rPr>
          <w:rFonts w:ascii="Arial" w:cs="Arial" w:eastAsia="Arial" w:hAnsi="Arial"/>
          <w:sz w:val="24"/>
          <w:szCs w:val="24"/>
        </w:rPr>
        <w:t xml:space="preserve">, a conclusão é a mesma. Como observa </w:t>
      </w:r>
      <w:r>
        <w:rPr>
          <w:rFonts w:ascii="Arial" w:cs="Arial" w:eastAsia="Arial" w:hAnsi="Arial"/>
          <w:b/>
          <w:bCs/>
          <w:sz w:val="24"/>
          <w:szCs w:val="24"/>
        </w:rPr>
        <w:t xml:space="preserve">Sheila Neder Cerezetti</w:t>
      </w:r>
      <w:r>
        <w:rPr>
          <w:rFonts w:ascii="Arial" w:cs="Arial" w:eastAsia="Arial" w:hAnsi="Arial"/>
          <w:sz w:val="24"/>
          <w:szCs w:val="24"/>
        </w:rPr>
        <w:t xml:space="preserve">, o sistema só comporta a recuperação enquanto preserva, </w:t>
      </w:r>
      <w:r>
        <w:rPr>
          <w:rFonts w:ascii="Arial" w:cs="Arial" w:eastAsia="Arial" w:hAnsi="Arial"/>
          <w:b/>
          <w:bCs/>
          <w:sz w:val="24"/>
          <w:szCs w:val="24"/>
        </w:rPr>
        <w:t xml:space="preserve">coetaneamente</w:t>
      </w:r>
      <w:r>
        <w:rPr>
          <w:rFonts w:ascii="Arial" w:cs="Arial" w:eastAsia="Arial" w:hAnsi="Arial"/>
          <w:sz w:val="24"/>
          <w:szCs w:val="24"/>
        </w:rPr>
        <w:t xml:space="preserve">, uma </w:t>
      </w:r>
      <w:r>
        <w:rPr>
          <w:rFonts w:ascii="Arial" w:cs="Arial" w:eastAsia="Arial" w:hAnsi="Arial"/>
          <w:i/>
          <w:iCs/>
          <w:sz w:val="24"/>
          <w:szCs w:val="24"/>
        </w:rPr>
        <w:t xml:space="preserve">going concern</w:t>
      </w:r>
      <w:r>
        <w:rPr>
          <w:rFonts w:ascii="Arial" w:cs="Arial" w:eastAsia="Arial" w:hAnsi="Arial"/>
          <w:sz w:val="24"/>
          <w:szCs w:val="24"/>
        </w:rPr>
        <w:t xml:space="preserve"> — uma empresa em funcionamento, capaz de gerar fluxo de caixa, manter empregos, produzir bens ou serviços, contribuir tributariamente. Onde inexiste atividade, </w:t>
      </w:r>
      <w:r>
        <w:rPr>
          <w:rFonts w:ascii="Arial" w:cs="Arial" w:eastAsia="Arial" w:hAnsi="Arial"/>
          <w:b/>
          <w:bCs/>
          <w:sz w:val="24"/>
          <w:szCs w:val="24"/>
        </w:rPr>
        <w:t xml:space="preserve">a recuperação se transforma em mera moratória travestida de plano</w:t>
      </w:r>
      <w:r>
        <w:rPr>
          <w:rFonts w:ascii="Arial" w:cs="Arial" w:eastAsia="Arial" w:hAnsi="Arial"/>
          <w:sz w:val="24"/>
          <w:szCs w:val="24"/>
        </w:rPr>
        <w:t xml:space="preserve"> — instituto que a LREF, deliberadamente, </w:t>
      </w:r>
      <w:r>
        <w:rPr>
          <w:rFonts w:ascii="Arial" w:cs="Arial" w:eastAsia="Arial" w:hAnsi="Arial"/>
          <w:b/>
          <w:bCs/>
          <w:sz w:val="24"/>
          <w:szCs w:val="24"/>
        </w:rPr>
        <w:t xml:space="preserve">não acolheu</w:t>
      </w:r>
      <w:r>
        <w:rPr>
          <w:rFonts w:ascii="Arial" w:cs="Arial" w:eastAsia="Arial" w:hAnsi="Arial"/>
          <w:sz w:val="24"/>
          <w:szCs w:val="24"/>
        </w:rPr>
        <w:t xml:space="preserve">. Foi o que se deu, </w:t>
      </w:r>
      <w:r>
        <w:rPr>
          <w:rFonts w:ascii="Arial" w:cs="Arial" w:eastAsia="Arial" w:hAnsi="Arial"/>
          <w:b/>
          <w:bCs/>
          <w:sz w:val="24"/>
          <w:szCs w:val="24"/>
        </w:rPr>
        <w:t xml:space="preserve">antes mesmo da convolação</w:t>
      </w:r>
      <w:r>
        <w:rPr>
          <w:rFonts w:ascii="Arial" w:cs="Arial" w:eastAsia="Arial" w:hAnsi="Arial"/>
          <w:sz w:val="24"/>
          <w:szCs w:val="24"/>
        </w:rPr>
        <w:t xml:space="preserve">, com a Recuperanda: por mais de uma década, valeu-se de prorrogações, expediu-se mandados de pagamento, acumularam-se habilitações de crédito, </w:t>
      </w:r>
      <w:r>
        <w:rPr>
          <w:rFonts w:ascii="Arial" w:cs="Arial" w:eastAsia="Arial" w:hAnsi="Arial"/>
          <w:b/>
          <w:bCs/>
          <w:sz w:val="24"/>
          <w:szCs w:val="24"/>
        </w:rPr>
        <w:t xml:space="preserve">sem retomada efetiva da atividade empresarial</w:t>
      </w:r>
      <w:r>
        <w:rPr>
          <w:rFonts w:ascii="Arial" w:cs="Arial" w:eastAsia="Arial" w:hAnsi="Arial"/>
          <w:sz w:val="24"/>
          <w:szCs w:val="24"/>
        </w:rPr>
        <w:t xml:space="preserve">.</w:t>
      </w:r>
    </w:p>
    <w:p>
      <w:pPr>
        <w:spacing w:after="120" w:before="0" w:line="360"/>
        <w:jc w:val="both"/>
      </w:pPr>
      <w:r>
        <w:rPr>
          <w:rFonts w:ascii="Arial" w:cs="Arial" w:eastAsia="Arial" w:hAnsi="Arial"/>
          <w:sz w:val="24"/>
          <w:szCs w:val="24"/>
        </w:rPr>
        <w:t xml:space="preserve">Pergunta-se, portanto, com toda licença e com </w:t>
      </w:r>
      <w:r>
        <w:rPr>
          <w:rFonts w:ascii="Arial" w:cs="Arial" w:eastAsia="Arial" w:hAnsi="Arial"/>
          <w:b/>
          <w:bCs/>
          <w:sz w:val="24"/>
          <w:szCs w:val="24"/>
        </w:rPr>
        <w:t xml:space="preserve">toda a seriedade técnica que a controvérsia comporta</w:t>
      </w:r>
      <w:r>
        <w:rPr>
          <w:rFonts w:ascii="Arial" w:cs="Arial" w:eastAsia="Arial" w:hAnsi="Arial"/>
          <w:sz w:val="24"/>
          <w:szCs w:val="24"/>
        </w:rPr>
        <w:t xml:space="preserve">: </w:t>
      </w:r>
      <w:r>
        <w:rPr>
          <w:rFonts w:ascii="Arial" w:cs="Arial" w:eastAsia="Arial" w:hAnsi="Arial"/>
          <w:b/>
          <w:bCs/>
          <w:sz w:val="24"/>
          <w:szCs w:val="24"/>
        </w:rPr>
        <w:t xml:space="preserve">como soergue-se uma empresa que não opera?</w:t>
      </w:r>
      <w:r>
        <w:rPr>
          <w:rFonts w:ascii="Arial" w:cs="Arial" w:eastAsia="Arial" w:hAnsi="Arial"/>
          <w:sz w:val="24"/>
          <w:szCs w:val="24"/>
        </w:rPr>
        <w:t xml:space="preserve"> </w:t>
      </w:r>
      <w:r>
        <w:rPr>
          <w:rFonts w:ascii="Arial" w:cs="Arial" w:eastAsia="Arial" w:hAnsi="Arial"/>
          <w:b/>
          <w:bCs/>
          <w:sz w:val="24"/>
          <w:szCs w:val="24"/>
        </w:rPr>
        <w:t xml:space="preserve">Como pagar-se-ão os credores</w:t>
      </w:r>
      <w:r>
        <w:rPr>
          <w:rFonts w:ascii="Arial" w:cs="Arial" w:eastAsia="Arial" w:hAnsi="Arial"/>
          <w:sz w:val="24"/>
          <w:szCs w:val="24"/>
        </w:rPr>
        <w:t xml:space="preserve"> por meio do produto de uma atividade que cessou há, no mínimo, seis anos? </w:t>
      </w:r>
      <w:r>
        <w:rPr>
          <w:rFonts w:ascii="Arial" w:cs="Arial" w:eastAsia="Arial" w:hAnsi="Arial"/>
          <w:b/>
          <w:bCs/>
          <w:sz w:val="24"/>
          <w:szCs w:val="24"/>
        </w:rPr>
        <w:t xml:space="preserve">Que serviço</w:t>
      </w:r>
      <w:r>
        <w:rPr>
          <w:rFonts w:ascii="Arial" w:cs="Arial" w:eastAsia="Arial" w:hAnsi="Arial"/>
          <w:sz w:val="24"/>
          <w:szCs w:val="24"/>
        </w:rPr>
        <w:t xml:space="preserve"> essa sociedade, nos seus equipamentos e materiais dos anos 1990, deveria, segundo o agravo, prestar a partir de amanhã? Para essas perguntas — </w:t>
      </w:r>
      <w:r>
        <w:rPr>
          <w:rFonts w:ascii="Arial" w:cs="Arial" w:eastAsia="Arial" w:hAnsi="Arial"/>
          <w:b/>
          <w:bCs/>
          <w:sz w:val="24"/>
          <w:szCs w:val="24"/>
        </w:rPr>
        <w:t xml:space="preserve">elementares e diretas</w:t>
      </w:r>
      <w:r>
        <w:rPr>
          <w:rFonts w:ascii="Arial" w:cs="Arial" w:eastAsia="Arial" w:hAnsi="Arial"/>
          <w:sz w:val="24"/>
          <w:szCs w:val="24"/>
        </w:rPr>
        <w:t xml:space="preserve"> — </w:t>
      </w:r>
      <w:r>
        <w:rPr>
          <w:rFonts w:ascii="Arial" w:cs="Arial" w:eastAsia="Arial" w:hAnsi="Arial"/>
          <w:b/>
          <w:bCs/>
          <w:sz w:val="24"/>
          <w:szCs w:val="24"/>
        </w:rPr>
        <w:t xml:space="preserve">a Agravante não oferece resposta porque, juridicamente, não há resposta possível</w:t>
      </w:r>
      <w:r>
        <w:rPr>
          <w:rFonts w:ascii="Arial" w:cs="Arial" w:eastAsia="Arial" w:hAnsi="Arial"/>
          <w:sz w:val="24"/>
          <w:szCs w:val="24"/>
        </w:rPr>
        <w:t xml:space="preserve">. O argumento de "preservação da empresa", desacompanhado de empresa, é </w:t>
      </w:r>
      <w:r>
        <w:rPr>
          <w:rFonts w:ascii="Arial" w:cs="Arial" w:eastAsia="Arial" w:hAnsi="Arial"/>
          <w:b/>
          <w:bCs/>
          <w:sz w:val="24"/>
          <w:szCs w:val="24"/>
        </w:rPr>
        <w:t xml:space="preserve">argumento sem objeto</w:t>
      </w:r>
      <w:r>
        <w:rPr>
          <w:rFonts w:ascii="Arial" w:cs="Arial" w:eastAsia="Arial" w:hAnsi="Arial"/>
          <w:sz w:val="24"/>
          <w:szCs w:val="24"/>
        </w:rPr>
        <w:t xml:space="preserve"> — apela ao princípio para fugir da realidade que ele pretende, justamente, proteger.</w:t>
      </w:r>
    </w:p>
    <w:p>
      <w:pPr>
        <w:spacing w:after="120" w:before="0" w:line="360"/>
        <w:jc w:val="both"/>
      </w:pPr>
      <w:r>
        <w:rPr>
          <w:rFonts w:ascii="Arial" w:cs="Arial" w:eastAsia="Arial" w:hAnsi="Arial"/>
          <w:sz w:val="24"/>
          <w:szCs w:val="24"/>
        </w:rPr>
        <w:t xml:space="preserve">Bem por isso, sob a ótica da </w:t>
      </w:r>
      <w:r>
        <w:rPr>
          <w:rFonts w:ascii="Arial" w:cs="Arial" w:eastAsia="Arial" w:hAnsi="Arial"/>
          <w:b/>
          <w:bCs/>
          <w:sz w:val="24"/>
          <w:szCs w:val="24"/>
        </w:rPr>
        <w:t xml:space="preserve">Análise Econômica do Direito</w:t>
      </w:r>
      <w:r>
        <w:rPr>
          <w:rFonts w:ascii="Arial" w:cs="Arial" w:eastAsia="Arial" w:hAnsi="Arial"/>
          <w:sz w:val="24"/>
          <w:szCs w:val="24"/>
        </w:rPr>
        <w:t xml:space="preserve"> (LINDB, arts. 20-21), a manutenção forçada de uma recuperação esvaziada — sem </w:t>
      </w:r>
      <w:r>
        <w:rPr>
          <w:rFonts w:ascii="Arial" w:cs="Arial" w:eastAsia="Arial" w:hAnsi="Arial"/>
          <w:i/>
          <w:iCs/>
          <w:sz w:val="24"/>
          <w:szCs w:val="24"/>
        </w:rPr>
        <w:t xml:space="preserve">going concern</w:t>
      </w:r>
      <w:r>
        <w:rPr>
          <w:rFonts w:ascii="Arial" w:cs="Arial" w:eastAsia="Arial" w:hAnsi="Arial"/>
          <w:sz w:val="24"/>
          <w:szCs w:val="24"/>
        </w:rPr>
        <w:t xml:space="preserve">, sem fluxo de receita, sem empregos preservados, sem tributos gerados — </w:t>
      </w:r>
      <w:r>
        <w:rPr>
          <w:rFonts w:ascii="Arial" w:cs="Arial" w:eastAsia="Arial" w:hAnsi="Arial"/>
          <w:b/>
          <w:bCs/>
          <w:sz w:val="24"/>
          <w:szCs w:val="24"/>
        </w:rPr>
        <w:t xml:space="preserve">é, ela própria, ineficiente</w:t>
      </w:r>
      <w:r>
        <w:rPr>
          <w:rFonts w:ascii="Arial" w:cs="Arial" w:eastAsia="Arial" w:hAnsi="Arial"/>
          <w:sz w:val="24"/>
          <w:szCs w:val="24"/>
        </w:rPr>
        <w:t xml:space="preserve">: transfere para os credores e para o sistema concursal os custos de uma decisão que serve, apenas, ao adiamento. O ordenamento, sabiamente, dá nome a essa hipótese: </w:t>
      </w:r>
      <w:r>
        <w:rPr>
          <w:rFonts w:ascii="Arial" w:cs="Arial" w:eastAsia="Arial" w:hAnsi="Arial"/>
          <w:b/>
          <w:bCs/>
          <w:sz w:val="24"/>
          <w:szCs w:val="24"/>
        </w:rPr>
        <w:t xml:space="preserve">falência</w:t>
      </w:r>
      <w:r>
        <w:rPr>
          <w:rFonts w:ascii="Arial" w:cs="Arial" w:eastAsia="Arial" w:hAnsi="Arial"/>
          <w:sz w:val="24"/>
          <w:szCs w:val="24"/>
        </w:rPr>
        <w:t xml:space="preserve"> — a liquidação ordenada do patrimônio remanescente, em benefício do conjunto dos credores, com par condicio creditorum (art. 75 c/c arts. 81 e seguintes da LREF). É exatamente o que a r. sentença recorrida, com acerto, determinou.</w:t>
      </w:r>
    </w:p>
    <w:p>
      <w:pPr>
        <w:keepNext/>
        <w:spacing w:after="180" w:before="360"/>
        <w:jc w:val="both"/>
      </w:pPr>
      <w:r>
        <w:rPr>
          <w:rFonts w:ascii="Arial" w:cs="Arial" w:eastAsia="Arial" w:hAnsi="Arial"/>
          <w:b/>
          <w:bCs/>
          <w:sz w:val="26"/>
          <w:szCs w:val="26"/>
        </w:rPr>
        <w:t xml:space="preserve">VI — DA CONFIRMAÇÃO PELA PRÓPRIA SENTENÇA RECORRIDA E PELOS RELATÓRIOS DO ADMINISTRADOR JUDICIAL ANTERIOR</w:t>
      </w:r>
    </w:p>
    <w:p>
      <w:pPr>
        <w:spacing w:after="120" w:before="0" w:line="360"/>
        <w:jc w:val="both"/>
      </w:pPr>
      <w:r>
        <w:rPr>
          <w:rFonts w:ascii="Arial" w:cs="Arial" w:eastAsia="Arial" w:hAnsi="Arial"/>
          <w:sz w:val="24"/>
          <w:szCs w:val="24"/>
        </w:rPr>
        <w:t xml:space="preserve">Nem se argumente que a constatação fática aqui exposta é </w:t>
      </w:r>
      <w:r>
        <w:rPr>
          <w:rFonts w:ascii="Arial" w:cs="Arial" w:eastAsia="Arial" w:hAnsi="Arial"/>
          <w:b/>
          <w:bCs/>
          <w:sz w:val="24"/>
          <w:szCs w:val="24"/>
        </w:rPr>
        <w:t xml:space="preserve">superveniente</w:t>
      </w:r>
      <w:r>
        <w:rPr>
          <w:rFonts w:ascii="Arial" w:cs="Arial" w:eastAsia="Arial" w:hAnsi="Arial"/>
          <w:sz w:val="24"/>
          <w:szCs w:val="24"/>
        </w:rPr>
        <w:t xml:space="preserve"> à sentença, ou que decorre de elemento ainda não submetido ao juízo de origem. A r. decisão recorrida, em sua fundamentação, parte exatamente das mesmas premissas — antes, até, mais conservadoras. Veja-se a transcrição literal:</w:t>
      </w:r>
    </w:p>
    <w:p>
      <w:pPr>
        <w:spacing w:after="120" w:before="120" w:line="300"/>
        <w:ind w:left="1134" w:right="567"/>
        <w:jc w:val="both"/>
      </w:pPr>
      <w:r>
        <w:rPr>
          <w:rFonts w:ascii="Arial" w:cs="Arial" w:eastAsia="Arial" w:hAnsi="Arial"/>
          <w:i/>
          <w:iCs/>
          <w:sz w:val="22"/>
          <w:szCs w:val="22"/>
        </w:rPr>
        <w:t xml:space="preserve">"Fato é que a Recuperanda vem, ao longo de mais de uma década, se beneficiando com prorrogações de prazo e expedição de mandados de pagamento, sem que tenha demonstrado efetivo interesse, ou por outra, efetiva condição, de manter sua atividade empresarial […]. Como bem observado pelo Ministério Público, os relatórios que estão sendo apresentados pelo Administrador Judicial ao longo dos anos, dão conta de que não há faturamento mensal suficiente para honrar com o pagamento assumido no Plano […]"</w:t>
      </w:r>
    </w:p>
    <w:p>
      <w:pPr>
        <w:spacing w:after="120" w:before="0" w:line="360"/>
        <w:jc w:val="both"/>
      </w:pPr>
      <w:r>
        <w:rPr>
          <w:rFonts w:ascii="Arial" w:cs="Arial" w:eastAsia="Arial" w:hAnsi="Arial"/>
          <w:sz w:val="24"/>
          <w:szCs w:val="24"/>
        </w:rPr>
        <w:t xml:space="preserve">Os relatórios circunstanciados aludidos foram subscritos, ao longo dos anos, pelo </w:t>
      </w:r>
      <w:r>
        <w:rPr>
          <w:rFonts w:ascii="Arial" w:cs="Arial" w:eastAsia="Arial" w:hAnsi="Arial"/>
          <w:b/>
          <w:bCs/>
          <w:sz w:val="24"/>
          <w:szCs w:val="24"/>
        </w:rPr>
        <w:t xml:space="preserve">mesmo profissional</w:t>
      </w:r>
      <w:r>
        <w:rPr>
          <w:rFonts w:ascii="Arial" w:cs="Arial" w:eastAsia="Arial" w:hAnsi="Arial"/>
          <w:sz w:val="24"/>
          <w:szCs w:val="24"/>
        </w:rPr>
        <w:t xml:space="preserve"> que a Agravante, agora, escolhe indicar — em manobra processualmente insustentável (item II, supra) — como interlocutor recursal: Ferreira Guimarães Sociedade de Advogados. Há, na própria escolha, uma ironia que beira o auto-engano processual: </w:t>
      </w:r>
      <w:r>
        <w:rPr>
          <w:rFonts w:ascii="Arial" w:cs="Arial" w:eastAsia="Arial" w:hAnsi="Arial"/>
          <w:b/>
          <w:bCs/>
          <w:sz w:val="24"/>
          <w:szCs w:val="24"/>
        </w:rPr>
        <w:t xml:space="preserve">a Agravante recorre contra uma sentença cuja fundamentação se vale, em diversos pontos, dos relatórios firmados pelo administrador que ela mesma, agora, sem qualquer base legal, apresenta como sua contraparte recursal</w:t>
      </w:r>
      <w:r>
        <w:rPr>
          <w:rFonts w:ascii="Arial" w:cs="Arial" w:eastAsia="Arial" w:hAnsi="Arial"/>
          <w:sz w:val="24"/>
          <w:szCs w:val="24"/>
        </w:rPr>
        <w:t xml:space="preserve"> — </w:t>
      </w:r>
      <w:r>
        <w:rPr>
          <w:rFonts w:ascii="Arial" w:cs="Arial" w:eastAsia="Arial" w:hAnsi="Arial"/>
          <w:i/>
          <w:iCs/>
          <w:sz w:val="24"/>
          <w:szCs w:val="24"/>
        </w:rPr>
        <w:t xml:space="preserve">quasi</w:t>
      </w:r>
      <w:r>
        <w:rPr>
          <w:rFonts w:ascii="Arial" w:cs="Arial" w:eastAsia="Arial" w:hAnsi="Arial"/>
          <w:sz w:val="24"/>
          <w:szCs w:val="24"/>
        </w:rPr>
        <w:t xml:space="preserve"> como se quisesse oferecer ao Tribunal a curiosa figura do </w:t>
      </w:r>
      <w:r>
        <w:rPr>
          <w:rFonts w:ascii="Arial" w:cs="Arial" w:eastAsia="Arial" w:hAnsi="Arial"/>
          <w:b/>
          <w:bCs/>
          <w:sz w:val="24"/>
          <w:szCs w:val="24"/>
        </w:rPr>
        <w:t xml:space="preserve">refutador convocado a ratificar</w:t>
      </w:r>
      <w:r>
        <w:rPr>
          <w:rFonts w:ascii="Arial" w:cs="Arial" w:eastAsia="Arial" w:hAnsi="Arial"/>
          <w:sz w:val="24"/>
          <w:szCs w:val="24"/>
        </w:rPr>
        <w:t xml:space="preserve"> o que ele próprio, no juízo de origem, tantas vezes asseverou.</w:t>
      </w:r>
    </w:p>
    <w:p>
      <w:pPr>
        <w:spacing w:after="120" w:before="0" w:line="360"/>
        <w:jc w:val="both"/>
      </w:pPr>
      <w:r>
        <w:rPr>
          <w:rFonts w:ascii="Arial" w:cs="Arial" w:eastAsia="Arial" w:hAnsi="Arial"/>
          <w:sz w:val="24"/>
          <w:szCs w:val="24"/>
        </w:rPr>
        <w:t xml:space="preserve">A inspeção realizada por esta Administração Judicial — a partir do termo de compromisso firmado em 02/03/2026 — não criou os fatos do abandono: </w:t>
      </w:r>
      <w:r>
        <w:rPr>
          <w:rFonts w:ascii="Arial" w:cs="Arial" w:eastAsia="Arial" w:hAnsi="Arial"/>
          <w:b/>
          <w:bCs/>
          <w:sz w:val="24"/>
          <w:szCs w:val="24"/>
        </w:rPr>
        <w:t xml:space="preserve">apenas os fotografou</w:t>
      </w:r>
      <w:r>
        <w:rPr>
          <w:rFonts w:ascii="Arial" w:cs="Arial" w:eastAsia="Arial" w:hAnsi="Arial"/>
          <w:sz w:val="24"/>
          <w:szCs w:val="24"/>
        </w:rPr>
        <w:t xml:space="preserve">. O abandono é anterior, sólido e demonstrado nos próprios autos, </w:t>
      </w:r>
      <w:r>
        <w:rPr>
          <w:rFonts w:ascii="Arial" w:cs="Arial" w:eastAsia="Arial" w:hAnsi="Arial"/>
          <w:b/>
          <w:bCs/>
          <w:sz w:val="24"/>
          <w:szCs w:val="24"/>
        </w:rPr>
        <w:t xml:space="preserve">coerentemente com a fundamentação da decisão recorrida</w:t>
      </w:r>
      <w:r>
        <w:rPr>
          <w:rFonts w:ascii="Arial" w:cs="Arial" w:eastAsia="Arial" w:hAnsi="Arial"/>
          <w:sz w:val="24"/>
          <w:szCs w:val="24"/>
        </w:rPr>
        <w:t xml:space="preserve">.</w:t>
      </w:r>
    </w:p>
    <w:p>
      <w:pPr>
        <w:keepNext/>
        <w:spacing w:after="180" w:before="360"/>
        <w:jc w:val="both"/>
      </w:pPr>
      <w:r>
        <w:rPr>
          <w:rFonts w:ascii="Arial" w:cs="Arial" w:eastAsia="Arial" w:hAnsi="Arial"/>
          <w:b/>
          <w:bCs/>
          <w:sz w:val="26"/>
          <w:szCs w:val="26"/>
        </w:rPr>
        <w:t xml:space="preserve">VII — DA REFUTAÇÃO PONTUAL DOS PROVÁVEIS ARGUMENTOS RECURSAIS</w:t>
      </w:r>
    </w:p>
    <w:p>
      <w:pPr>
        <w:spacing w:after="120" w:before="0" w:line="360"/>
        <w:jc w:val="both"/>
      </w:pPr>
      <w:r>
        <w:rPr>
          <w:rFonts w:ascii="Arial" w:cs="Arial" w:eastAsia="Arial" w:hAnsi="Arial"/>
          <w:b/>
          <w:bCs/>
          <w:sz w:val="24"/>
          <w:szCs w:val="24"/>
        </w:rPr>
        <w:t xml:space="preserve">a) "A r. sentença teria desconsiderado a perspectiva de reapresentação de novo Plano de Recuperação".</w:t>
      </w:r>
      <w:r>
        <w:rPr>
          <w:rFonts w:ascii="Arial" w:cs="Arial" w:eastAsia="Arial" w:hAnsi="Arial"/>
          <w:sz w:val="24"/>
          <w:szCs w:val="24"/>
        </w:rPr>
        <w:t xml:space="preserve"> Sem prejuízo do que adiante se diz, registre-se que, decretada a falência (arts. 61, § 1º, c/c 73, IV, da LREF), </w:t>
      </w:r>
      <w:r>
        <w:rPr>
          <w:rFonts w:ascii="Arial" w:cs="Arial" w:eastAsia="Arial" w:hAnsi="Arial"/>
          <w:b/>
          <w:bCs/>
          <w:sz w:val="24"/>
          <w:szCs w:val="24"/>
        </w:rPr>
        <w:t xml:space="preserve">encerra-se o regime recuperacional</w:t>
      </w:r>
      <w:r>
        <w:rPr>
          <w:rFonts w:ascii="Arial" w:cs="Arial" w:eastAsia="Arial" w:hAnsi="Arial"/>
          <w:sz w:val="24"/>
          <w:szCs w:val="24"/>
        </w:rPr>
        <w:t xml:space="preserve"> e instaura-se o regime concursal liquidatário. A propositura de novo plano após mais de dez anos de descumprimento não é apenas </w:t>
      </w:r>
      <w:r>
        <w:rPr>
          <w:rFonts w:ascii="Arial" w:cs="Arial" w:eastAsia="Arial" w:hAnsi="Arial"/>
          <w:b/>
          <w:bCs/>
          <w:sz w:val="24"/>
          <w:szCs w:val="24"/>
        </w:rPr>
        <w:t xml:space="preserve">processualmente impertinente</w:t>
      </w:r>
      <w:r>
        <w:rPr>
          <w:rFonts w:ascii="Arial" w:cs="Arial" w:eastAsia="Arial" w:hAnsi="Arial"/>
          <w:sz w:val="24"/>
          <w:szCs w:val="24"/>
        </w:rPr>
        <w:t xml:space="preserve">: é </w:t>
      </w:r>
      <w:r>
        <w:rPr>
          <w:rFonts w:ascii="Arial" w:cs="Arial" w:eastAsia="Arial" w:hAnsi="Arial"/>
          <w:b/>
          <w:bCs/>
          <w:sz w:val="24"/>
          <w:szCs w:val="24"/>
        </w:rPr>
        <w:t xml:space="preserve">faticamente impossível</w:t>
      </w:r>
      <w:r>
        <w:rPr>
          <w:rFonts w:ascii="Arial" w:cs="Arial" w:eastAsia="Arial" w:hAnsi="Arial"/>
          <w:sz w:val="24"/>
          <w:szCs w:val="24"/>
        </w:rPr>
        <w:t xml:space="preserve"> — sem atividade empresarial, </w:t>
      </w:r>
      <w:r>
        <w:rPr>
          <w:rFonts w:ascii="Arial" w:cs="Arial" w:eastAsia="Arial" w:hAnsi="Arial"/>
          <w:b/>
          <w:bCs/>
          <w:sz w:val="24"/>
          <w:szCs w:val="24"/>
        </w:rPr>
        <w:t xml:space="preserve">o que, exatamente, comporia o plano?</w:t>
      </w:r>
      <w:r>
        <w:rPr>
          <w:rFonts w:ascii="Arial" w:cs="Arial" w:eastAsia="Arial" w:hAnsi="Arial"/>
          <w:sz w:val="24"/>
          <w:szCs w:val="24"/>
        </w:rPr>
        <w:t xml:space="preserve"> Faturamento futuro com qual operação? Recursos próprios oriundos de qual fonte produtiva? A pergunta, de novo, não tem resposta, e onde a pergunta não tem resposta, </w:t>
      </w:r>
      <w:r>
        <w:rPr>
          <w:rFonts w:ascii="Arial" w:cs="Arial" w:eastAsia="Arial" w:hAnsi="Arial"/>
          <w:b/>
          <w:bCs/>
          <w:sz w:val="24"/>
          <w:szCs w:val="24"/>
        </w:rPr>
        <w:t xml:space="preserve">o pedido não tem fundamento jurídico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b) "Existiriam meios alternativos de soerguimento — venda de imóveis, recebimento de créditos sub judice".</w:t>
      </w:r>
      <w:r>
        <w:rPr>
          <w:rFonts w:ascii="Arial" w:cs="Arial" w:eastAsia="Arial" w:hAnsi="Arial"/>
          <w:sz w:val="24"/>
          <w:szCs w:val="24"/>
        </w:rPr>
        <w:t xml:space="preserve"> Como bem registrou o Juízo de origem, </w:t>
      </w:r>
      <w:r>
        <w:rPr>
          <w:rFonts w:ascii="Arial" w:cs="Arial" w:eastAsia="Arial" w:hAnsi="Arial"/>
          <w:b/>
          <w:bCs/>
          <w:sz w:val="24"/>
          <w:szCs w:val="24"/>
        </w:rPr>
        <w:t xml:space="preserve">a venda eventual de um imóvel não é um plano de recuperação</w:t>
      </w:r>
      <w:r>
        <w:rPr>
          <w:rFonts w:ascii="Arial" w:cs="Arial" w:eastAsia="Arial" w:hAnsi="Arial"/>
          <w:sz w:val="24"/>
          <w:szCs w:val="24"/>
        </w:rPr>
        <w:t xml:space="preserve"> — é, no máximo, um </w:t>
      </w:r>
      <w:r>
        <w:rPr>
          <w:rFonts w:ascii="Arial" w:cs="Arial" w:eastAsia="Arial" w:hAnsi="Arial"/>
          <w:b/>
          <w:bCs/>
          <w:sz w:val="24"/>
          <w:szCs w:val="24"/>
        </w:rPr>
        <w:t xml:space="preserve">pagamento parcial</w:t>
      </w:r>
      <w:r>
        <w:rPr>
          <w:rFonts w:ascii="Arial" w:cs="Arial" w:eastAsia="Arial" w:hAnsi="Arial"/>
          <w:sz w:val="24"/>
          <w:szCs w:val="24"/>
        </w:rPr>
        <w:t xml:space="preserve"> de credores, providência que cabe perfeitamente, e com mais transparência e equidade, no </w:t>
      </w:r>
      <w:r>
        <w:rPr>
          <w:rFonts w:ascii="Arial" w:cs="Arial" w:eastAsia="Arial" w:hAnsi="Arial"/>
          <w:b/>
          <w:bCs/>
          <w:sz w:val="24"/>
          <w:szCs w:val="24"/>
        </w:rPr>
        <w:t xml:space="preserve">regime falimentar</w:t>
      </w:r>
      <w:r>
        <w:rPr>
          <w:rFonts w:ascii="Arial" w:cs="Arial" w:eastAsia="Arial" w:hAnsi="Arial"/>
          <w:sz w:val="24"/>
          <w:szCs w:val="24"/>
        </w:rPr>
        <w:t xml:space="preserve"> (arts. 139 e seguintes da LREF). Igualmente, </w:t>
      </w:r>
      <w:r>
        <w:rPr>
          <w:rFonts w:ascii="Arial" w:cs="Arial" w:eastAsia="Arial" w:hAnsi="Arial"/>
          <w:b/>
          <w:bCs/>
          <w:sz w:val="24"/>
          <w:szCs w:val="24"/>
        </w:rPr>
        <w:t xml:space="preserve">expectativas de recebimento de créditos sub judice</w:t>
      </w:r>
      <w:r>
        <w:rPr>
          <w:rFonts w:ascii="Arial" w:cs="Arial" w:eastAsia="Arial" w:hAnsi="Arial"/>
          <w:sz w:val="24"/>
          <w:szCs w:val="24"/>
        </w:rPr>
        <w:t xml:space="preserve"> não constituem fonte de fluxo a ser computado em plano de recuperação, conforme jurisprudência reiterada do STJ [AMARELO — verificar acórdãos correlatos]. A LREF cuida de </w:t>
      </w:r>
      <w:r>
        <w:rPr>
          <w:rFonts w:ascii="Arial" w:cs="Arial" w:eastAsia="Arial" w:hAnsi="Arial"/>
          <w:b/>
          <w:bCs/>
          <w:sz w:val="24"/>
          <w:szCs w:val="24"/>
        </w:rPr>
        <w:t xml:space="preserve">recursos disponíveis e operação produtiva</w:t>
      </w:r>
      <w:r>
        <w:rPr>
          <w:rFonts w:ascii="Arial" w:cs="Arial" w:eastAsia="Arial" w:hAnsi="Arial"/>
          <w:sz w:val="24"/>
          <w:szCs w:val="24"/>
        </w:rPr>
        <w:t xml:space="preserve"> — não de promessas sem cronograma e sem operação econômica subjacente.</w:t>
      </w:r>
    </w:p>
    <w:p>
      <w:pPr>
        <w:spacing w:after="120" w:before="0" w:line="360"/>
        <w:jc w:val="both"/>
      </w:pPr>
      <w:r>
        <w:rPr>
          <w:rFonts w:ascii="Arial" w:cs="Arial" w:eastAsia="Arial" w:hAnsi="Arial"/>
          <w:b/>
          <w:bCs/>
          <w:sz w:val="24"/>
          <w:szCs w:val="24"/>
        </w:rPr>
        <w:t xml:space="preserve">c) "A preservação da empresa imporia decisão menos drástica que a falência".</w:t>
      </w:r>
      <w:r>
        <w:rPr>
          <w:rFonts w:ascii="Arial" w:cs="Arial" w:eastAsia="Arial" w:hAnsi="Arial"/>
          <w:sz w:val="24"/>
          <w:szCs w:val="24"/>
        </w:rPr>
        <w:t xml:space="preserve"> O argumento, com a devida vênia, </w:t>
      </w:r>
      <w:r>
        <w:rPr>
          <w:rFonts w:ascii="Arial" w:cs="Arial" w:eastAsia="Arial" w:hAnsi="Arial"/>
          <w:b/>
          <w:bCs/>
          <w:sz w:val="24"/>
          <w:szCs w:val="24"/>
        </w:rPr>
        <w:t xml:space="preserve">inverte o sentido</w:t>
      </w:r>
      <w:r>
        <w:rPr>
          <w:rFonts w:ascii="Arial" w:cs="Arial" w:eastAsia="Arial" w:hAnsi="Arial"/>
          <w:sz w:val="24"/>
          <w:szCs w:val="24"/>
        </w:rPr>
        <w:t xml:space="preserve"> do princípio. Conforme já demonstrado (item V), preservação pressupõe empresa: onde inexiste atividade, </w:t>
      </w:r>
      <w:r>
        <w:rPr>
          <w:rFonts w:ascii="Arial" w:cs="Arial" w:eastAsia="Arial" w:hAnsi="Arial"/>
          <w:b/>
          <w:bCs/>
          <w:sz w:val="24"/>
          <w:szCs w:val="24"/>
        </w:rPr>
        <w:t xml:space="preserve">a falência é a única forma honesta de honrar o princípio</w:t>
      </w:r>
      <w:r>
        <w:rPr>
          <w:rFonts w:ascii="Arial" w:cs="Arial" w:eastAsia="Arial" w:hAnsi="Arial"/>
          <w:sz w:val="24"/>
          <w:szCs w:val="24"/>
        </w:rPr>
        <w:t xml:space="preserve">, porquanto evita que credores e sistema arquem, indefinidamente, com os custos de uma </w:t>
      </w:r>
      <w:r>
        <w:rPr>
          <w:rFonts w:ascii="Arial" w:cs="Arial" w:eastAsia="Arial" w:hAnsi="Arial"/>
          <w:b/>
          <w:bCs/>
          <w:sz w:val="24"/>
          <w:szCs w:val="24"/>
        </w:rPr>
        <w:t xml:space="preserve">ficção empresarial</w:t>
      </w:r>
      <w:r>
        <w:rPr>
          <w:rFonts w:ascii="Arial" w:cs="Arial" w:eastAsia="Arial" w:hAnsi="Arial"/>
          <w:sz w:val="24"/>
          <w:szCs w:val="24"/>
        </w:rPr>
        <w:t xml:space="preserve">. A solução adotada pela r. sentença recorrida é, assim, </w:t>
      </w:r>
      <w:r>
        <w:rPr>
          <w:rFonts w:ascii="Arial" w:cs="Arial" w:eastAsia="Arial" w:hAnsi="Arial"/>
          <w:b/>
          <w:bCs/>
          <w:sz w:val="24"/>
          <w:szCs w:val="24"/>
        </w:rPr>
        <w:t xml:space="preserve">coerente</w:t>
      </w:r>
      <w:r>
        <w:rPr>
          <w:rFonts w:ascii="Arial" w:cs="Arial" w:eastAsia="Arial" w:hAnsi="Arial"/>
          <w:sz w:val="24"/>
          <w:szCs w:val="24"/>
        </w:rPr>
        <w:t xml:space="preserve"> tanto com o art. 47 quanto com o art. 73 da LREF — vetores, e não regras antagônicas.</w:t>
      </w:r>
    </w:p>
    <w:p>
      <w:pPr>
        <w:spacing w:after="120" w:before="0" w:line="360"/>
        <w:jc w:val="both"/>
      </w:pPr>
      <w:r>
        <w:rPr>
          <w:rFonts w:ascii="Arial" w:cs="Arial" w:eastAsia="Arial" w:hAnsi="Arial"/>
          <w:b/>
          <w:bCs/>
          <w:sz w:val="24"/>
          <w:szCs w:val="24"/>
        </w:rPr>
        <w:t xml:space="preserve">d) "A decisão poderia ser revisitada por menos do que a falência".</w:t>
      </w:r>
      <w:r>
        <w:rPr>
          <w:rFonts w:ascii="Arial" w:cs="Arial" w:eastAsia="Arial" w:hAnsi="Arial"/>
          <w:sz w:val="24"/>
          <w:szCs w:val="24"/>
        </w:rPr>
        <w:t xml:space="preserve"> Não pode. A LREF, no art. 73, IV, comanda — em norma de natureza </w:t>
      </w:r>
      <w:r>
        <w:rPr>
          <w:rFonts w:ascii="Arial" w:cs="Arial" w:eastAsia="Arial" w:hAnsi="Arial"/>
          <w:b/>
          <w:bCs/>
          <w:sz w:val="24"/>
          <w:szCs w:val="24"/>
        </w:rPr>
        <w:t xml:space="preserve">cogente</w:t>
      </w:r>
      <w:r>
        <w:rPr>
          <w:rFonts w:ascii="Arial" w:cs="Arial" w:eastAsia="Arial" w:hAnsi="Arial"/>
          <w:sz w:val="24"/>
          <w:szCs w:val="24"/>
        </w:rPr>
        <w:t xml:space="preserve"> — a decretação da falência diante do </w:t>
      </w:r>
      <w:r>
        <w:rPr>
          <w:rFonts w:ascii="Arial" w:cs="Arial" w:eastAsia="Arial" w:hAnsi="Arial"/>
          <w:b/>
          <w:bCs/>
          <w:sz w:val="24"/>
          <w:szCs w:val="24"/>
        </w:rPr>
        <w:t xml:space="preserve">descumprimento</w:t>
      </w:r>
      <w:r>
        <w:rPr>
          <w:rFonts w:ascii="Arial" w:cs="Arial" w:eastAsia="Arial" w:hAnsi="Arial"/>
          <w:sz w:val="24"/>
          <w:szCs w:val="24"/>
        </w:rPr>
        <w:t xml:space="preserve"> de obrigação assumida no plano. O Juízo de origem somente convolou o regime </w:t>
      </w:r>
      <w:r>
        <w:rPr>
          <w:rFonts w:ascii="Arial" w:cs="Arial" w:eastAsia="Arial" w:hAnsi="Arial"/>
          <w:b/>
          <w:bCs/>
          <w:sz w:val="24"/>
          <w:szCs w:val="24"/>
        </w:rPr>
        <w:t xml:space="preserve">depois de mais de dez anos de prorrogações sucessivas e de derradeira oportunidade</w:t>
      </w:r>
      <w:r>
        <w:rPr>
          <w:rFonts w:ascii="Arial" w:cs="Arial" w:eastAsia="Arial" w:hAnsi="Arial"/>
          <w:sz w:val="24"/>
          <w:szCs w:val="24"/>
        </w:rPr>
        <w:t xml:space="preserve"> deferida à Recuperanda. Não há erro técnico ou desproporção. Há, ao contrário, </w:t>
      </w:r>
      <w:r>
        <w:rPr>
          <w:rFonts w:ascii="Arial" w:cs="Arial" w:eastAsia="Arial" w:hAnsi="Arial"/>
          <w:b/>
          <w:bCs/>
          <w:sz w:val="24"/>
          <w:szCs w:val="24"/>
        </w:rPr>
        <w:t xml:space="preserve">rigorosa observância da legalidade</w:t>
      </w:r>
      <w:r>
        <w:rPr>
          <w:rFonts w:ascii="Arial" w:cs="Arial" w:eastAsia="Arial" w:hAnsi="Arial"/>
          <w:sz w:val="24"/>
          <w:szCs w:val="24"/>
        </w:rPr>
        <w:t xml:space="preserve">.</w:t>
      </w:r>
    </w:p>
    <w:p>
      <w:pPr>
        <w:keepNext/>
        <w:spacing w:after="180" w:before="360"/>
        <w:jc w:val="both"/>
      </w:pPr>
      <w:r>
        <w:rPr>
          <w:rFonts w:ascii="Arial" w:cs="Arial" w:eastAsia="Arial" w:hAnsi="Arial"/>
          <w:b/>
          <w:bCs/>
          <w:sz w:val="26"/>
          <w:szCs w:val="26"/>
        </w:rPr>
        <w:t xml:space="preserve">VIII — DOS PEDIDOS</w:t>
      </w:r>
    </w:p>
    <w:p>
      <w:pPr>
        <w:spacing w:after="120" w:before="0" w:line="360"/>
        <w:jc w:val="both"/>
      </w:pPr>
      <w:r>
        <w:rPr>
          <w:rFonts w:ascii="Arial" w:cs="Arial" w:eastAsia="Arial" w:hAnsi="Arial"/>
          <w:sz w:val="24"/>
          <w:szCs w:val="24"/>
        </w:rPr>
        <w:t xml:space="preserve">Diante de todo o exposto, esta Administração Judicial requer a esta Colenda Câmara:</w:t>
      </w:r>
    </w:p>
    <w:p>
      <w:pPr>
        <w:spacing w:after="120" w:before="0" w:line="360"/>
        <w:jc w:val="both"/>
      </w:pPr>
      <w:r>
        <w:rPr>
          <w:rFonts w:ascii="Arial" w:cs="Arial" w:eastAsia="Arial" w:hAnsi="Arial"/>
          <w:b/>
          <w:bCs/>
          <w:sz w:val="24"/>
          <w:szCs w:val="24"/>
        </w:rPr>
        <w:t xml:space="preserve">(i) preliminarmente,</w:t>
      </w:r>
      <w:r>
        <w:rPr>
          <w:rFonts w:ascii="Arial" w:cs="Arial" w:eastAsia="Arial" w:hAnsi="Arial"/>
          <w:sz w:val="24"/>
          <w:szCs w:val="24"/>
        </w:rPr>
        <w:t xml:space="preserve"> o reconhecimento da </w:t>
      </w:r>
      <w:r>
        <w:rPr>
          <w:rFonts w:ascii="Arial" w:cs="Arial" w:eastAsia="Arial" w:hAnsi="Arial"/>
          <w:b/>
          <w:bCs/>
          <w:sz w:val="24"/>
          <w:szCs w:val="24"/>
        </w:rPr>
        <w:t xml:space="preserve">nulidade absoluta</w:t>
      </w:r>
      <w:r>
        <w:rPr>
          <w:rFonts w:ascii="Arial" w:cs="Arial" w:eastAsia="Arial" w:hAnsi="Arial"/>
          <w:sz w:val="24"/>
          <w:szCs w:val="24"/>
        </w:rPr>
        <w:t xml:space="preserve"> do agravo de instrumento, ante a evidente inobservância da legitimidade passiva e do contraditório no que tange ao Administrador Judicial em exercício, com a sua extinção sem resolução do mérito (CPC/2015, art. 485, IV e VI); ou, sucessivamente,</w:t>
      </w:r>
    </w:p>
    <w:p>
      <w:pPr>
        <w:spacing w:after="120" w:before="0" w:line="360"/>
        <w:jc w:val="both"/>
      </w:pPr>
      <w:r>
        <w:rPr>
          <w:rFonts w:ascii="Arial" w:cs="Arial" w:eastAsia="Arial" w:hAnsi="Arial"/>
          <w:b/>
          <w:bCs/>
          <w:sz w:val="24"/>
          <w:szCs w:val="24"/>
        </w:rPr>
        <w:t xml:space="preserve">(ii) também em preliminar,</w:t>
      </w:r>
      <w:r>
        <w:rPr>
          <w:rFonts w:ascii="Arial" w:cs="Arial" w:eastAsia="Arial" w:hAnsi="Arial"/>
          <w:sz w:val="24"/>
          <w:szCs w:val="24"/>
        </w:rPr>
        <w:t xml:space="preserve"> a determinação à Agravante para que </w:t>
      </w:r>
      <w:r>
        <w:rPr>
          <w:rFonts w:ascii="Arial" w:cs="Arial" w:eastAsia="Arial" w:hAnsi="Arial"/>
          <w:b/>
          <w:bCs/>
          <w:sz w:val="24"/>
          <w:szCs w:val="24"/>
        </w:rPr>
        <w:t xml:space="preserve">regularize o polo passivo recursal</w:t>
      </w:r>
      <w:r>
        <w:rPr>
          <w:rFonts w:ascii="Arial" w:cs="Arial" w:eastAsia="Arial" w:hAnsi="Arial"/>
          <w:sz w:val="24"/>
          <w:szCs w:val="24"/>
        </w:rPr>
        <w:t xml:space="preserve">, incluindo expressamente, no agravo, GOMES DE MATTOS ADVOGADOS ASSOCIADOS, na pessoa do Dr. Augusto Alves Moreira Neto, na qualidade de Administrador Judicial atualmente investido por força da r. sentença recorrida, com </w:t>
      </w:r>
      <w:r>
        <w:rPr>
          <w:rFonts w:ascii="Arial" w:cs="Arial" w:eastAsia="Arial" w:hAnsi="Arial"/>
          <w:b/>
          <w:bCs/>
          <w:sz w:val="24"/>
          <w:szCs w:val="24"/>
        </w:rPr>
        <w:t xml:space="preserve">reabertura integral do prazo de contrarrazões</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(iii) no mérito,</w:t>
      </w:r>
      <w:r>
        <w:rPr>
          <w:rFonts w:ascii="Arial" w:cs="Arial" w:eastAsia="Arial" w:hAnsi="Arial"/>
          <w:sz w:val="24"/>
          <w:szCs w:val="24"/>
        </w:rPr>
        <w:t xml:space="preserve"> o </w:t>
      </w:r>
      <w:r>
        <w:rPr>
          <w:rFonts w:ascii="Arial" w:cs="Arial" w:eastAsia="Arial" w:hAnsi="Arial"/>
          <w:b/>
          <w:bCs/>
          <w:sz w:val="24"/>
          <w:szCs w:val="24"/>
        </w:rPr>
        <w:t xml:space="preserve">CONHECIMENTO</w:t>
      </w:r>
      <w:r>
        <w:rPr>
          <w:rFonts w:ascii="Arial" w:cs="Arial" w:eastAsia="Arial" w:hAnsi="Arial"/>
          <w:sz w:val="24"/>
          <w:szCs w:val="24"/>
        </w:rPr>
        <w:t xml:space="preserve"> das presentes contrarrazões, porquanto tempestivas e regularmente apresentadas nos termos do art. 1.019, II, do CPC/2015, e o </w:t>
      </w:r>
      <w:r>
        <w:rPr>
          <w:rFonts w:ascii="Arial" w:cs="Arial" w:eastAsia="Arial" w:hAnsi="Arial"/>
          <w:b/>
          <w:bCs/>
          <w:sz w:val="24"/>
          <w:szCs w:val="24"/>
        </w:rPr>
        <w:t xml:space="preserve">DESPROVIMENTO INTEGRAL</w:t>
      </w:r>
      <w:r>
        <w:rPr>
          <w:rFonts w:ascii="Arial" w:cs="Arial" w:eastAsia="Arial" w:hAnsi="Arial"/>
          <w:sz w:val="24"/>
          <w:szCs w:val="24"/>
        </w:rPr>
        <w:t xml:space="preserve"> do Agravo de Instrumento nº 0020679-11.2026.8.19.0000, mantendo-se </w:t>
      </w:r>
      <w:r>
        <w:rPr>
          <w:rFonts w:ascii="Arial" w:cs="Arial" w:eastAsia="Arial" w:hAnsi="Arial"/>
          <w:b/>
          <w:bCs/>
          <w:sz w:val="24"/>
          <w:szCs w:val="24"/>
        </w:rPr>
        <w:t xml:space="preserve">integralmente</w:t>
      </w:r>
      <w:r>
        <w:rPr>
          <w:rFonts w:ascii="Arial" w:cs="Arial" w:eastAsia="Arial" w:hAnsi="Arial"/>
          <w:sz w:val="24"/>
          <w:szCs w:val="24"/>
        </w:rPr>
        <w:t xml:space="preserve"> a r. sentença recorrida, prolatada em 02 de março de 2026 nos autos do processo nº 0268186-64.2015.8.19.0001, que convolou a recuperação judicial em </w:t>
      </w:r>
      <w:r>
        <w:rPr>
          <w:rFonts w:ascii="Arial" w:cs="Arial" w:eastAsia="Arial" w:hAnsi="Arial"/>
          <w:b/>
          <w:bCs/>
          <w:sz w:val="24"/>
          <w:szCs w:val="24"/>
        </w:rPr>
        <w:t xml:space="preserve">falência</w:t>
      </w:r>
      <w:r>
        <w:rPr>
          <w:rFonts w:ascii="Arial" w:cs="Arial" w:eastAsia="Arial" w:hAnsi="Arial"/>
          <w:sz w:val="24"/>
          <w:szCs w:val="24"/>
        </w:rPr>
        <w:t xml:space="preserve"> de NORONHA ENGENHARIA S/A, com fundamento nos arts. 61, § 1º, e 73, IV, da Lei nº 11.101/2005;</w:t>
      </w:r>
    </w:p>
    <w:p>
      <w:pPr>
        <w:spacing w:after="120" w:before="0" w:line="360"/>
        <w:jc w:val="both"/>
      </w:pPr>
      <w:r>
        <w:rPr>
          <w:rFonts w:ascii="Arial" w:cs="Arial" w:eastAsia="Arial" w:hAnsi="Arial"/>
          <w:b/>
          <w:bCs/>
          <w:sz w:val="24"/>
          <w:szCs w:val="24"/>
        </w:rPr>
        <w:t xml:space="preserve">(iv)</w:t>
      </w:r>
      <w:r>
        <w:rPr>
          <w:rFonts w:ascii="Arial" w:cs="Arial" w:eastAsia="Arial" w:hAnsi="Arial"/>
          <w:sz w:val="24"/>
          <w:szCs w:val="24"/>
        </w:rPr>
        <w:t xml:space="preserve"> o </w:t>
      </w:r>
      <w:r>
        <w:rPr>
          <w:rFonts w:ascii="Arial" w:cs="Arial" w:eastAsia="Arial" w:hAnsi="Arial"/>
          <w:b/>
          <w:bCs/>
          <w:sz w:val="24"/>
          <w:szCs w:val="24"/>
        </w:rPr>
        <w:t xml:space="preserve">protesto</w:t>
      </w:r>
      <w:r>
        <w:rPr>
          <w:rFonts w:ascii="Arial" w:cs="Arial" w:eastAsia="Arial" w:hAnsi="Arial"/>
          <w:sz w:val="24"/>
          <w:szCs w:val="24"/>
        </w:rPr>
        <w:t xml:space="preserve"> por todos os meios de prova em direito admitidos, em particular pela juntada complementar do </w:t>
      </w:r>
      <w:r>
        <w:rPr>
          <w:rFonts w:ascii="Arial" w:cs="Arial" w:eastAsia="Arial" w:hAnsi="Arial"/>
          <w:b/>
          <w:bCs/>
          <w:sz w:val="24"/>
          <w:szCs w:val="24"/>
        </w:rPr>
        <w:t xml:space="preserve">relatório de inspeção e do acervo fotográfico</w:t>
      </w:r>
      <w:r>
        <w:rPr>
          <w:rFonts w:ascii="Arial" w:cs="Arial" w:eastAsia="Arial" w:hAnsi="Arial"/>
          <w:sz w:val="24"/>
          <w:szCs w:val="24"/>
        </w:rPr>
        <w:t xml:space="preserve"> relativos à sede da Falida, bem como pela utilização, como prova emprestada, dos relatórios circunstanciados anteriores (subscritos, registre-se, pelo profissional que a Agravante, em manobra inquinada de nulidade, indicou como contraparte recursal).</w:t>
      </w:r>
    </w:p>
    <w:p>
      <w:pPr>
        <w:spacing w:after="120" w:before="0" w:line="360"/>
        <w:jc w:val="both"/>
      </w:pPr>
      <w:r>
        <w:rPr>
          <w:rFonts w:ascii="Arial" w:cs="Arial" w:eastAsia="Arial" w:hAnsi="Arial"/>
          <w:sz w:val="24"/>
          <w:szCs w:val="24"/>
        </w:rPr>
        <w:t xml:space="preserve">Nestes termos,</w:t>
      </w:r>
    </w:p>
    <w:p>
      <w:pPr>
        <w:spacing w:after="120" w:before="0" w:line="360"/>
        <w:jc w:val="both"/>
      </w:pPr>
      <w:r>
        <w:rPr>
          <w:rFonts w:ascii="Arial" w:cs="Arial" w:eastAsia="Arial" w:hAnsi="Arial"/>
          <w:sz w:val="24"/>
          <w:szCs w:val="24"/>
        </w:rPr>
        <w:t xml:space="preserve">Pede deferimento.</w:t>
      </w:r>
    </w:p>
    <w:p>
      <w:pPr>
        <w:spacing w:after="120"/>
      </w:pPr>
      <w:r>
        <w:t xml:space="preserve"/>
      </w:r>
    </w:p>
    <w:p>
      <w:pPr>
        <w:spacing w:after="120" w:before="0" w:line="360"/>
        <w:jc w:val="both"/>
      </w:pPr>
      <w:r>
        <w:rPr>
          <w:rFonts w:ascii="Arial" w:cs="Arial" w:eastAsia="Arial" w:hAnsi="Arial"/>
          <w:sz w:val="24"/>
          <w:szCs w:val="24"/>
        </w:rPr>
        <w:t xml:space="preserve">Rio de Janeiro, ___ de _______ de 2026.</w:t>
      </w:r>
    </w:p>
    <w:p>
      <w:pPr>
        <w:spacing w:after="120"/>
      </w:pPr>
      <w:r>
        <w:t xml:space="preserve"/>
      </w:r>
    </w:p>
    <w:p>
      <w:pPr>
        <w:spacing w:after="120"/>
      </w:pPr>
      <w:r>
        <w:t xml:space="preserve"/>
      </w:r>
    </w:p>
    <w:p>
      <w:pPr>
        <w:spacing w:after="120" w:before="0" w:line="360"/>
        <w:jc w:val="center"/>
      </w:pPr>
      <w:r>
        <w:rPr>
          <w:rFonts w:ascii="Arial" w:cs="Arial" w:eastAsia="Arial" w:hAnsi="Arial"/>
          <w:sz w:val="24"/>
          <w:szCs w:val="24"/>
        </w:rPr>
        <w:t xml:space="preserve">______________________________________________________</w:t>
      </w:r>
    </w:p>
    <w:p>
      <w:pPr>
        <w:spacing w:after="120" w:before="0" w:line="360"/>
        <w:jc w:val="center"/>
      </w:pPr>
      <w:r>
        <w:rPr>
          <w:rFonts w:ascii="Arial" w:cs="Arial" w:eastAsia="Arial" w:hAnsi="Arial"/>
          <w:b/>
          <w:bCs/>
          <w:sz w:val="24"/>
          <w:szCs w:val="24"/>
        </w:rPr>
        <w:t xml:space="preserve">AUGUSTO ALVES MOREIRA NETO</w:t>
      </w:r>
    </w:p>
    <w:p>
      <w:pPr>
        <w:spacing w:after="120" w:before="0" w:line="360"/>
        <w:jc w:val="center"/>
      </w:pPr>
      <w:r>
        <w:rPr>
          <w:rFonts w:ascii="Arial" w:cs="Arial" w:eastAsia="Arial" w:hAnsi="Arial"/>
          <w:sz w:val="24"/>
          <w:szCs w:val="24"/>
        </w:rPr>
        <w:t xml:space="preserve">OAB/RJ 241.295</w:t>
      </w:r>
    </w:p>
    <w:p>
      <w:pPr>
        <w:spacing w:after="120" w:before="0" w:line="360"/>
        <w:jc w:val="center"/>
      </w:pPr>
      <w:r>
        <w:rPr>
          <w:rFonts w:ascii="Arial" w:cs="Arial" w:eastAsia="Arial" w:hAnsi="Arial"/>
          <w:sz w:val="24"/>
          <w:szCs w:val="24"/>
        </w:rPr>
        <w:t xml:space="preserve">Administrador Judicial — GOMES DE MATTOS ADVOGADOS ASSOCIADOS</w:t>
      </w:r>
    </w:p>
    <w:p>
      <w:pPr>
        <w:spacing w:after="120" w:before="0" w:line="360"/>
        <w:jc w:val="center"/>
      </w:pPr>
      <w:r>
        <w:rPr>
          <w:rFonts w:ascii="Arial" w:cs="Arial" w:eastAsia="Arial" w:hAnsi="Arial"/>
          <w:sz w:val="24"/>
          <w:szCs w:val="24"/>
        </w:rPr>
        <w:t xml:space="preserve">admjud@gomesdemattos.com.br</w:t>
      </w:r>
    </w:p>
    <w:p>
      <w:pPr>
        <w:spacing w:after="120"/>
      </w:pPr>
      <w:r>
        <w:t xml:space="preserve"/>
      </w:r>
    </w:p>
    <w:p>
      <w:pPr>
        <w:pBdr>
          <w:top w:val="single" w:color="999999" w:sz="6" w:space="6"/>
        </w:pBdr>
        <w:spacing w:after="0" w:before="360"/>
        <w:jc w:val="both"/>
      </w:pPr>
      <w:r>
        <w:rPr>
          <w:sz w:val="16"/>
          <w:szCs w:val="16"/>
        </w:rPr>
        <w:t xml:space="preserve"> </w:t>
      </w:r>
    </w:p>
    <w:p>
      <w:pPr>
        <w:spacing w:after="60" w:before="60" w:line="280"/>
        <w:jc w:val="both"/>
      </w:pPr>
      <w:r>
        <w:rPr>
          <w:rFonts w:ascii="Arial" w:cs="Arial" w:eastAsia="Arial" w:hAnsi="Arial"/>
          <w:i/>
          <w:iCs/>
          <w:color w:val="666666"/>
          <w:sz w:val="18"/>
          <w:szCs w:val="18"/>
        </w:rPr>
        <w:t xml:space="preserve">Documento elaborado com auxílio de inteligência artificial (sistema LexOS v4.2) e sujeito a revisão humana obrigatória pelo advogado responsável, nos termos do art. 32 da Lei 8.906/1994, do Código de Ética e Disciplina da OAB e da Resolução CNJ nº 615/2025. As citações de jurisprudência e doutrina sinalizadas como [AMARELO] devem ser CONFIRMADAS em fonte primária antes do protocolo.</w:t>
      </w:r>
    </w:p>
    <w:sectPr>
      <w:headerReference w:type="default" r:id="rId7"/>
      <w:footerReference w:type="default" r:id="rId8"/>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18"/>
        <w:szCs w:val="18"/>
      </w:rPr>
      <w:t xml:space="preserve">Contrarrazoes - Agravo no 0020679-11.2026.8.19.0000 - Noronha Engenharia (Massa Falida)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Contrarrazoes - Agravo 0020679-11.2026.8.19.0000 - Noronha Engenharia</dc:title>
  <dc:creator>Gomes de Mattos Advogados Associados</dc:creator>
  <dc:description>Contrarrazoes ao Agravo de Instrumento - Massa Falida Noronha Engenharia</dc:description>
  <cp:lastModifiedBy>Un-named</cp:lastModifiedBy>
  <cp:revision>1</cp:revision>
  <dcterms:created xsi:type="dcterms:W3CDTF">2026-04-27T06:11:17.489Z</dcterms:created>
  <dcterms:modified xsi:type="dcterms:W3CDTF">2026-04-27T06:11:17.490Z</dcterms:modified>
</cp:coreProperties>
</file>

<file path=docProps/custom.xml><?xml version="1.0" encoding="utf-8"?>
<Properties xmlns="http://schemas.openxmlformats.org/officeDocument/2006/custom-properties" xmlns:vt="http://schemas.openxmlformats.org/officeDocument/2006/docPropsVTypes"/>
</file>