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oppins" w:cs="Poppins" w:eastAsia="Poppins" w:hAnsi="Poppins"/>
          <w:b w:val="1"/>
          <w:color w:val="0000ee"/>
          <w:sz w:val="40"/>
          <w:szCs w:val="40"/>
        </w:rPr>
      </w:pPr>
      <w:r w:rsidDel="00000000" w:rsidR="00000000" w:rsidRPr="00000000">
        <w:rPr>
          <w:rFonts w:ascii="Poppins" w:cs="Poppins" w:eastAsia="Poppins" w:hAnsi="Poppins"/>
          <w:b w:val="1"/>
          <w:color w:val="0000ee"/>
          <w:sz w:val="40"/>
          <w:szCs w:val="40"/>
          <w:rtl w:val="0"/>
        </w:rPr>
        <w:t xml:space="preserve">GOBIERNO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00.0" w:type="dxa"/>
        <w:jc w:val="left"/>
        <w:tblBorders>
          <w:top w:color="0000ee" w:space="0" w:sz="8" w:val="single"/>
          <w:left w:color="0000ee" w:space="0" w:sz="8" w:val="single"/>
          <w:bottom w:color="0000ee" w:space="0" w:sz="8" w:val="single"/>
          <w:right w:color="0000ee" w:space="0" w:sz="8" w:val="single"/>
          <w:insideH w:color="0000ee" w:space="0" w:sz="8" w:val="single"/>
          <w:insideV w:color="0000ee" w:space="0" w:sz="8" w:val="single"/>
        </w:tblBorders>
        <w:tblLayout w:type="fixed"/>
        <w:tblLook w:val="0600"/>
      </w:tblPr>
      <w:tblGrid>
        <w:gridCol w:w="1515"/>
        <w:gridCol w:w="2228.333333333333"/>
        <w:gridCol w:w="10056.666666666666"/>
        <w:tblGridChange w:id="0">
          <w:tblGrid>
            <w:gridCol w:w="1515"/>
            <w:gridCol w:w="2228.333333333333"/>
            <w:gridCol w:w="10056.66666666666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ee" w:space="0" w:sz="8" w:val="single"/>
              <w:left w:color="0000ee" w:space="0" w:sz="8" w:val="single"/>
              <w:bottom w:color="0000ee" w:space="0" w:sz="8" w:val="single"/>
              <w:right w:color="0000ee" w:space="0" w:sz="8" w:val="single"/>
            </w:tcBorders>
            <w:shd w:fill="0000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shd w:fill="0000ee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shd w:fill="0000ee" w:val="clear"/>
                <w:rtl w:val="0"/>
              </w:rPr>
              <w:t xml:space="preserve">1.</w:t>
            </w:r>
          </w:p>
        </w:tc>
        <w:tc>
          <w:tcPr>
            <w:gridSpan w:val="2"/>
            <w:tcBorders>
              <w:top w:color="0000ee" w:space="0" w:sz="8" w:val="single"/>
              <w:left w:color="0000ee" w:space="0" w:sz="8" w:val="single"/>
              <w:bottom w:color="0000ee" w:space="0" w:sz="8" w:val="single"/>
              <w:right w:color="0000ee" w:space="0" w:sz="8" w:val="single"/>
            </w:tcBorders>
            <w:shd w:fill="0000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HOME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ee" w:space="0" w:sz="8" w:val="single"/>
              <w:bottom w:color="0000e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Poppins" w:cs="Poppins" w:eastAsia="Poppins" w:hAnsi="Poppi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Poppins" w:cs="Poppins" w:eastAsia="Poppins" w:hAnsi="Poppi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Poppins" w:cs="Poppins" w:eastAsia="Poppins" w:hAnsi="Poppi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Poppins" w:cs="Poppins" w:eastAsia="Poppins" w:hAnsi="Poppi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Poppins" w:cs="Poppins" w:eastAsia="Poppins" w:hAnsi="Poppi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Poppins" w:cs="Poppins" w:eastAsia="Poppins" w:hAnsi="Poppi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ee" w:space="0" w:sz="8" w:val="single"/>
              <w:bottom w:color="0000e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</w:rPr>
              <w:drawing>
                <wp:inline distB="114300" distT="114300" distL="114300" distR="114300">
                  <wp:extent cx="6396038" cy="2383616"/>
                  <wp:effectExtent b="0" l="0" r="0" t="0"/>
                  <wp:docPr id="25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038" cy="23836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2"/>
            <w:tcBorders>
              <w:top w:color="0000ee" w:space="0" w:sz="8" w:val="single"/>
              <w:left w:color="0000ee" w:space="0" w:sz="8" w:val="single"/>
              <w:bottom w:color="0000ee" w:space="0" w:sz="8" w:val="single"/>
              <w:right w:color="0000ee" w:space="0" w:sz="8" w:val="single"/>
            </w:tcBorders>
            <w:shd w:fill="0000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Insumos/Cambios:</w:t>
            </w:r>
          </w:p>
        </w:tc>
        <w:tc>
          <w:tcPr>
            <w:tcBorders>
              <w:left w:color="0000e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8"/>
                <w:szCs w:val="18"/>
                <w:rtl w:val="0"/>
              </w:rPr>
              <w:t xml:space="preserve">Texto actual: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Gobiernos inteligentes para la nueva era digital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Nos especializamos en soluciones digitales que modernizan y optimizan la gestión pública con IA y tecnología avanzada.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8"/>
                <w:szCs w:val="18"/>
                <w:rtl w:val="0"/>
              </w:rPr>
              <w:t xml:space="preserve">Cambiar: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Contáctanos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8"/>
                <w:szCs w:val="18"/>
                <w:rtl w:val="0"/>
              </w:rPr>
              <w:t xml:space="preserve">Agregar: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rFonts w:ascii="Poppins" w:cs="Poppins" w:eastAsia="Poppins" w:hAnsi="Poppins"/>
                  <w:b w:val="1"/>
                  <w:color w:val="1155cc"/>
                  <w:sz w:val="18"/>
                  <w:szCs w:val="18"/>
                  <w:u w:val="single"/>
                  <w:rtl w:val="0"/>
                </w:rPr>
                <w:t xml:space="preserve">Cintillo de logos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Poppins" w:cs="Poppins" w:eastAsia="Poppins" w:hAnsi="Poppins"/>
                <w:sz w:val="18"/>
                <w:szCs w:val="18"/>
                <w:u w:val="none"/>
              </w:rPr>
            </w:pPr>
            <w:hyperlink r:id="rId9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18"/>
                  <w:szCs w:val="18"/>
                  <w:u w:val="single"/>
                  <w:rtl w:val="0"/>
                </w:rPr>
                <w:t xml:space="preserve">Anda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Poppins" w:cs="Poppins" w:eastAsia="Poppins" w:hAnsi="Poppins"/>
                <w:sz w:val="18"/>
                <w:szCs w:val="18"/>
                <w:u w:val="none"/>
              </w:rPr>
            </w:pPr>
            <w:hyperlink r:id="rId10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18"/>
                  <w:szCs w:val="18"/>
                  <w:u w:val="single"/>
                  <w:rtl w:val="0"/>
                </w:rPr>
                <w:t xml:space="preserve">Asamblea Legislativa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Poppins" w:cs="Poppins" w:eastAsia="Poppins" w:hAnsi="Poppins"/>
                <w:sz w:val="18"/>
                <w:szCs w:val="18"/>
                <w:u w:val="none"/>
              </w:rPr>
            </w:pPr>
            <w:hyperlink r:id="rId11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18"/>
                  <w:szCs w:val="18"/>
                  <w:u w:val="single"/>
                  <w:rtl w:val="0"/>
                </w:rPr>
                <w:t xml:space="preserve">Ministerio de Salud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Poppins" w:cs="Poppins" w:eastAsia="Poppins" w:hAnsi="Poppins"/>
                <w:sz w:val="18"/>
                <w:szCs w:val="18"/>
                <w:u w:val="none"/>
              </w:rPr>
            </w:pPr>
            <w:hyperlink r:id="rId12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18"/>
                  <w:szCs w:val="18"/>
                  <w:u w:val="single"/>
                  <w:rtl w:val="0"/>
                </w:rPr>
                <w:t xml:space="preserve">Oficina del Sheriff de Miami Dade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2" w:hRule="atLeast"/>
          <w:tblHeader w:val="0"/>
        </w:trPr>
        <w:tc>
          <w:tcPr>
            <w:tcBorders>
              <w:top w:color="0000ee" w:space="0" w:sz="8" w:val="single"/>
              <w:bottom w:color="0000ee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Poppins" w:cs="Poppins" w:eastAsia="Poppins" w:hAnsi="Poppi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ee" w:space="0" w:sz="8" w:val="single"/>
              <w:bottom w:color="0000ee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  <w:drawing>
                <wp:inline distB="114300" distT="114300" distL="114300" distR="114300">
                  <wp:extent cx="5348288" cy="2398425"/>
                  <wp:effectExtent b="0" l="0" r="0" t="0"/>
                  <wp:docPr id="26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8288" cy="2398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Borders>
              <w:top w:color="0000ee" w:space="0" w:sz="8" w:val="single"/>
              <w:left w:color="0000ee" w:space="0" w:sz="8" w:val="single"/>
              <w:bottom w:color="0000ee" w:space="0" w:sz="8" w:val="single"/>
              <w:right w:color="0000ee" w:space="0" w:sz="8" w:val="single"/>
            </w:tcBorders>
            <w:shd w:fill="0000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Insumos/Cambios:</w:t>
            </w:r>
          </w:p>
        </w:tc>
        <w:tc>
          <w:tcPr>
            <w:tcBorders>
              <w:left w:color="0000e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Poppins" w:cs="Poppins" w:eastAsia="Poppins" w:hAnsi="Poppins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8"/>
                <w:szCs w:val="18"/>
                <w:rtl w:val="0"/>
              </w:rPr>
              <w:t xml:space="preserve">Texto actual:</w:t>
            </w:r>
          </w:p>
          <w:p w:rsidR="00000000" w:rsidDel="00000000" w:rsidP="00000000" w:rsidRDefault="00000000" w:rsidRPr="00000000" w14:paraId="00000024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Transformando los servicios públicos</w:t>
            </w:r>
          </w:p>
          <w:p w:rsidR="00000000" w:rsidDel="00000000" w:rsidP="00000000" w:rsidRDefault="00000000" w:rsidRPr="00000000" w14:paraId="00000025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¡Acompañándote a lograr resultados!</w:t>
            </w:r>
          </w:p>
          <w:p w:rsidR="00000000" w:rsidDel="00000000" w:rsidP="00000000" w:rsidRDefault="00000000" w:rsidRPr="00000000" w14:paraId="00000026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Entregamos soluciones digitales de alto nivel y bajo demanda con precisión.</w:t>
            </w:r>
          </w:p>
          <w:p w:rsidR="00000000" w:rsidDel="00000000" w:rsidP="00000000" w:rsidRDefault="00000000" w:rsidRPr="00000000" w14:paraId="00000027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Empoderamos a los gobiernos para modernizar, optimizar y conectar con los ciudadanos de manera eficiente.</w:t>
            </w:r>
          </w:p>
          <w:p w:rsidR="00000000" w:rsidDel="00000000" w:rsidP="00000000" w:rsidRDefault="00000000" w:rsidRPr="00000000" w14:paraId="00000028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Poppins" w:cs="Poppins" w:eastAsia="Poppins" w:hAnsi="Poppins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8"/>
                <w:szCs w:val="18"/>
                <w:rtl w:val="0"/>
              </w:rPr>
              <w:t xml:space="preserve">Texto sugerido: </w:t>
            </w:r>
          </w:p>
          <w:p w:rsidR="00000000" w:rsidDel="00000000" w:rsidP="00000000" w:rsidRDefault="00000000" w:rsidRPr="00000000" w14:paraId="0000002A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Transformamos los servicios públicos</w:t>
            </w:r>
          </w:p>
          <w:p w:rsidR="00000000" w:rsidDel="00000000" w:rsidP="00000000" w:rsidRDefault="00000000" w:rsidRPr="00000000" w14:paraId="0000002B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Diseñamos e  implementamos soluciones digitales avanzadas adaptadas a las necesidades específicas de cada entidad gubernamental, asegurando resultados precisos y eficientes.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e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Poppins" w:cs="Poppins" w:eastAsia="Poppins" w:hAnsi="Poppins"/>
                <w:color w:val="434343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16"/>
                <w:szCs w:val="16"/>
                <w:highlight w:val="whit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e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color w:val="ffffff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highlight w:val="white"/>
              </w:rPr>
              <w:drawing>
                <wp:inline distB="114300" distT="114300" distL="114300" distR="114300">
                  <wp:extent cx="5414963" cy="2367785"/>
                  <wp:effectExtent b="0" l="0" r="0" t="0"/>
                  <wp:docPr id="25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4963" cy="23677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shd w:fill="0000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color w:val="434343"/>
                <w:sz w:val="30"/>
                <w:szCs w:val="3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Insumos/Cambios: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Poppins" w:cs="Poppins" w:eastAsia="Poppins" w:hAnsi="Poppi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6"/>
                <w:szCs w:val="16"/>
                <w:rtl w:val="0"/>
              </w:rPr>
              <w:t xml:space="preserve">Texto actual:</w:t>
            </w:r>
          </w:p>
          <w:p w:rsidR="00000000" w:rsidDel="00000000" w:rsidP="00000000" w:rsidRDefault="00000000" w:rsidRPr="00000000" w14:paraId="00000032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Soluciones que marcan la diferencia </w:t>
            </w:r>
          </w:p>
          <w:p w:rsidR="00000000" w:rsidDel="00000000" w:rsidP="00000000" w:rsidRDefault="00000000" w:rsidRPr="00000000" w14:paraId="00000033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Entregamos con impacto</w:t>
            </w:r>
          </w:p>
          <w:p w:rsidR="00000000" w:rsidDel="00000000" w:rsidP="00000000" w:rsidRDefault="00000000" w:rsidRPr="00000000" w14:paraId="00000034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Nuestro compromiso es transformar estrategias en realidades, asegurando que cada solución digital se traduzca en mejoras tangibles para la gestión pública y el servicio a los ciudadanos. </w:t>
            </w:r>
          </w:p>
          <w:p w:rsidR="00000000" w:rsidDel="00000000" w:rsidP="00000000" w:rsidRDefault="00000000" w:rsidRPr="00000000" w14:paraId="00000035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Poppins" w:cs="Poppins" w:eastAsia="Poppins" w:hAnsi="Poppi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6"/>
                <w:szCs w:val="16"/>
                <w:rtl w:val="0"/>
              </w:rPr>
              <w:t xml:space="preserve">Texto sugerido:</w:t>
            </w:r>
          </w:p>
          <w:p w:rsidR="00000000" w:rsidDel="00000000" w:rsidP="00000000" w:rsidRDefault="00000000" w:rsidRPr="00000000" w14:paraId="00000037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Soluciones que marcan la diferencia</w:t>
            </w:r>
          </w:p>
          <w:p w:rsidR="00000000" w:rsidDel="00000000" w:rsidP="00000000" w:rsidRDefault="00000000" w:rsidRPr="00000000" w14:paraId="00000038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Transformamos las estrategias en resultados reales, asegurando que cada solución digital genere avances tangibles en la gestión pública y en la calidad del servicio a los ciudadanos.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Poppins" w:cs="Poppins" w:eastAsia="Poppins" w:hAnsi="Poppins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666666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</w:rPr>
              <w:drawing>
                <wp:inline distB="114300" distT="114300" distL="114300" distR="114300">
                  <wp:extent cx="5224463" cy="2991897"/>
                  <wp:effectExtent b="0" l="0" r="0" t="0"/>
                  <wp:docPr id="25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4463" cy="29918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0000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Insumos/Cambios: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Poppins" w:cs="Poppins" w:eastAsia="Poppins" w:hAnsi="Poppi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6"/>
                <w:szCs w:val="16"/>
                <w:rtl w:val="0"/>
              </w:rPr>
              <w:t xml:space="preserve">Texto actual:</w:t>
            </w:r>
          </w:p>
          <w:p w:rsidR="00000000" w:rsidDel="00000000" w:rsidP="00000000" w:rsidRDefault="00000000" w:rsidRPr="00000000" w14:paraId="0000003F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Software Factory</w:t>
            </w:r>
          </w:p>
          <w:p w:rsidR="00000000" w:rsidDel="00000000" w:rsidP="00000000" w:rsidRDefault="00000000" w:rsidRPr="00000000" w14:paraId="00000040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Desarrollo a la medida</w:t>
            </w:r>
          </w:p>
          <w:p w:rsidR="00000000" w:rsidDel="00000000" w:rsidP="00000000" w:rsidRDefault="00000000" w:rsidRPr="00000000" w14:paraId="00000041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Ofrecemos soluciones innovadoras y escalables que optimizan procesos, mejoran la eficacia y fortalecen la conexión entre gobiernos y ciudadanos, sin restricciones ni barreras.</w:t>
            </w:r>
          </w:p>
          <w:p w:rsidR="00000000" w:rsidDel="00000000" w:rsidP="00000000" w:rsidRDefault="00000000" w:rsidRPr="00000000" w14:paraId="00000042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Digital Strategy &amp; Advertising</w:t>
            </w:r>
          </w:p>
          <w:p w:rsidR="00000000" w:rsidDel="00000000" w:rsidP="00000000" w:rsidRDefault="00000000" w:rsidRPr="00000000" w14:paraId="00000044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Estrategia digital</w:t>
            </w:r>
          </w:p>
          <w:p w:rsidR="00000000" w:rsidDel="00000000" w:rsidP="00000000" w:rsidRDefault="00000000" w:rsidRPr="00000000" w14:paraId="00000045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Diseñamos campañas basadas en datos para optimizar la comunicación y la interacción con la ciudadanía.</w:t>
            </w:r>
          </w:p>
          <w:p w:rsidR="00000000" w:rsidDel="00000000" w:rsidP="00000000" w:rsidRDefault="00000000" w:rsidRPr="00000000" w14:paraId="00000046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Cloud Services</w:t>
            </w:r>
          </w:p>
          <w:p w:rsidR="00000000" w:rsidDel="00000000" w:rsidP="00000000" w:rsidRDefault="00000000" w:rsidRPr="00000000" w14:paraId="00000048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Infraestructura segura</w:t>
            </w:r>
          </w:p>
          <w:p w:rsidR="00000000" w:rsidDel="00000000" w:rsidP="00000000" w:rsidRDefault="00000000" w:rsidRPr="00000000" w14:paraId="00000049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Migramos  y optimizamos plataformas en la nube para garantizar eficiencia, seguridad y escalabilidad.</w:t>
            </w:r>
          </w:p>
          <w:p w:rsidR="00000000" w:rsidDel="00000000" w:rsidP="00000000" w:rsidRDefault="00000000" w:rsidRPr="00000000" w14:paraId="0000004A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AWS/GCP/AZURE</w:t>
            </w:r>
          </w:p>
          <w:p w:rsidR="00000000" w:rsidDel="00000000" w:rsidP="00000000" w:rsidRDefault="00000000" w:rsidRPr="00000000" w14:paraId="0000004B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Profesionales Digitales</w:t>
            </w:r>
          </w:p>
          <w:p w:rsidR="00000000" w:rsidDel="00000000" w:rsidP="00000000" w:rsidRDefault="00000000" w:rsidRPr="00000000" w14:paraId="0000004D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Talento especializado</w:t>
            </w:r>
          </w:p>
          <w:p w:rsidR="00000000" w:rsidDel="00000000" w:rsidP="00000000" w:rsidRDefault="00000000" w:rsidRPr="00000000" w14:paraId="0000004E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Conectamos a expertos en tecnología y digitalización con proyectos que impulsan la innovación gubernamental.</w:t>
            </w:r>
          </w:p>
          <w:p w:rsidR="00000000" w:rsidDel="00000000" w:rsidP="00000000" w:rsidRDefault="00000000" w:rsidRPr="00000000" w14:paraId="0000004F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Social Listening</w:t>
            </w:r>
          </w:p>
          <w:p w:rsidR="00000000" w:rsidDel="00000000" w:rsidP="00000000" w:rsidRDefault="00000000" w:rsidRPr="00000000" w14:paraId="00000051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Análisis estratégico</w:t>
            </w:r>
          </w:p>
          <w:p w:rsidR="00000000" w:rsidDel="00000000" w:rsidP="00000000" w:rsidRDefault="00000000" w:rsidRPr="00000000" w14:paraId="00000052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Monitorizamos </w:t>
            </w: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y analizamos datos en tiempo real para mejorar la comunicación y la toma de decisiones.</w:t>
            </w:r>
          </w:p>
          <w:p w:rsidR="00000000" w:rsidDel="00000000" w:rsidP="00000000" w:rsidRDefault="00000000" w:rsidRPr="00000000" w14:paraId="00000053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Mesas de Servicio</w:t>
            </w:r>
          </w:p>
          <w:p w:rsidR="00000000" w:rsidDel="00000000" w:rsidP="00000000" w:rsidRDefault="00000000" w:rsidRPr="00000000" w14:paraId="00000055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Soporte y operación</w:t>
            </w:r>
          </w:p>
          <w:p w:rsidR="00000000" w:rsidDel="00000000" w:rsidP="00000000" w:rsidRDefault="00000000" w:rsidRPr="00000000" w14:paraId="00000056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Brindamos soporte técnico y operativo para garantizar la continuidad y eficiencia de los sistemas públicos.</w:t>
            </w:r>
          </w:p>
          <w:p w:rsidR="00000000" w:rsidDel="00000000" w:rsidP="00000000" w:rsidRDefault="00000000" w:rsidRPr="00000000" w14:paraId="00000057">
            <w:pPr>
              <w:ind w:left="0" w:firstLine="0"/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ind w:left="0" w:firstLine="0"/>
              <w:rPr>
                <w:rFonts w:ascii="Poppins" w:cs="Poppins" w:eastAsia="Poppins" w:hAnsi="Poppi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6"/>
                <w:szCs w:val="16"/>
                <w:rtl w:val="0"/>
              </w:rPr>
              <w:t xml:space="preserve">Texto sugerido:</w:t>
            </w:r>
          </w:p>
          <w:p w:rsidR="00000000" w:rsidDel="00000000" w:rsidP="00000000" w:rsidRDefault="00000000" w:rsidRPr="00000000" w14:paraId="00000059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Software Factory</w:t>
            </w:r>
          </w:p>
          <w:p w:rsidR="00000000" w:rsidDel="00000000" w:rsidP="00000000" w:rsidRDefault="00000000" w:rsidRPr="00000000" w14:paraId="0000005A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Desarrollo a la medida</w:t>
            </w:r>
          </w:p>
          <w:p w:rsidR="00000000" w:rsidDel="00000000" w:rsidP="00000000" w:rsidRDefault="00000000" w:rsidRPr="00000000" w14:paraId="0000005B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Ofrecemos soluciones innovadoras y escalables que optimizan procesos, mejoran la eficiencia operativa y fortalecen la conexión entre gobiernos y ciudadanos, sin limitaciones ni barreras tecnológicas.</w:t>
            </w:r>
          </w:p>
          <w:p w:rsidR="00000000" w:rsidDel="00000000" w:rsidP="00000000" w:rsidRDefault="00000000" w:rsidRPr="00000000" w14:paraId="0000005C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Digital Strategy &amp; Advertising</w:t>
            </w:r>
          </w:p>
          <w:p w:rsidR="00000000" w:rsidDel="00000000" w:rsidP="00000000" w:rsidRDefault="00000000" w:rsidRPr="00000000" w14:paraId="0000005E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Estrategia digital</w:t>
            </w:r>
          </w:p>
          <w:p w:rsidR="00000000" w:rsidDel="00000000" w:rsidP="00000000" w:rsidRDefault="00000000" w:rsidRPr="00000000" w14:paraId="0000005F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Diseñamos campañas estratégicas basadas en datos para optimizar la comunicación y mejorar la interacción entre las entidades gubernamentales y la ciudadanía.</w:t>
            </w:r>
          </w:p>
          <w:p w:rsidR="00000000" w:rsidDel="00000000" w:rsidP="00000000" w:rsidRDefault="00000000" w:rsidRPr="00000000" w14:paraId="00000060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Cloud Services</w:t>
            </w:r>
          </w:p>
          <w:p w:rsidR="00000000" w:rsidDel="00000000" w:rsidP="00000000" w:rsidRDefault="00000000" w:rsidRPr="00000000" w14:paraId="00000062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Infraestructura segura</w:t>
            </w:r>
          </w:p>
          <w:p w:rsidR="00000000" w:rsidDel="00000000" w:rsidP="00000000" w:rsidRDefault="00000000" w:rsidRPr="00000000" w14:paraId="00000063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Realizamos la migración y optimización de plataformas en la nube, garantizando eficiencia, seguridad y escalabilidad mediante soluciones en:</w:t>
            </w:r>
          </w:p>
          <w:p w:rsidR="00000000" w:rsidDel="00000000" w:rsidP="00000000" w:rsidRDefault="00000000" w:rsidRPr="00000000" w14:paraId="00000064">
            <w:pPr>
              <w:rPr>
                <w:rFonts w:ascii="Poppins" w:cs="Poppins" w:eastAsia="Poppins" w:hAnsi="Poppins"/>
                <w:b w:val="1"/>
                <w:sz w:val="16"/>
                <w:szCs w:val="16"/>
              </w:rPr>
            </w:pPr>
            <w:hyperlink r:id="rId16">
              <w:r w:rsidDel="00000000" w:rsidR="00000000" w:rsidRPr="00000000">
                <w:rPr>
                  <w:rFonts w:ascii="Poppins" w:cs="Poppins" w:eastAsia="Poppins" w:hAnsi="Poppins"/>
                  <w:b w:val="1"/>
                  <w:color w:val="1155cc"/>
                  <w:sz w:val="16"/>
                  <w:szCs w:val="16"/>
                  <w:u w:val="single"/>
                  <w:rtl w:val="0"/>
                </w:rPr>
                <w:t xml:space="preserve">Agregar logos: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Poppins" w:cs="Poppins" w:eastAsia="Poppins" w:hAnsi="Poppins"/>
                <w:sz w:val="16"/>
                <w:szCs w:val="16"/>
              </w:rPr>
            </w:pPr>
            <w:hyperlink r:id="rId17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16"/>
                  <w:szCs w:val="16"/>
                  <w:u w:val="single"/>
                  <w:rtl w:val="0"/>
                </w:rPr>
                <w:t xml:space="preserve">AWS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Poppins" w:cs="Poppins" w:eastAsia="Poppins" w:hAnsi="Poppins"/>
                <w:sz w:val="16"/>
                <w:szCs w:val="16"/>
              </w:rPr>
            </w:pPr>
            <w:hyperlink r:id="rId18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16"/>
                  <w:szCs w:val="16"/>
                  <w:u w:val="single"/>
                  <w:rtl w:val="0"/>
                </w:rPr>
                <w:t xml:space="preserve">GCP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Poppins" w:cs="Poppins" w:eastAsia="Poppins" w:hAnsi="Poppins"/>
                <w:sz w:val="16"/>
                <w:szCs w:val="16"/>
              </w:rPr>
            </w:pPr>
            <w:hyperlink r:id="rId19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16"/>
                  <w:szCs w:val="16"/>
                  <w:u w:val="single"/>
                  <w:rtl w:val="0"/>
                </w:rPr>
                <w:t xml:space="preserve">Azure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Profesionales Digitales</w:t>
            </w:r>
          </w:p>
          <w:p w:rsidR="00000000" w:rsidDel="00000000" w:rsidP="00000000" w:rsidRDefault="00000000" w:rsidRPr="00000000" w14:paraId="0000006A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Talento especializado</w:t>
            </w:r>
          </w:p>
          <w:p w:rsidR="00000000" w:rsidDel="00000000" w:rsidP="00000000" w:rsidRDefault="00000000" w:rsidRPr="00000000" w14:paraId="0000006B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Conectamos a expertos en tecnología y digitalización con proyectos gubernamentales, impulsando la innovación y la transformación digital en el sector público.</w:t>
            </w:r>
          </w:p>
          <w:p w:rsidR="00000000" w:rsidDel="00000000" w:rsidP="00000000" w:rsidRDefault="00000000" w:rsidRPr="00000000" w14:paraId="0000006C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Social Listening</w:t>
            </w:r>
          </w:p>
          <w:p w:rsidR="00000000" w:rsidDel="00000000" w:rsidP="00000000" w:rsidRDefault="00000000" w:rsidRPr="00000000" w14:paraId="0000006E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Análisis estratégico</w:t>
            </w:r>
          </w:p>
          <w:p w:rsidR="00000000" w:rsidDel="00000000" w:rsidP="00000000" w:rsidRDefault="00000000" w:rsidRPr="00000000" w14:paraId="0000006F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Monitorizamos y analizamos datos en tiempo real, proporcionando insights clave para mejorar la comunicación pública y la toma de decisiones informadas.</w:t>
            </w:r>
          </w:p>
          <w:p w:rsidR="00000000" w:rsidDel="00000000" w:rsidP="00000000" w:rsidRDefault="00000000" w:rsidRPr="00000000" w14:paraId="00000070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Mesas de Servicio</w:t>
            </w:r>
          </w:p>
          <w:p w:rsidR="00000000" w:rsidDel="00000000" w:rsidP="00000000" w:rsidRDefault="00000000" w:rsidRPr="00000000" w14:paraId="00000072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Soporte y operación</w:t>
            </w:r>
          </w:p>
          <w:p w:rsidR="00000000" w:rsidDel="00000000" w:rsidP="00000000" w:rsidRDefault="00000000" w:rsidRPr="00000000" w14:paraId="00000073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Ofrecemos soporte técnico y operativo integral para garantizar la continuidad, estabilidad y eficiencia de los sistemas gubernamentales.</w:t>
            </w:r>
          </w:p>
          <w:p w:rsidR="00000000" w:rsidDel="00000000" w:rsidP="00000000" w:rsidRDefault="00000000" w:rsidRPr="00000000" w14:paraId="0000007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00.0" w:type="dxa"/>
        <w:jc w:val="left"/>
        <w:tblBorders>
          <w:top w:color="0000ee" w:space="0" w:sz="8" w:val="single"/>
          <w:left w:color="0000ee" w:space="0" w:sz="8" w:val="single"/>
          <w:bottom w:color="0000ee" w:space="0" w:sz="8" w:val="single"/>
          <w:right w:color="0000ee" w:space="0" w:sz="8" w:val="single"/>
          <w:insideH w:color="0000ee" w:space="0" w:sz="8" w:val="single"/>
          <w:insideV w:color="0000ee" w:space="0" w:sz="8" w:val="single"/>
        </w:tblBorders>
        <w:tblLayout w:type="fixed"/>
        <w:tblLook w:val="0600"/>
      </w:tblPr>
      <w:tblGrid>
        <w:gridCol w:w="1515"/>
        <w:gridCol w:w="2228.333333333333"/>
        <w:gridCol w:w="10056.666666666666"/>
        <w:tblGridChange w:id="0">
          <w:tblGrid>
            <w:gridCol w:w="1515"/>
            <w:gridCol w:w="2228.333333333333"/>
            <w:gridCol w:w="10056.66666666666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ee" w:space="0" w:sz="8" w:val="single"/>
              <w:left w:color="0000ee" w:space="0" w:sz="8" w:val="single"/>
              <w:bottom w:color="0000ee" w:space="0" w:sz="8" w:val="single"/>
              <w:right w:color="0000ee" w:space="0" w:sz="8" w:val="single"/>
            </w:tcBorders>
            <w:shd w:fill="0000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shd w:fill="0000ee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shd w:fill="0000ee" w:val="clear"/>
                <w:rtl w:val="0"/>
              </w:rPr>
              <w:t xml:space="preserve">2.</w:t>
            </w:r>
          </w:p>
        </w:tc>
        <w:tc>
          <w:tcPr>
            <w:gridSpan w:val="2"/>
            <w:tcBorders>
              <w:top w:color="0000ee" w:space="0" w:sz="8" w:val="single"/>
              <w:left w:color="0000ee" w:space="0" w:sz="8" w:val="single"/>
              <w:bottom w:color="0000ee" w:space="0" w:sz="8" w:val="single"/>
              <w:right w:color="0000ee" w:space="0" w:sz="8" w:val="single"/>
            </w:tcBorders>
            <w:shd w:fill="0000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ABOUT 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ee" w:space="0" w:sz="8" w:val="single"/>
              <w:bottom w:color="0000e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Poppins" w:cs="Poppins" w:eastAsia="Poppins" w:hAnsi="Poppi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rFonts w:ascii="Poppins" w:cs="Poppins" w:eastAsia="Poppins" w:hAnsi="Poppi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rFonts w:ascii="Poppins" w:cs="Poppins" w:eastAsia="Poppins" w:hAnsi="Poppi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rFonts w:ascii="Poppins" w:cs="Poppins" w:eastAsia="Poppins" w:hAnsi="Poppi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rFonts w:ascii="Poppins" w:cs="Poppins" w:eastAsia="Poppins" w:hAnsi="Poppi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rFonts w:ascii="Poppins" w:cs="Poppins" w:eastAsia="Poppins" w:hAnsi="Poppi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ee" w:space="0" w:sz="8" w:val="single"/>
              <w:bottom w:color="0000e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</w:rPr>
              <w:drawing>
                <wp:inline distB="114300" distT="114300" distL="114300" distR="114300">
                  <wp:extent cx="7667625" cy="2286000"/>
                  <wp:effectExtent b="0" l="0" r="0" t="0"/>
                  <wp:docPr id="25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25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2"/>
            <w:tcBorders>
              <w:top w:color="0000ee" w:space="0" w:sz="8" w:val="single"/>
              <w:left w:color="0000ee" w:space="0" w:sz="8" w:val="single"/>
              <w:bottom w:color="0000ee" w:space="0" w:sz="8" w:val="single"/>
              <w:right w:color="0000ee" w:space="0" w:sz="8" w:val="single"/>
            </w:tcBorders>
            <w:shd w:fill="0000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Insumos/Cambios:</w:t>
            </w:r>
          </w:p>
        </w:tc>
        <w:tc>
          <w:tcPr>
            <w:tcBorders>
              <w:left w:color="0000e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0" w:firstLine="0"/>
              <w:rPr>
                <w:rFonts w:ascii="Poppins" w:cs="Poppins" w:eastAsia="Poppins" w:hAnsi="Poppins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8"/>
                <w:szCs w:val="18"/>
                <w:rtl w:val="0"/>
              </w:rPr>
              <w:t xml:space="preserve">Texto sugerido: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0" w:firstLine="0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Líderes en Digitalización Gubernamental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0" w:firstLine="0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Estamos comprometidos con la modernización de los gobiernos mediante soluciones digitales innovadoras que mejoran la eficiencia, la transparencia y la conexión con los ciudadanos.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2" w:hRule="atLeast"/>
          <w:tblHeader w:val="0"/>
        </w:trPr>
        <w:tc>
          <w:tcPr>
            <w:tcBorders>
              <w:top w:color="0000ee" w:space="0" w:sz="8" w:val="single"/>
              <w:bottom w:color="0000ee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Poppins" w:cs="Poppins" w:eastAsia="Poppins" w:hAnsi="Poppi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ee" w:space="0" w:sz="8" w:val="single"/>
              <w:bottom w:color="0000ee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  <w:drawing>
                <wp:inline distB="114300" distT="114300" distL="114300" distR="114300">
                  <wp:extent cx="4967288" cy="2412683"/>
                  <wp:effectExtent b="0" l="0" r="0" t="0"/>
                  <wp:docPr id="25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288" cy="24126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tcBorders>
              <w:top w:color="0000ee" w:space="0" w:sz="8" w:val="single"/>
              <w:left w:color="0000ee" w:space="0" w:sz="8" w:val="single"/>
              <w:bottom w:color="0000ee" w:space="0" w:sz="8" w:val="single"/>
              <w:right w:color="0000ee" w:space="0" w:sz="8" w:val="single"/>
            </w:tcBorders>
            <w:shd w:fill="0000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Insumos/Cambios:</w:t>
            </w:r>
          </w:p>
        </w:tc>
        <w:tc>
          <w:tcPr>
            <w:tcBorders>
              <w:left w:color="0000e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Poppins" w:cs="Poppins" w:eastAsia="Poppins" w:hAnsi="Poppins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8"/>
                <w:szCs w:val="18"/>
                <w:rtl w:val="0"/>
              </w:rPr>
              <w:t xml:space="preserve">Texto sugerido:</w:t>
            </w:r>
          </w:p>
          <w:p w:rsidR="00000000" w:rsidDel="00000000" w:rsidP="00000000" w:rsidRDefault="00000000" w:rsidRPr="00000000" w14:paraId="00000096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¿Qué nos hace diferentes?</w:t>
            </w:r>
          </w:p>
          <w:p w:rsidR="00000000" w:rsidDel="00000000" w:rsidP="00000000" w:rsidRDefault="00000000" w:rsidRPr="00000000" w14:paraId="00000097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Diseñamos soluciones adaptadas</w:t>
            </w:r>
          </w:p>
          <w:p w:rsidR="00000000" w:rsidDel="00000000" w:rsidP="00000000" w:rsidRDefault="00000000" w:rsidRPr="00000000" w14:paraId="00000098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Nos aseguramos de cumplir con las necesidades de cada gobierno, asegurando que cada implementación sea un paso hacia una administración pública más moderna y eficiente.</w:t>
            </w:r>
          </w:p>
          <w:p w:rsidR="00000000" w:rsidDel="00000000" w:rsidP="00000000" w:rsidRDefault="00000000" w:rsidRPr="00000000" w14:paraId="00000099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Resultados medibles</w:t>
            </w:r>
          </w:p>
          <w:p w:rsidR="00000000" w:rsidDel="00000000" w:rsidP="00000000" w:rsidRDefault="00000000" w:rsidRPr="00000000" w14:paraId="0000009B">
            <w:pPr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 Nos enfocamos en generar resultados concretos y sostenibles que pueden ser evaluados en términos de mejora operativa y eficiencia.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e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Poppins" w:cs="Poppins" w:eastAsia="Poppins" w:hAnsi="Poppins"/>
                <w:color w:val="434343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16"/>
                <w:szCs w:val="16"/>
                <w:highlight w:val="whit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e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color w:val="ffffff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highlight w:val="white"/>
              </w:rPr>
              <w:drawing>
                <wp:inline distB="114300" distT="114300" distL="114300" distR="114300">
                  <wp:extent cx="5024438" cy="2446683"/>
                  <wp:effectExtent b="0" l="0" r="0" t="0"/>
                  <wp:docPr id="26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4438" cy="24466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shd w:fill="0000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color w:val="434343"/>
                <w:sz w:val="30"/>
                <w:szCs w:val="3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Insumos/Cambios: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Poppins" w:cs="Poppins" w:eastAsia="Poppins" w:hAnsi="Poppins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16"/>
                <w:szCs w:val="16"/>
                <w:rtl w:val="0"/>
              </w:rPr>
              <w:t xml:space="preserve">Texto sugerido:</w:t>
            </w:r>
          </w:p>
          <w:p w:rsidR="00000000" w:rsidDel="00000000" w:rsidP="00000000" w:rsidRDefault="00000000" w:rsidRPr="00000000" w14:paraId="000000A2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El primer paso hacia la transformación digital</w:t>
            </w:r>
          </w:p>
          <w:p w:rsidR="00000000" w:rsidDel="00000000" w:rsidP="00000000" w:rsidRDefault="00000000" w:rsidRPr="00000000" w14:paraId="000000A3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Listos para transformar tu gobierno y llevar la gestión pública a una nueva era digital.</w:t>
            </w:r>
          </w:p>
          <w:p w:rsidR="00000000" w:rsidDel="00000000" w:rsidP="00000000" w:rsidRDefault="00000000" w:rsidRPr="00000000" w14:paraId="000000A4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Botón: ¡Agenda una asesoría! (Redireccionar a la sección contactanos calendario de citas)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Poppins" w:cs="Poppins" w:eastAsia="Poppins" w:hAnsi="Poppins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666666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</w:rPr>
              <w:drawing>
                <wp:inline distB="114300" distT="114300" distL="114300" distR="114300">
                  <wp:extent cx="5862638" cy="2483428"/>
                  <wp:effectExtent b="0" l="0" r="0" t="0"/>
                  <wp:docPr id="26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2638" cy="2483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0000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Insumos/Cambios: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Sugerencia: Quitar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Poppins" w:cs="Poppins" w:eastAsia="Poppins" w:hAnsi="Poppins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</w:rPr>
              <w:drawing>
                <wp:inline distB="114300" distT="114300" distL="114300" distR="114300">
                  <wp:extent cx="6043351" cy="4376738"/>
                  <wp:effectExtent b="0" l="0" r="0" t="0"/>
                  <wp:docPr id="25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351" cy="4376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0000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Insumos/Cambios: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Texto sugerido:</w:t>
            </w:r>
          </w:p>
          <w:p w:rsidR="00000000" w:rsidDel="00000000" w:rsidP="00000000" w:rsidRDefault="00000000" w:rsidRPr="00000000" w14:paraId="000000B1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Alianzas estratégicas</w:t>
            </w:r>
          </w:p>
          <w:p w:rsidR="00000000" w:rsidDel="00000000" w:rsidP="00000000" w:rsidRDefault="00000000" w:rsidRPr="00000000" w14:paraId="000000B2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Contamos con alianzas estratégicas líderes del sector tecnológico que respaldan nuestra capacidad de ofrecer soluciones de vanguardia.</w:t>
            </w:r>
          </w:p>
          <w:p w:rsidR="00000000" w:rsidDel="00000000" w:rsidP="00000000" w:rsidRDefault="00000000" w:rsidRPr="00000000" w14:paraId="000000B3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Poppins" w:cs="Poppins" w:eastAsia="Poppins" w:hAnsi="Poppins"/>
                <w:sz w:val="16"/>
                <w:szCs w:val="16"/>
              </w:rPr>
            </w:pPr>
            <w:hyperlink r:id="rId25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16"/>
                  <w:szCs w:val="16"/>
                  <w:u w:val="single"/>
                  <w:rtl w:val="0"/>
                </w:rPr>
                <w:t xml:space="preserve">Agregar logos: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Poppins" w:cs="Poppins" w:eastAsia="Poppins" w:hAnsi="Poppins"/>
                <w:sz w:val="16"/>
                <w:szCs w:val="16"/>
              </w:rPr>
            </w:pPr>
            <w:hyperlink r:id="rId26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16"/>
                  <w:szCs w:val="16"/>
                  <w:u w:val="single"/>
                  <w:rtl w:val="0"/>
                </w:rPr>
                <w:t xml:space="preserve">imoves inc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Poppins" w:cs="Poppins" w:eastAsia="Poppins" w:hAnsi="Poppins"/>
                <w:sz w:val="16"/>
                <w:szCs w:val="16"/>
              </w:rPr>
            </w:pPr>
            <w:hyperlink r:id="rId27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16"/>
                  <w:szCs w:val="16"/>
                  <w:u w:val="single"/>
                  <w:rtl w:val="0"/>
                </w:rPr>
                <w:t xml:space="preserve">julasoft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cluodfly</w:t>
            </w:r>
          </w:p>
          <w:p w:rsidR="00000000" w:rsidDel="00000000" w:rsidP="00000000" w:rsidRDefault="00000000" w:rsidRPr="00000000" w14:paraId="000000B8">
            <w:pPr>
              <w:rPr>
                <w:rFonts w:ascii="Poppins" w:cs="Poppins" w:eastAsia="Poppins" w:hAnsi="Poppins"/>
                <w:sz w:val="16"/>
                <w:szCs w:val="16"/>
              </w:rPr>
            </w:pPr>
            <w:hyperlink r:id="rId28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16"/>
                  <w:szCs w:val="16"/>
                  <w:u w:val="single"/>
                  <w:rtl w:val="0"/>
                </w:rPr>
                <w:t xml:space="preserve">aws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Poppins" w:cs="Poppins" w:eastAsia="Poppins" w:hAnsi="Poppins"/>
                <w:sz w:val="16"/>
                <w:szCs w:val="16"/>
              </w:rPr>
            </w:pPr>
            <w:hyperlink r:id="rId29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16"/>
                  <w:szCs w:val="16"/>
                  <w:u w:val="single"/>
                  <w:rtl w:val="0"/>
                </w:rPr>
                <w:t xml:space="preserve">gcp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rFonts w:ascii="Poppins" w:cs="Poppins" w:eastAsia="Poppins" w:hAnsi="Poppins"/>
                <w:sz w:val="16"/>
                <w:szCs w:val="16"/>
              </w:rPr>
            </w:pPr>
            <w:hyperlink r:id="rId30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16"/>
                  <w:szCs w:val="16"/>
                  <w:u w:val="single"/>
                  <w:rtl w:val="0"/>
                </w:rPr>
                <w:t xml:space="preserve">azure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Poppins" w:cs="Poppins" w:eastAsia="Poppins" w:hAnsi="Poppins"/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</w:rPr>
              <w:drawing>
                <wp:inline distB="114300" distT="114300" distL="114300" distR="114300">
                  <wp:extent cx="5167313" cy="2663894"/>
                  <wp:effectExtent b="0" l="0" r="0" t="0"/>
                  <wp:docPr id="26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7313" cy="26638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0000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color w:val="ffffff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color w:val="ffffff"/>
                <w:sz w:val="18"/>
                <w:szCs w:val="18"/>
                <w:rtl w:val="0"/>
              </w:rPr>
              <w:t xml:space="preserve">Insumos/Cambios: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Poppins" w:cs="Poppins" w:eastAsia="Poppins" w:hAnsi="Poppins"/>
                <w:sz w:val="16"/>
                <w:szCs w:val="16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rtl w:val="0"/>
              </w:rPr>
              <w:t xml:space="preserve">Quitar.</w:t>
            </w:r>
          </w:p>
        </w:tc>
      </w:tr>
    </w:tbl>
    <w:p w:rsidR="00000000" w:rsidDel="00000000" w:rsidP="00000000" w:rsidRDefault="00000000" w:rsidRPr="00000000" w14:paraId="000000C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3"/>
            <w:tblW w:w="13800.0" w:type="dxa"/>
            <w:jc w:val="left"/>
            <w:tblBorders>
              <w:top w:color="0000ee" w:space="0" w:sz="8" w:val="single"/>
              <w:left w:color="0000ee" w:space="0" w:sz="8" w:val="single"/>
              <w:bottom w:color="0000ee" w:space="0" w:sz="8" w:val="single"/>
              <w:right w:color="0000ee" w:space="0" w:sz="8" w:val="single"/>
              <w:insideH w:color="0000ee" w:space="0" w:sz="8" w:val="single"/>
              <w:insideV w:color="0000ee" w:space="0" w:sz="8" w:val="single"/>
            </w:tblBorders>
            <w:tblLayout w:type="fixed"/>
            <w:tblLook w:val="0600"/>
          </w:tblPr>
          <w:tblGrid>
            <w:gridCol w:w="1515"/>
            <w:gridCol w:w="2228.333333333333"/>
            <w:gridCol w:w="10056.666666666666"/>
            <w:tblGridChange w:id="0">
              <w:tblGrid>
                <w:gridCol w:w="1515"/>
                <w:gridCol w:w="2228.333333333333"/>
                <w:gridCol w:w="10056.666666666666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ee" w:space="0" w:sz="8" w:val="single"/>
                  <w:left w:color="0000ee" w:space="0" w:sz="8" w:val="single"/>
                  <w:bottom w:color="0000ee" w:space="0" w:sz="8" w:val="single"/>
                  <w:right w:color="0000ee" w:space="0" w:sz="8" w:val="single"/>
                </w:tcBorders>
                <w:shd w:fill="0000ee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3">
                <w:pPr>
                  <w:jc w:val="center"/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  <w:shd w:fill="0000ee" w:val="clear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  <w:shd w:fill="0000ee" w:val="clear"/>
                    <w:rtl w:val="0"/>
                  </w:rPr>
                  <w:t xml:space="preserve">3.</w:t>
                </w:r>
              </w:p>
            </w:tc>
            <w:tc>
              <w:tcPr>
                <w:gridSpan w:val="2"/>
                <w:tcBorders>
                  <w:top w:color="0000ee" w:space="0" w:sz="8" w:val="single"/>
                  <w:left w:color="0000ee" w:space="0" w:sz="8" w:val="single"/>
                  <w:bottom w:color="0000ee" w:space="0" w:sz="8" w:val="single"/>
                  <w:right w:color="0000ee" w:space="0" w:sz="8" w:val="single"/>
                </w:tcBorders>
                <w:shd w:fill="0000ee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4">
                <w:pPr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  <w:rtl w:val="0"/>
                  </w:rPr>
                  <w:t xml:space="preserve">CONTACT US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ee" w:space="0" w:sz="8" w:val="single"/>
                  <w:bottom w:color="0000ee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6">
                <w:pPr>
                  <w:jc w:val="center"/>
                  <w:rPr>
                    <w:rFonts w:ascii="Poppins" w:cs="Poppins" w:eastAsia="Poppins" w:hAnsi="Poppins"/>
                    <w:color w:val="434343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7">
                <w:pPr>
                  <w:jc w:val="center"/>
                  <w:rPr>
                    <w:rFonts w:ascii="Poppins" w:cs="Poppins" w:eastAsia="Poppins" w:hAnsi="Poppins"/>
                    <w:color w:val="434343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8">
                <w:pPr>
                  <w:jc w:val="center"/>
                  <w:rPr>
                    <w:rFonts w:ascii="Poppins" w:cs="Poppins" w:eastAsia="Poppins" w:hAnsi="Poppins"/>
                    <w:color w:val="434343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9">
                <w:pPr>
                  <w:jc w:val="center"/>
                  <w:rPr>
                    <w:rFonts w:ascii="Poppins" w:cs="Poppins" w:eastAsia="Poppins" w:hAnsi="Poppins"/>
                    <w:color w:val="434343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A">
                <w:pPr>
                  <w:jc w:val="center"/>
                  <w:rPr>
                    <w:rFonts w:ascii="Poppins" w:cs="Poppins" w:eastAsia="Poppins" w:hAnsi="Poppins"/>
                    <w:color w:val="434343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B">
                <w:pPr>
                  <w:jc w:val="center"/>
                  <w:rPr>
                    <w:rFonts w:ascii="Poppins" w:cs="Poppins" w:eastAsia="Poppins" w:hAnsi="Poppins"/>
                    <w:color w:val="434343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color w:val="434343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tcBorders>
                  <w:top w:color="0000ee" w:space="0" w:sz="8" w:val="single"/>
                  <w:bottom w:color="0000ee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C">
                <w:pPr>
                  <w:jc w:val="center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</w:rPr>
                  <w:drawing>
                    <wp:inline distB="114300" distT="114300" distL="114300" distR="114300">
                      <wp:extent cx="5723464" cy="4500563"/>
                      <wp:effectExtent b="0" l="0" r="0" t="0"/>
                      <wp:docPr id="25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3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23464" cy="450056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gridSpan w:val="2"/>
                <w:tcBorders>
                  <w:top w:color="0000ee" w:space="0" w:sz="8" w:val="single"/>
                  <w:left w:color="0000ee" w:space="0" w:sz="8" w:val="single"/>
                  <w:bottom w:color="0000ee" w:space="0" w:sz="8" w:val="single"/>
                  <w:right w:color="0000ee" w:space="0" w:sz="8" w:val="single"/>
                </w:tcBorders>
                <w:shd w:fill="0000ee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widowControl w:val="0"/>
                  <w:spacing w:line="240" w:lineRule="auto"/>
                  <w:jc w:val="center"/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  <w:rtl w:val="0"/>
                  </w:rPr>
                  <w:t xml:space="preserve">Insumos/Cambios:</w:t>
                </w:r>
              </w:p>
            </w:tc>
            <w:tc>
              <w:tcPr>
                <w:tcBorders>
                  <w:left w:color="0000ee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0">
                <w:pPr>
                  <w:widowControl w:val="0"/>
                  <w:spacing w:line="240" w:lineRule="auto"/>
                  <w:rPr>
                    <w:rFonts w:ascii="Poppins" w:cs="Poppins" w:eastAsia="Poppins" w:hAnsi="Poppins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b w:val="1"/>
                    <w:sz w:val="18"/>
                    <w:szCs w:val="18"/>
                    <w:rtl w:val="0"/>
                  </w:rPr>
                  <w:t xml:space="preserve">Texto sugerido:</w:t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spacing w:line="240" w:lineRule="auto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Avanza hacia la transformación digital</w:t>
                </w:r>
              </w:p>
              <w:p w:rsidR="00000000" w:rsidDel="00000000" w:rsidP="00000000" w:rsidRDefault="00000000" w:rsidRPr="00000000" w14:paraId="000000D2">
                <w:pPr>
                  <w:widowControl w:val="0"/>
                  <w:spacing w:line="240" w:lineRule="auto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Nuestro enfoque se basa en resultados tangibles y sostenibles para que tu gobierno ofrezca un mejor servicio a los ciudadanos.</w:t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spacing w:line="240" w:lineRule="auto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email: </w:t>
                </w:r>
              </w:p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télefono: +503 7190 6863</w:t>
                </w:r>
              </w:p>
              <w:p w:rsidR="00000000" w:rsidDel="00000000" w:rsidP="00000000" w:rsidRDefault="00000000" w:rsidRPr="00000000" w14:paraId="000000D5">
                <w:pPr>
                  <w:widowControl w:val="0"/>
                  <w:spacing w:line="240" w:lineRule="auto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dirección: Avenida las magnolias 809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Borders>
                  <w:top w:color="0000ee" w:space="0" w:sz="8" w:val="single"/>
                  <w:bottom w:color="0000ee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6">
                <w:pPr>
                  <w:jc w:val="center"/>
                  <w:rPr>
                    <w:rFonts w:ascii="Poppins" w:cs="Poppins" w:eastAsia="Poppins" w:hAnsi="Poppins"/>
                    <w:color w:val="434343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ee" w:space="0" w:sz="8" w:val="single"/>
                  <w:bottom w:color="0000ee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7">
                <w:pPr>
                  <w:jc w:val="center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</w:rPr>
                  <w:drawing>
                    <wp:inline distB="114300" distT="114300" distL="114300" distR="114300">
                      <wp:extent cx="4491038" cy="2432413"/>
                      <wp:effectExtent b="0" l="0" r="0" t="0"/>
                      <wp:docPr id="261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3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491038" cy="24324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gridSpan w:val="2"/>
                <w:tcBorders>
                  <w:top w:color="0000ee" w:space="0" w:sz="8" w:val="single"/>
                  <w:left w:color="0000ee" w:space="0" w:sz="8" w:val="single"/>
                  <w:bottom w:color="0000ee" w:space="0" w:sz="8" w:val="single"/>
                  <w:right w:color="0000ee" w:space="0" w:sz="8" w:val="single"/>
                </w:tcBorders>
                <w:shd w:fill="0000ee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widowControl w:val="0"/>
                  <w:spacing w:line="240" w:lineRule="auto"/>
                  <w:jc w:val="center"/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b w:val="1"/>
                    <w:color w:val="ffffff"/>
                    <w:sz w:val="18"/>
                    <w:szCs w:val="18"/>
                    <w:rtl w:val="0"/>
                  </w:rPr>
                  <w:t xml:space="preserve">Insumos/Cambios:</w:t>
                </w:r>
              </w:p>
            </w:tc>
            <w:tc>
              <w:tcPr>
                <w:tcBorders>
                  <w:left w:color="0000ee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rPr>
                    <w:rFonts w:ascii="Poppins" w:cs="Poppins" w:eastAsia="Poppins" w:hAnsi="Poppins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Poppins" w:cs="Poppins" w:eastAsia="Poppins" w:hAnsi="Poppins"/>
                    <w:sz w:val="18"/>
                    <w:szCs w:val="18"/>
                    <w:rtl w:val="0"/>
                  </w:rPr>
                  <w:t xml:space="preserve">Quitar.</w:t>
                </w:r>
              </w:p>
            </w:tc>
          </w:tr>
        </w:tbl>
      </w:sdtContent>
    </w:sdt>
    <w:p w:rsidR="00000000" w:rsidDel="00000000" w:rsidP="00000000" w:rsidRDefault="00000000" w:rsidRPr="00000000" w14:paraId="000000D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Revision">
    <w:name w:val="Revision"/>
    <w:hidden w:val="1"/>
    <w:uiPriority w:val="99"/>
    <w:semiHidden w:val="1"/>
    <w:rsid w:val="009678C3"/>
    <w:pPr>
      <w:spacing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4.png"/><Relationship Id="rId21" Type="http://schemas.openxmlformats.org/officeDocument/2006/relationships/image" Target="media/image9.png"/><Relationship Id="rId24" Type="http://schemas.openxmlformats.org/officeDocument/2006/relationships/image" Target="media/image3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bUpwdDQvYBy3oHH0V5_IelfMzDzWAb6i/view?usp=drive_link" TargetMode="External"/><Relationship Id="rId26" Type="http://schemas.openxmlformats.org/officeDocument/2006/relationships/hyperlink" Target="https://drive.google.com/file/d/1x9Lu5Ni1-4pFA5QxBJjkg8TSjSic5wLn/view?usp=drive_link" TargetMode="External"/><Relationship Id="rId25" Type="http://schemas.openxmlformats.org/officeDocument/2006/relationships/hyperlink" Target="https://drive.google.com/drive/folders/1xp2ZJYixBlEeGGX6D3yLKKRQvoEFbUVy?usp=drive_link" TargetMode="External"/><Relationship Id="rId28" Type="http://schemas.openxmlformats.org/officeDocument/2006/relationships/hyperlink" Target="https://drive.google.com/file/d/1OTZCe2nzdrfViSpsOPDgE5HnFM7CGojH/view?usp=drive_link" TargetMode="External"/><Relationship Id="rId27" Type="http://schemas.openxmlformats.org/officeDocument/2006/relationships/hyperlink" Target="https://drive.google.com/file/d/1BoMFX-LbVhzHjKiGWkWMNy5I9tA_i2eT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rive.google.com/file/d/18H_W10u5iez60uc9StZURS9hnv3YjgNd/view?usp=drive_link" TargetMode="External"/><Relationship Id="rId7" Type="http://schemas.openxmlformats.org/officeDocument/2006/relationships/image" Target="media/image5.png"/><Relationship Id="rId8" Type="http://schemas.openxmlformats.org/officeDocument/2006/relationships/hyperlink" Target="https://drive.google.com/drive/folders/10hje8tOpUL6pVX_0RWWnGh9PTEylm4qE?usp=drive_link" TargetMode="External"/><Relationship Id="rId31" Type="http://schemas.openxmlformats.org/officeDocument/2006/relationships/image" Target="media/image1.png"/><Relationship Id="rId30" Type="http://schemas.openxmlformats.org/officeDocument/2006/relationships/hyperlink" Target="https://drive.google.com/file/d/12E__H9MZ5nPxbQWilZ-kftu1Y1AZAGKv/view?usp=drive_link" TargetMode="External"/><Relationship Id="rId11" Type="http://schemas.openxmlformats.org/officeDocument/2006/relationships/hyperlink" Target="https://drive.google.com/file/d/1zPVvcAlGkr8yU7Tvj9x5knpcbK25bFie/view?usp=drive_link" TargetMode="External"/><Relationship Id="rId33" Type="http://schemas.openxmlformats.org/officeDocument/2006/relationships/image" Target="media/image12.png"/><Relationship Id="rId10" Type="http://schemas.openxmlformats.org/officeDocument/2006/relationships/hyperlink" Target="https://drive.google.com/file/d/1pBCKMvmiX7v1tAWpTiuCtVEJasemeFne/view?usp=drive_link" TargetMode="External"/><Relationship Id="rId32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hyperlink" Target="https://drive.google.com/file/d/19uyJyFUqh55kbx0qwNQIF3aOa8oSjkSb/view?usp=drive_link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hyperlink" Target="https://drive.google.com/file/d/1xh5nqny4ILevRpSckK1aYmNB6PKOdQCQ/view?usp=drive_link" TargetMode="External"/><Relationship Id="rId16" Type="http://schemas.openxmlformats.org/officeDocument/2006/relationships/hyperlink" Target="https://drive.google.com/drive/folders/1BkaHJRomuc0fleuPwJbU7M24U9eIxLRP?usp=drive_link" TargetMode="External"/><Relationship Id="rId19" Type="http://schemas.openxmlformats.org/officeDocument/2006/relationships/hyperlink" Target="https://drive.google.com/file/d/1E_vJOSlK8ztYgvtoJhUC7QC17KYVSECU/view?usp=drive_link" TargetMode="External"/><Relationship Id="rId18" Type="http://schemas.openxmlformats.org/officeDocument/2006/relationships/hyperlink" Target="https://drive.google.com/file/d/1iIbEST9kZi7PYjIbbAfeIv8bVQlhUuiW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pH0sjKtS6ufdbz20kHw+SYk3uA==">CgMxLjAaHwoBMBIaChgICVIUChJ0YWJsZS52eDZoaXJzOGtmdnk4AHIhMW5od015MW9tTjFmaEowNVVSVWo1TDNYYzlpekczYXRR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2024-02-23T17:49:00Z</dcterms:created>
  <dc:creator>Sarmiento, Jose</dc:creator>
</cp:coreProperties>
</file>