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și nu va mai fi suprascris automat de o sincronizare ulterioară din MoySklad.</w:t>
      </w:r>
    </w:p>
    <w:p>
      <w:pPr>
        <w:pStyle w:val="ListBullet"/>
      </w:pPr>
      <w:r>
        <w:t>„📥 Importă prețuri din MoySklad" aduce prețurile deja setate acolo (dacă există). „📤 Trimite prețurile în MoySklad" face invers — scrie prețurile din aplicație în MoySklad.</w:t>
      </w:r>
    </w:p>
    <w:p>
      <w:pPr>
        <w:pStyle w:val="ListBullet"/>
      </w:pPr>
      <w:r>
        <w:t>Nu trebuie să sincronizezi catalogul MoySklad înainte să apeși „Importă" sau „Trimite" — aplicația o face singură, dacă e nevoie: când n-ai sincronizat niciodată, când ultima sincronizare e mai veche de o oră,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nu va mai fi suprascris automat de o sincronizare ulterioară din MoySklad sau de recalcularea automată a celorlalte câmpuri.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