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2026-10-02.</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ListBullet"/>
      </w:pPr>
      <w:r>
        <w:t>Pe măsură ce derulezi pagina în jos, tabelul de produse al comenzii deschise se extinde să umple tot ecranul vizibil — derularea „intră" direct în lista de produse, nu te mai oprești într-o casetă fixă cu spațiu gol dedesubt.</w:t>
      </w:r>
    </w:p>
    <w:p>
      <w:pPr>
        <w:pStyle w:val="ListBullet"/>
      </w:pPr>
      <w:r>
        <w:t>Aplicația folosește și un spațiu puțin mai lat pe ecran, per total mai confortabil pe monitoare mari.</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și nu va mai fi suprascris automat de o sincronizare ulterioară din MoySklad.</w:t>
      </w:r>
    </w:p>
    <w:p>
      <w:pPr>
        <w:pStyle w:val="ListBullet"/>
      </w:pPr>
      <w:r>
        <w:t>„📥 Importă prețuri din MoySklad" aduce prețurile deja setate acolo (dacă există). „📤 Trimite prețurile în MoySklad" face invers — scrie prețurile din aplicație în MoySklad.</w:t>
      </w:r>
    </w:p>
    <w:p>
      <w:pPr>
        <w:pStyle w:val="ListBullet"/>
      </w:pPr>
      <w:r>
        <w:t>Dacă un produs nu se sincronizează, verifică sub tabel: dacă apare la „nelegate de MoySklad", produsul nu are barcode potrivit — mergi în Comparație produse și sincronizează catalogul MoySklad, sau corectează barcode-ul. Dacă apare la „eșuate", încearcă din nou peste câteva minute (poate fi o limitare trecătoare de rată la MoySklad).</w:t>
      </w:r>
    </w:p>
    <w:p>
      <w:pPr>
        <w:pStyle w:val="ListBullet"/>
      </w:pPr>
      <w:r>
        <w:t>Eticheta „sinecost: ..." de sub numele produsului a fost eliminată (nu mai era utilă) — rămâne doar avertismentul roșu „fără cost cunoscut", atunci când chiar lipsește o sursă de preț pentru produsul respectiv.</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vs. eșuat).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nu va mai fi suprascris automat de o sincronizare ulterioară din MoySklad sau de recalcularea automată a celorlalte câmpuri.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