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Implantação e Estruturação</w:t>
      </w:r>
    </w:p>
    <w:p>
      <w:pPr>
        <w:pStyle w:val="Heading1"/>
      </w:pPr>
      <w:r>
        <w:t>1. Visão Arquitetural do Sistema</w:t>
      </w:r>
    </w:p>
    <w:p>
      <w:r>
        <w:t>Este documento descreve os passos para implantação do sistema ERP e CRM da AutoCarbon em um ambiente de Virtual Private Server (VPS). O sistema compreende módulos de gestão de estoque, distribuição de leads, emissão de NF-e e formalização de contratos digitais.</w:t>
      </w:r>
    </w:p>
    <w:p>
      <w:pPr>
        <w:pStyle w:val="Heading1"/>
      </w:pPr>
      <w:r>
        <w:t>2. Preparação da Infraestrutura (Hostinger VPS 4)</w:t>
      </w:r>
    </w:p>
    <w:p>
      <w:r>
        <w:t>O plano VPS 4 da Hostinger fornece recursos suficientes (CPU e Memória) para hospedar o backend corporativo. Passos de configuração:</w:t>
      </w:r>
    </w:p>
    <w:p>
      <w:pPr>
        <w:pStyle w:val="ListNumber"/>
      </w:pPr>
      <w:r>
        <w:t>1. Atualize os pacotes base: sudo apt update &amp;&amp; sudo apt upgrade -y</w:t>
      </w:r>
    </w:p>
    <w:p>
      <w:pPr>
        <w:pStyle w:val="ListNumber"/>
      </w:pPr>
      <w:r>
        <w:t>2. Instale o Java 17+ (ambiente de execução do Spring Boot): sudo apt install openjdk-17-jdk</w:t>
      </w:r>
    </w:p>
    <w:p>
      <w:pPr>
        <w:pStyle w:val="ListNumber"/>
      </w:pPr>
      <w:r>
        <w:t>3. Instale o banco de dados (MySQL ou PostgreSQL) e execute os scripts DDL contidos na pasta database/.</w:t>
      </w:r>
    </w:p>
    <w:p>
      <w:pPr>
        <w:pStyle w:val="ListNumber"/>
      </w:pPr>
      <w:r>
        <w:t>4. Configure o Nginx como proxy reverso para mapear o domínio autocarbon.com.br para a porta da aplicação Java e servir os arquivos do painel Admin.</w:t>
      </w:r>
    </w:p>
    <w:p>
      <w:pPr>
        <w:pStyle w:val="Heading1"/>
      </w:pPr>
      <w:r>
        <w:t>3. Implantação do Motor de Distribuição (Roleta CRM)</w:t>
      </w:r>
    </w:p>
    <w:p>
      <w:r>
        <w:t>O algoritmo Round-Robin garante a equidade na distribuição dos contatos provenientes do site, portais externos (Webmotors, iCarros) e redes sociais. Ele pesquisa o timestamp do último lead atribuído a cada vendedor ativo e destina o novo contato ao vendedor com maior tempo de ociosidade.</w:t>
      </w:r>
    </w:p>
    <w:p>
      <w:pPr>
        <w:pStyle w:val="Heading1"/>
      </w:pPr>
      <w:r>
        <w:t>4. Módulo de Contratos e Compliance Jurídico</w:t>
      </w:r>
    </w:p>
    <w:p>
      <w:r>
        <w:t>No painel ERP, a emissão de contratos e NF-e utiliza a tabela de banco de dados estruturada para armazenar os hashes criptográficos das assinaturas. Para a assinatura digital, é recomendada a integração (via webhook) com APIs especializadas como ClickSign ou ZapSign. A emissão de Notas Fiscais Eletrônicas exige a parametrização do certificado digital A1 no backend Java.</w:t>
      </w:r>
    </w:p>
    <w:p>
      <w:pPr>
        <w:pStyle w:val="Heading1"/>
      </w:pPr>
      <w:r>
        <w:t>5. Manutenção e Atualização (Script Python)</w:t>
      </w:r>
    </w:p>
    <w:p>
      <w:r>
        <w:t>O processo de extração do catálogo continuará rodando como um Cron Job independente no Linux. Esse script Python fará a alimentação da camada de apresentação (Vitrine) de forma desacoplada do ERP, otimizando o consumo da API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