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E5" w:rsidRDefault="008804E5" w:rsidP="00B648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9"/>
        <w:tblW w:w="9270" w:type="dxa"/>
        <w:tblInd w:w="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4680"/>
      </w:tblGrid>
      <w:tr w:rsidR="008804E5" w:rsidRPr="00B648ED">
        <w:tc>
          <w:tcPr>
            <w:tcW w:w="4590" w:type="dxa"/>
          </w:tcPr>
          <w:p w:rsidR="008804E5" w:rsidRDefault="003B27A3" w:rsidP="00B648ED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0"/>
                <w:id w:val="158325348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გაწეული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მომსახურების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8804E5" w:rsidRDefault="003B27A3" w:rsidP="00B648ED">
            <w:pPr>
              <w:rPr>
                <w:b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3</w:t>
            </w:r>
            <w:sdt>
              <w:sdtPr>
                <w:tag w:val="goog_rdk_1"/>
                <w:id w:val="-18228052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მომსახურების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გაწევის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ხელშეკრულებას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№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დან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RCF-R/2-2 0</w:t>
                </w:r>
              </w:sdtContent>
            </w:sdt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color w:val="000000"/>
                <w:sz w:val="18"/>
                <w:szCs w:val="18"/>
              </w:rPr>
              <w:t>/01/2022</w:t>
            </w:r>
          </w:p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Pr="00B648ED" w:rsidRDefault="003B27A3" w:rsidP="00B648ED">
            <w:pPr>
              <w:rPr>
                <w:b/>
                <w:sz w:val="18"/>
                <w:szCs w:val="18"/>
                <w:lang w:val="en-US"/>
              </w:rPr>
            </w:pPr>
            <w:r w:rsidRPr="00B648ED">
              <w:rPr>
                <w:b/>
                <w:sz w:val="18"/>
                <w:szCs w:val="18"/>
                <w:lang w:val="en-US"/>
              </w:rPr>
              <w:t xml:space="preserve">ACT OF SERVICES </w:t>
            </w:r>
          </w:p>
          <w:p w:rsidR="008804E5" w:rsidRPr="00B648ED" w:rsidRDefault="003B27A3" w:rsidP="00B648ED">
            <w:pPr>
              <w:rPr>
                <w:b/>
                <w:sz w:val="18"/>
                <w:szCs w:val="18"/>
                <w:lang w:val="en-US"/>
              </w:rPr>
            </w:pPr>
            <w:r w:rsidRPr="00B648ED">
              <w:rPr>
                <w:b/>
                <w:sz w:val="18"/>
                <w:szCs w:val="18"/>
                <w:lang w:val="en-US"/>
              </w:rPr>
              <w:t>№ 3 to the SERVICE PROVISION AGREEMENT № RCF-R/2-2 from the 01/01/2022</w:t>
            </w:r>
          </w:p>
          <w:p w:rsidR="008804E5" w:rsidRPr="00B648ED" w:rsidRDefault="008804E5" w:rsidP="00B648ED">
            <w:pPr>
              <w:rPr>
                <w:sz w:val="18"/>
                <w:szCs w:val="18"/>
                <w:lang w:val="en-US"/>
              </w:rPr>
            </w:pP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sdt>
              <w:sdtPr>
                <w:tag w:val="goog_rdk_2"/>
                <w:id w:val="203638082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ადგილი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რუსეთი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ორენბურგი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თარიღი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    </w:t>
                </w:r>
              </w:sdtContent>
            </w:sdt>
            <w:r>
              <w:rPr>
                <w:sz w:val="18"/>
                <w:szCs w:val="18"/>
              </w:rPr>
              <w:t>30.06</w:t>
            </w:r>
            <w:r>
              <w:rPr>
                <w:color w:val="000000"/>
                <w:sz w:val="18"/>
                <w:szCs w:val="18"/>
              </w:rPr>
              <w:t>.2022</w:t>
            </w:r>
          </w:p>
        </w:tc>
        <w:tc>
          <w:tcPr>
            <w:tcW w:w="4680" w:type="dxa"/>
          </w:tcPr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Place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Russia,Orenburg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     </w:t>
            </w:r>
          </w:p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30.06</w:t>
            </w:r>
            <w:r>
              <w:rPr>
                <w:color w:val="000000"/>
                <w:sz w:val="18"/>
                <w:szCs w:val="18"/>
              </w:rPr>
              <w:t>.2022</w:t>
            </w: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333333"/>
                <w:sz w:val="18"/>
                <w:szCs w:val="18"/>
              </w:rPr>
            </w:pPr>
            <w:sdt>
              <w:sdtPr>
                <w:tag w:val="goog_rdk_3"/>
                <w:id w:val="-152362151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აწარმოებს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საჯარო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ფაქტობრივი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ისამართი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: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საქართველო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თბილისი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ვაკის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რაიონი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ნუცუბიძის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პლატო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მ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რ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II,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Iv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კვარტალი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კორპუსი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№2,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ფართობი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№76,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წარმოდგენილია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აღმასრულებელი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დირექტორი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აიდანა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ფედოსიკი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შემდგომში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"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ორგანიზაცია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"),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ერთ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მხარეს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,</w:t>
                </w:r>
              </w:sdtContent>
            </w:sdt>
          </w:p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333333"/>
                <w:sz w:val="18"/>
                <w:szCs w:val="18"/>
              </w:rPr>
            </w:pPr>
          </w:p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333333"/>
                <w:sz w:val="18"/>
                <w:szCs w:val="18"/>
              </w:rPr>
            </w:pPr>
            <w:sdt>
              <w:sdtPr>
                <w:tag w:val="goog_rdk_4"/>
                <w:id w:val="113736838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</w:sdtContent>
            </w:sdt>
            <w:sdt>
              <w:sdtPr>
                <w:tag w:val="goog_rdk_5"/>
                <w:id w:val="170960667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333333"/>
                    <w:sz w:val="18"/>
                    <w:szCs w:val="18"/>
                  </w:rPr>
                  <w:t>ოქსანა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333333"/>
                    <w:sz w:val="18"/>
                    <w:szCs w:val="18"/>
                  </w:rPr>
                  <w:t>ტუზიკოვა</w:t>
                </w:r>
                <w:proofErr w:type="spellEnd"/>
              </w:sdtContent>
            </w:sdt>
          </w:p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tag w:val="goog_rdk_6"/>
                <w:id w:val="9120449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33333"/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6"/>
                    <w:szCs w:val="16"/>
                  </w:rPr>
                  <w:t>შ</w:t>
                </w:r>
              </w:sdtContent>
            </w:sdt>
            <w:sdt>
              <w:sdtPr>
                <w:tag w:val="goog_rdk_7"/>
                <w:id w:val="-14498533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ემდგომში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"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კონსულტანტი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")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მეორე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მხრივ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შეასრულეს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ეს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აქტი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შემდეგზე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333333"/>
                    <w:sz w:val="18"/>
                    <w:szCs w:val="18"/>
                  </w:rPr>
                  <w:t>:</w:t>
                </w:r>
              </w:sdtContent>
            </w:sdt>
          </w:p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 xml:space="preserve">RUNPUD  </w:t>
            </w:r>
            <w:proofErr w:type="spellStart"/>
            <w:r>
              <w:rPr>
                <w:color w:val="000000"/>
                <w:sz w:val="18"/>
                <w:szCs w:val="18"/>
              </w:rPr>
              <w:t>actual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000000"/>
                <w:sz w:val="18"/>
                <w:szCs w:val="18"/>
              </w:rPr>
              <w:t>Georgia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Tbilisi</w:t>
            </w:r>
            <w:proofErr w:type="spellEnd"/>
          </w:p>
          <w:p w:rsidR="008804E5" w:rsidRPr="00B648ED" w:rsidRDefault="003B27A3" w:rsidP="00B648ED">
            <w:pPr>
              <w:rPr>
                <w:b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648ED">
              <w:rPr>
                <w:color w:val="000000"/>
                <w:sz w:val="18"/>
                <w:szCs w:val="18"/>
                <w:lang w:val="en-US"/>
              </w:rPr>
              <w:t>i,Vake</w:t>
            </w:r>
            <w:proofErr w:type="spellEnd"/>
            <w:proofErr w:type="gram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 District </w:t>
            </w:r>
            <w:proofErr w:type="spellStart"/>
            <w:r w:rsidRPr="00B648ED">
              <w:rPr>
                <w:color w:val="000000"/>
                <w:sz w:val="18"/>
                <w:szCs w:val="18"/>
                <w:lang w:val="en-US"/>
              </w:rPr>
              <w:t>Nutsubidze</w:t>
            </w:r>
            <w:proofErr w:type="spell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 Plateau M/R II, Quarter IV,  Building  №2, Area №76</w:t>
            </w:r>
            <w:r w:rsidRPr="00B648ED">
              <w:rPr>
                <w:color w:val="222222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, represented by, Executive director </w:t>
            </w:r>
            <w:proofErr w:type="spellStart"/>
            <w:r w:rsidRPr="00B648ED">
              <w:rPr>
                <w:color w:val="000000"/>
                <w:sz w:val="18"/>
                <w:szCs w:val="18"/>
                <w:lang w:val="en-US"/>
              </w:rPr>
              <w:t>Aidana</w:t>
            </w:r>
            <w:proofErr w:type="spell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48ED">
              <w:rPr>
                <w:color w:val="000000"/>
                <w:sz w:val="18"/>
                <w:szCs w:val="18"/>
                <w:lang w:val="en-US"/>
              </w:rPr>
              <w:t>Fedosik</w:t>
            </w:r>
            <w:proofErr w:type="spell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 (hereinafter referred to as “Organization”), on the one side, 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RUNPUD </w:t>
            </w:r>
            <w:r>
              <w:rPr>
                <w:b/>
                <w:i/>
                <w:color w:val="000000"/>
                <w:sz w:val="18"/>
                <w:szCs w:val="18"/>
              </w:rPr>
              <w:t>в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лице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исполнительного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директора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18"/>
                <w:szCs w:val="18"/>
              </w:rPr>
              <w:t>Айданы</w:t>
            </w:r>
            <w:proofErr w:type="spellEnd"/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18"/>
                <w:szCs w:val="18"/>
              </w:rPr>
              <w:t>Федосик</w:t>
            </w:r>
            <w:proofErr w:type="spellEnd"/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b/>
                <w:i/>
                <w:color w:val="000000"/>
                <w:sz w:val="18"/>
                <w:szCs w:val="18"/>
              </w:rPr>
              <w:t>далее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“</w:t>
            </w:r>
            <w:r>
              <w:rPr>
                <w:b/>
                <w:i/>
                <w:color w:val="000000"/>
                <w:sz w:val="18"/>
                <w:szCs w:val="18"/>
              </w:rPr>
              <w:t>Организация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”) </w:t>
            </w:r>
            <w:r>
              <w:rPr>
                <w:b/>
                <w:i/>
                <w:color w:val="000000"/>
                <w:sz w:val="18"/>
                <w:szCs w:val="18"/>
              </w:rPr>
              <w:t>с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одной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стороны</w:t>
            </w:r>
            <w:r w:rsidRPr="00B648ED">
              <w:rPr>
                <w:b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i/>
                <w:color w:val="000000"/>
                <w:sz w:val="18"/>
                <w:szCs w:val="18"/>
              </w:rPr>
              <w:t>и</w:t>
            </w:r>
          </w:p>
          <w:p w:rsidR="008804E5" w:rsidRPr="00B648ED" w:rsidRDefault="003B27A3" w:rsidP="00B648ED">
            <w:pP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а</w:t>
            </w:r>
            <w:proofErr w:type="spellStart"/>
            <w:r w:rsidRPr="00B648ED">
              <w:rPr>
                <w:color w:val="000000"/>
                <w:sz w:val="18"/>
                <w:szCs w:val="18"/>
                <w:lang w:val="en-US"/>
              </w:rPr>
              <w:t>nd</w:t>
            </w:r>
            <w:proofErr w:type="spellEnd"/>
          </w:p>
          <w:p w:rsidR="008804E5" w:rsidRPr="00B648ED" w:rsidRDefault="003B27A3" w:rsidP="00B648ED">
            <w:pPr>
              <w:rPr>
                <w:b/>
                <w:i/>
                <w:sz w:val="16"/>
                <w:szCs w:val="16"/>
                <w:lang w:val="en-US"/>
              </w:rPr>
            </w:pPr>
            <w:r w:rsidRPr="00B648ED">
              <w:rPr>
                <w:b/>
                <w:color w:val="000000"/>
                <w:sz w:val="18"/>
                <w:szCs w:val="18"/>
                <w:lang w:val="en-US"/>
              </w:rPr>
              <w:t xml:space="preserve"> Oksana </w:t>
            </w:r>
            <w:proofErr w:type="spellStart"/>
            <w:r w:rsidRPr="00B648ED">
              <w:rPr>
                <w:b/>
                <w:color w:val="000000"/>
                <w:sz w:val="18"/>
                <w:szCs w:val="18"/>
                <w:lang w:val="en-US"/>
              </w:rPr>
              <w:t>Tuzikova</w:t>
            </w:r>
            <w:proofErr w:type="spellEnd"/>
          </w:p>
          <w:p w:rsidR="008804E5" w:rsidRPr="00B648ED" w:rsidRDefault="003B27A3" w:rsidP="00B648ED">
            <w:pPr>
              <w:rPr>
                <w:color w:val="000000"/>
                <w:sz w:val="18"/>
                <w:szCs w:val="18"/>
                <w:lang w:val="en-US"/>
              </w:rPr>
            </w:pPr>
            <w:r w:rsidRPr="00B648ED">
              <w:rPr>
                <w:color w:val="000000"/>
                <w:sz w:val="18"/>
                <w:szCs w:val="18"/>
                <w:lang w:val="en-US"/>
              </w:rPr>
              <w:t>(hereinafter referred to a</w:t>
            </w:r>
            <w:r w:rsidRPr="00B648ED">
              <w:rPr>
                <w:color w:val="000000"/>
                <w:sz w:val="18"/>
                <w:szCs w:val="18"/>
                <w:lang w:val="en-US"/>
              </w:rPr>
              <w:t>s “Consultant</w:t>
            </w:r>
            <w:proofErr w:type="gramStart"/>
            <w:r w:rsidRPr="00B648ED">
              <w:rPr>
                <w:color w:val="000000"/>
                <w:sz w:val="18"/>
                <w:szCs w:val="18"/>
                <w:lang w:val="en-US"/>
              </w:rPr>
              <w:t>”)  on</w:t>
            </w:r>
            <w:proofErr w:type="gram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 the other part, have executed this Act on the following:</w:t>
            </w:r>
          </w:p>
          <w:p w:rsidR="008804E5" w:rsidRDefault="003B27A3" w:rsidP="00B648ED">
            <w:pPr>
              <w:rPr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Консультант с другой стороны составили настоящий Акт о нижеследующем:</w:t>
            </w:r>
          </w:p>
        </w:tc>
      </w:tr>
      <w:tr w:rsidR="008804E5" w:rsidRPr="00B648ED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8"/>
                <w:id w:val="-21229173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1.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მისი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თქმით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მომსახურების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გაწევის</w:t>
                </w:r>
                <w:proofErr w:type="spellEnd"/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9"/>
                <w:id w:val="116312397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ხელშეკრულება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№ RCF-R/2-2 0</w:t>
                </w:r>
              </w:sdtContent>
            </w:sdt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/01/2022</w:t>
            </w:r>
          </w:p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30"/>
              <w:rPr>
                <w:color w:val="000000"/>
                <w:sz w:val="18"/>
                <w:szCs w:val="18"/>
              </w:rPr>
            </w:pPr>
            <w:sdt>
              <w:sdtPr>
                <w:tag w:val="goog_rdk_10"/>
                <w:id w:val="-12167344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თარიღი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პერიოდში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01.0</w:t>
                </w:r>
              </w:sdtContent>
            </w:sdt>
            <w:r>
              <w:rPr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.2022-</w:t>
            </w:r>
            <w:r>
              <w:rPr>
                <w:sz w:val="18"/>
                <w:szCs w:val="18"/>
              </w:rPr>
              <w:t>30.06</w:t>
            </w:r>
            <w:sdt>
              <w:sdtPr>
                <w:tag w:val="goog_rdk_11"/>
                <w:id w:val="15023931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.2022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თარიღი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კონსულტანტი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გათვალისწინებული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შემდეგი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მომსახურება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: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2"/>
                <w:id w:val="2084869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1.1.RuNPUD-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ის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ფინანსური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პროცედურების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ფინანსური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საკადრო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პოლიტიკის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შემუშავება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კორექტირება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;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პოლიტიკისა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პროცედურების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ინტეგრაცია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RuNPUD-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მიმდინარე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საოპერაციო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საქმიანობაში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3"/>
                <w:id w:val="-7699376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1.2.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RuNPUD-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სრულ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განაკვეთზე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მომუშავე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დოკუმენტების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მართვის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სისტემის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შექმნა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კონტროლი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მათ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შორის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ოპერატიული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დოკუმენტაციის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ელექტრონული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მონაცემთა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ბაზის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შექმნა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შენარჩუნება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ხელშეკრულებების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/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ხელშეკრულებების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რეესტრის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შენარჩუნება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პროექტის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საქმიანობის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ფარგლ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ებში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საქონლის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სამუშაოებისა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მომსახურების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შესყიდვის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ტენდერების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ჩატარების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მონიტორინგი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4"/>
                <w:id w:val="-1123995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1.3.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ბიუჯეტების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შეფასებების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კორექტირება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ანალიზი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5"/>
                <w:id w:val="111286239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ფინანსური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ანგარიშების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გადამოწმება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RuNPUD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ქვე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გრანტების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კონსულტანტებისა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მიმღებებ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შეფასებები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6"/>
                <w:id w:val="-12032491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1.4.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ფინანსური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ანგარიშების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; 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7"/>
                <w:id w:val="882366498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ბუღალტრული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აღრიცხვის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აუთსორსინგის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კომპანიის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საქმიანობის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კოორდინაცია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რომელიც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ემსახურება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RuNPUD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8"/>
                <w:id w:val="7887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1.5.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აქტებისა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ინვოისების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ორგანიზაცია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კონტრაქტებისა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კონტრაქტების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შაბლონები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დოკუმე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ნტების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პაკეტები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RuNPUD-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წესებისა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პროცედურების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შესაბამისად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; </w:t>
                </w:r>
              </w:sdtContent>
            </w:sdt>
          </w:p>
          <w:p w:rsidR="008804E5" w:rsidRDefault="003B27A3" w:rsidP="00B648ED">
            <w:pPr>
              <w:rPr>
                <w:sz w:val="18"/>
                <w:szCs w:val="18"/>
              </w:rPr>
            </w:pPr>
            <w:sdt>
              <w:sdtPr>
                <w:tag w:val="goog_rdk_19"/>
                <w:id w:val="-493102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1.6.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საჭირო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დოკუმენტაციის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აუდიტის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პროცესის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ორგანიზება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30"/>
              <w:rPr>
                <w:sz w:val="18"/>
                <w:szCs w:val="18"/>
              </w:rPr>
            </w:pPr>
            <w:sdt>
              <w:sdtPr>
                <w:tag w:val="goog_rdk_20"/>
                <w:id w:val="122895831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მემორანდუმების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შესრულება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გადახდების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მოთხოვნის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მომზადება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გადასახადების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შესრულების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კონტროლი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წესებისა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პროცედურების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შე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საბამისად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;</w:t>
                </w:r>
              </w:sdtContent>
            </w:sdt>
          </w:p>
        </w:tc>
        <w:tc>
          <w:tcPr>
            <w:tcW w:w="4680" w:type="dxa"/>
          </w:tcPr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color w:val="000000"/>
                <w:sz w:val="18"/>
                <w:szCs w:val="18"/>
                <w:lang w:val="en-US"/>
              </w:rPr>
              <w:lastRenderedPageBreak/>
              <w:t>1.</w:t>
            </w:r>
            <w:r w:rsidRPr="00B648ED">
              <w:rPr>
                <w:sz w:val="18"/>
                <w:szCs w:val="18"/>
                <w:lang w:val="en-US"/>
              </w:rPr>
              <w:t>According to the Service provision agreement RCF-R/2-2 01/01/2022 "Prisons Health and Right Consortium</w:t>
            </w:r>
            <w:proofErr w:type="gramStart"/>
            <w:r w:rsidRPr="00B648ED">
              <w:rPr>
                <w:sz w:val="18"/>
                <w:szCs w:val="18"/>
                <w:lang w:val="en-US"/>
              </w:rPr>
              <w:t xml:space="preserve">”, </w:t>
            </w:r>
            <w:r w:rsidRPr="00B648ED">
              <w:rPr>
                <w:sz w:val="18"/>
                <w:szCs w:val="18"/>
                <w:highlight w:val="white"/>
                <w:lang w:val="en-US"/>
              </w:rPr>
              <w:t xml:space="preserve"> </w:t>
            </w:r>
            <w:r w:rsidRPr="00B648ED">
              <w:rPr>
                <w:sz w:val="18"/>
                <w:szCs w:val="18"/>
                <w:lang w:val="en-US"/>
              </w:rPr>
              <w:t>Project</w:t>
            </w:r>
            <w:proofErr w:type="gramEnd"/>
            <w:r w:rsidRPr="00B648ED">
              <w:rPr>
                <w:sz w:val="18"/>
                <w:szCs w:val="18"/>
                <w:lang w:val="en-US"/>
              </w:rPr>
              <w:t xml:space="preserve"> </w:t>
            </w:r>
            <w:r w:rsidRPr="00B648ED">
              <w:rPr>
                <w:sz w:val="18"/>
                <w:szCs w:val="18"/>
                <w:highlight w:val="white"/>
                <w:lang w:val="en-US"/>
              </w:rPr>
              <w:t xml:space="preserve">Funded by the Robert </w:t>
            </w:r>
            <w:proofErr w:type="spellStart"/>
            <w:r w:rsidRPr="00B648ED">
              <w:rPr>
                <w:sz w:val="18"/>
                <w:szCs w:val="18"/>
                <w:highlight w:val="white"/>
                <w:lang w:val="en-US"/>
              </w:rPr>
              <w:t>Carr</w:t>
            </w:r>
            <w:proofErr w:type="spellEnd"/>
            <w:r w:rsidRPr="00B648ED">
              <w:rPr>
                <w:sz w:val="18"/>
                <w:szCs w:val="18"/>
                <w:highlight w:val="white"/>
                <w:lang w:val="en-US"/>
              </w:rPr>
              <w:t xml:space="preserve"> Foundation</w:t>
            </w:r>
          </w:p>
          <w:p w:rsidR="008804E5" w:rsidRPr="00B648ED" w:rsidRDefault="008804E5" w:rsidP="00B648ED">
            <w:pPr>
              <w:rPr>
                <w:sz w:val="18"/>
                <w:szCs w:val="18"/>
                <w:lang w:val="en-US"/>
              </w:rPr>
            </w:pP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during the period from 01.05.2022-30.06.2022 (date) Consultant provided the following ser</w:t>
            </w:r>
            <w:r w:rsidRPr="00B648ED">
              <w:rPr>
                <w:sz w:val="18"/>
                <w:szCs w:val="18"/>
                <w:lang w:val="en-US"/>
              </w:rPr>
              <w:t>vices:</w:t>
            </w:r>
          </w:p>
          <w:p w:rsidR="008804E5" w:rsidRDefault="003B27A3" w:rsidP="00B648ED">
            <w:pPr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 xml:space="preserve">Согласно </w:t>
            </w:r>
            <w:proofErr w:type="gramStart"/>
            <w:r>
              <w:rPr>
                <w:b/>
                <w:i/>
                <w:color w:val="000000"/>
                <w:sz w:val="18"/>
                <w:szCs w:val="18"/>
              </w:rPr>
              <w:t>договору</w:t>
            </w:r>
            <w:proofErr w:type="gramEnd"/>
            <w:r>
              <w:rPr>
                <w:b/>
                <w:i/>
                <w:color w:val="000000"/>
                <w:sz w:val="18"/>
                <w:szCs w:val="18"/>
              </w:rPr>
              <w:t xml:space="preserve"> об оказании услуг Консультантом оказаны следующие услуги: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</w:t>
            </w:r>
            <w:proofErr w:type="gramStart"/>
            <w:r w:rsidRPr="00B648ED">
              <w:rPr>
                <w:sz w:val="18"/>
                <w:szCs w:val="18"/>
                <w:lang w:val="en-US"/>
              </w:rPr>
              <w:t>1.Development</w:t>
            </w:r>
            <w:proofErr w:type="gramEnd"/>
            <w:r w:rsidRPr="00B648ED">
              <w:rPr>
                <w:sz w:val="18"/>
                <w:szCs w:val="18"/>
                <w:lang w:val="en-US"/>
              </w:rPr>
              <w:t xml:space="preserve"> and correction of financial procedures, financial and personnel policies of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  <w:r w:rsidRPr="00B648ED">
              <w:rPr>
                <w:sz w:val="18"/>
                <w:szCs w:val="18"/>
                <w:lang w:val="en-US"/>
              </w:rPr>
              <w:t>; integration of policies and procedures into the current operational activ</w:t>
            </w:r>
            <w:r w:rsidRPr="00B648ED">
              <w:rPr>
                <w:sz w:val="18"/>
                <w:szCs w:val="18"/>
                <w:lang w:val="en-US"/>
              </w:rPr>
              <w:t xml:space="preserve">ities of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  <w:r w:rsidRPr="00B648ED">
              <w:rPr>
                <w:sz w:val="18"/>
                <w:szCs w:val="18"/>
                <w:lang w:val="en-US"/>
              </w:rPr>
              <w:t>;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</w:t>
            </w:r>
            <w:proofErr w:type="gramStart"/>
            <w:r w:rsidRPr="00B648ED">
              <w:rPr>
                <w:sz w:val="18"/>
                <w:szCs w:val="18"/>
                <w:lang w:val="en-US"/>
              </w:rPr>
              <w:t>2.Creation</w:t>
            </w:r>
            <w:proofErr w:type="gramEnd"/>
            <w:r w:rsidRPr="00B648ED">
              <w:rPr>
                <w:sz w:val="18"/>
                <w:szCs w:val="18"/>
                <w:lang w:val="en-US"/>
              </w:rPr>
              <w:t xml:space="preserve"> and control over the execution of the document management system of full-time employees of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  <w:r w:rsidRPr="00B648ED">
              <w:rPr>
                <w:sz w:val="18"/>
                <w:szCs w:val="18"/>
                <w:lang w:val="en-US"/>
              </w:rPr>
              <w:t>, including the creation and maintenance of an electronic database of operational documentation, maintaining a register of contra</w:t>
            </w:r>
            <w:r w:rsidRPr="00B648ED">
              <w:rPr>
                <w:sz w:val="18"/>
                <w:szCs w:val="18"/>
                <w:lang w:val="en-US"/>
              </w:rPr>
              <w:t>cts/contracts, monitoring the preparation and conduct of tenders for the procurement of goods, works and services within the framework of project activities;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1.3. Preparation, adjustment and analysis of budgets, estimates;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1.4. Verification of financial re</w:t>
            </w:r>
            <w:r w:rsidRPr="00B648ED">
              <w:rPr>
                <w:sz w:val="18"/>
                <w:szCs w:val="18"/>
                <w:lang w:val="en-US"/>
              </w:rPr>
              <w:t xml:space="preserve">ports and estimates of consultants and recipients of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  <w:r w:rsidRPr="00B648ED">
              <w:rPr>
                <w:sz w:val="18"/>
                <w:szCs w:val="18"/>
                <w:lang w:val="en-US"/>
              </w:rPr>
              <w:t xml:space="preserve"> sub-grants;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 xml:space="preserve">1.5. Preparation of financial reports; 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 xml:space="preserve">Coordination of the activities of the accounting outsourcing company serving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 xml:space="preserve">1.6. Organization of preparation of acts and invoices, templates of contracts and contracts, packages of documents for payment in accordance with the rules and procedures of </w:t>
            </w:r>
            <w:proofErr w:type="spellStart"/>
            <w:r w:rsidRPr="00B648ED">
              <w:rPr>
                <w:sz w:val="18"/>
                <w:szCs w:val="18"/>
                <w:lang w:val="en-US"/>
              </w:rPr>
              <w:t>RuNPUD</w:t>
            </w:r>
            <w:proofErr w:type="spellEnd"/>
            <w:r w:rsidRPr="00B648ED">
              <w:rPr>
                <w:sz w:val="18"/>
                <w:szCs w:val="18"/>
                <w:lang w:val="en-US"/>
              </w:rPr>
              <w:t xml:space="preserve">; 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1.7. Preparation of necessary documentation and organization of the audit</w:t>
            </w:r>
            <w:r w:rsidRPr="00B648ED">
              <w:rPr>
                <w:sz w:val="18"/>
                <w:szCs w:val="18"/>
                <w:lang w:val="en-US"/>
              </w:rPr>
              <w:t xml:space="preserve"> process;</w:t>
            </w:r>
          </w:p>
          <w:p w:rsidR="008804E5" w:rsidRPr="00B648ED" w:rsidRDefault="003B27A3" w:rsidP="00B648ED">
            <w:pPr>
              <w:rPr>
                <w:sz w:val="18"/>
                <w:szCs w:val="18"/>
                <w:lang w:val="en-US"/>
              </w:rPr>
            </w:pPr>
            <w:r w:rsidRPr="00B648ED">
              <w:rPr>
                <w:sz w:val="18"/>
                <w:szCs w:val="18"/>
                <w:lang w:val="en-US"/>
              </w:rPr>
              <w:t>1.8. Execution of memos, preparation of requests for payments, control over the execution of payments in accordance with the rules and procedures;</w:t>
            </w:r>
          </w:p>
          <w:p w:rsidR="008804E5" w:rsidRPr="00B648ED" w:rsidRDefault="008804E5" w:rsidP="00B648ED">
            <w:pPr>
              <w:rPr>
                <w:b/>
                <w:i/>
                <w:sz w:val="18"/>
                <w:szCs w:val="18"/>
                <w:lang w:val="en-US"/>
              </w:rPr>
            </w:pPr>
          </w:p>
          <w:p w:rsidR="008804E5" w:rsidRPr="00B648ED" w:rsidRDefault="008804E5" w:rsidP="00B648ED">
            <w:pPr>
              <w:rPr>
                <w:b/>
                <w:i/>
                <w:color w:val="000000"/>
                <w:sz w:val="18"/>
                <w:szCs w:val="18"/>
                <w:lang w:val="en-US"/>
              </w:rPr>
            </w:pPr>
          </w:p>
          <w:p w:rsidR="008804E5" w:rsidRPr="00B648ED" w:rsidRDefault="008804E5" w:rsidP="00B648ED">
            <w:pPr>
              <w:rPr>
                <w:b/>
                <w:i/>
                <w:color w:val="000000"/>
                <w:sz w:val="18"/>
                <w:szCs w:val="18"/>
                <w:lang w:val="en-US"/>
              </w:rPr>
            </w:pPr>
          </w:p>
          <w:p w:rsidR="008804E5" w:rsidRPr="00B648ED" w:rsidRDefault="008804E5" w:rsidP="00B648ED">
            <w:pPr>
              <w:rPr>
                <w:b/>
                <w:i/>
                <w:color w:val="000000"/>
                <w:sz w:val="18"/>
                <w:szCs w:val="18"/>
                <w:lang w:val="en-US"/>
              </w:rPr>
            </w:pPr>
          </w:p>
          <w:p w:rsidR="008804E5" w:rsidRPr="00B648ED" w:rsidRDefault="008804E5" w:rsidP="00B648ED">
            <w:pPr>
              <w:rPr>
                <w:b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21"/>
                <w:id w:val="3290270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2.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მომსახურება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გაეწია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სათანადო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დროულად</w:t>
                </w:r>
                <w:proofErr w:type="spellEnd"/>
              </w:sdtContent>
            </w:sdt>
          </w:p>
        </w:tc>
        <w:tc>
          <w:tcPr>
            <w:tcW w:w="4680" w:type="dxa"/>
          </w:tcPr>
          <w:p w:rsidR="008804E5" w:rsidRPr="00B648ED" w:rsidRDefault="003B27A3" w:rsidP="00B648ED">
            <w:pPr>
              <w:rPr>
                <w:color w:val="000000"/>
                <w:sz w:val="18"/>
                <w:szCs w:val="18"/>
                <w:lang w:val="en-US"/>
              </w:rPr>
            </w:pPr>
            <w:r w:rsidRPr="00B648ED">
              <w:rPr>
                <w:color w:val="000000"/>
                <w:sz w:val="18"/>
                <w:szCs w:val="18"/>
                <w:lang w:val="en-US"/>
              </w:rPr>
              <w:t>2. The services were provided on due and timely basis</w:t>
            </w:r>
          </w:p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Услуги были предоставлены должным образом и своевременно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29"/>
              <w:rPr>
                <w:color w:val="000000"/>
                <w:sz w:val="18"/>
                <w:szCs w:val="18"/>
              </w:rPr>
            </w:pPr>
            <w:sdt>
              <w:sdtPr>
                <w:tag w:val="goog_rdk_22"/>
                <w:id w:val="-1542990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3.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გაწეული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მომსახურების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ხარისხი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შეესაბამება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ხელშეკრულების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პირობებსა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და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პირობებს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კონსულტანტის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მუშაობაში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ხელშეკრულებიდან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სხვა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ნაკლოვანებებიდან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გადახრა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ორგანიზაციამ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არ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გაასაჯაროვა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.</w:t>
                </w:r>
              </w:sdtContent>
            </w:sdt>
          </w:p>
        </w:tc>
        <w:tc>
          <w:tcPr>
            <w:tcW w:w="4680" w:type="dxa"/>
          </w:tcPr>
          <w:p w:rsidR="008804E5" w:rsidRPr="00B648ED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" w:line="259" w:lineRule="auto"/>
              <w:rPr>
                <w:color w:val="000000"/>
                <w:sz w:val="18"/>
                <w:szCs w:val="18"/>
                <w:lang w:val="en-US"/>
              </w:rPr>
            </w:pPr>
            <w:r w:rsidRPr="00B648ED">
              <w:rPr>
                <w:color w:val="000000"/>
                <w:sz w:val="18"/>
                <w:szCs w:val="18"/>
                <w:lang w:val="en-US"/>
              </w:rPr>
              <w:t>3. The quality of the services provided complies with terms and conditio</w:t>
            </w:r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ns of the Agreement. No deviation from the Agreement or other drawbacks in the work of the Consultant was disclosed by the </w:t>
            </w:r>
            <w:r w:rsidRPr="00B648ED">
              <w:rPr>
                <w:sz w:val="18"/>
                <w:szCs w:val="18"/>
                <w:lang w:val="en-US"/>
              </w:rPr>
              <w:t>Organization</w:t>
            </w:r>
            <w:r w:rsidRPr="00B648ED">
              <w:rPr>
                <w:color w:val="000000"/>
                <w:sz w:val="18"/>
                <w:szCs w:val="18"/>
                <w:lang w:val="en-US"/>
              </w:rPr>
              <w:t>.</w:t>
            </w:r>
          </w:p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Качество предоставляемых услуг соответствует условиям и положениям Соглашения. Организация не раскрыла никаких отклонен</w:t>
            </w:r>
            <w:r>
              <w:rPr>
                <w:b/>
                <w:i/>
                <w:color w:val="000000"/>
                <w:sz w:val="18"/>
                <w:szCs w:val="18"/>
              </w:rPr>
              <w:t>ий от Соглашения или других недостатков в работе Консультанта.</w:t>
            </w: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23"/>
                <w:id w:val="17972488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4.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თანხა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იმის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გამო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რომ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გადახდის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კონსულტანტი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ხელშეკრულების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შესაბამისად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არის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: 750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შვიდას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ორმოცდაათი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ევრო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ევრო</w:t>
                </w:r>
                <w:proofErr w:type="spellEnd"/>
              </w:sdtContent>
            </w:sdt>
          </w:p>
        </w:tc>
        <w:tc>
          <w:tcPr>
            <w:tcW w:w="4680" w:type="dxa"/>
          </w:tcPr>
          <w:p w:rsidR="008804E5" w:rsidRPr="00B648ED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" w:line="259" w:lineRule="auto"/>
              <w:rPr>
                <w:color w:val="000000"/>
                <w:sz w:val="18"/>
                <w:szCs w:val="18"/>
                <w:lang w:val="en-US"/>
              </w:rPr>
            </w:pPr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4. The amount due to the payment to the Consultant in accordance with the Agreement is: </w:t>
            </w:r>
            <w:proofErr w:type="gramStart"/>
            <w:r w:rsidRPr="00B648ED">
              <w:rPr>
                <w:color w:val="000000"/>
                <w:sz w:val="18"/>
                <w:szCs w:val="18"/>
                <w:lang w:val="en-US"/>
              </w:rPr>
              <w:t>750  (</w:t>
            </w:r>
            <w:proofErr w:type="gramEnd"/>
            <w:r w:rsidRPr="00B648ED">
              <w:rPr>
                <w:color w:val="000000"/>
                <w:sz w:val="18"/>
                <w:szCs w:val="18"/>
                <w:lang w:val="en-US"/>
              </w:rPr>
              <w:t xml:space="preserve">seven hundred fifty) </w:t>
            </w:r>
            <w:r w:rsidRPr="00B648ED">
              <w:rPr>
                <w:sz w:val="18"/>
                <w:szCs w:val="18"/>
                <w:lang w:val="en-US"/>
              </w:rPr>
              <w:t>USD</w:t>
            </w:r>
          </w:p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Сумма, подлежащая выплате Консультанту в соответствии с Соглашением, составляет: </w:t>
            </w: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24"/>
                <w:id w:val="16374680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სულ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:</w:t>
                </w:r>
              </w:sdtContent>
            </w:sdt>
            <w:sdt>
              <w:sdtPr>
                <w:tag w:val="goog_rdk_25"/>
                <w:id w:val="5983028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 xml:space="preserve"> 750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ევრო</w:t>
                </w:r>
                <w:proofErr w:type="spellEnd"/>
              </w:sdtContent>
            </w:sdt>
          </w:p>
        </w:tc>
        <w:tc>
          <w:tcPr>
            <w:tcW w:w="4680" w:type="dxa"/>
          </w:tcPr>
          <w:p w:rsidR="008804E5" w:rsidRDefault="003B27A3" w:rsidP="00B648ED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TOTAL: 750 </w:t>
            </w:r>
            <w:r>
              <w:rPr>
                <w:sz w:val="18"/>
                <w:szCs w:val="18"/>
              </w:rPr>
              <w:t>USD</w:t>
            </w: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26"/>
                <w:id w:val="-133969485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კონსულტანტი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/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Consultant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 xml:space="preserve"> / Консультант</w:t>
                </w:r>
              </w:sdtContent>
            </w:sdt>
          </w:p>
          <w:p w:rsidR="008804E5" w:rsidRDefault="003B27A3" w:rsidP="00B648ED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Oksana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Tuzikova</w:t>
            </w:r>
            <w:proofErr w:type="spellEnd"/>
          </w:p>
        </w:tc>
      </w:tr>
      <w:tr w:rsidR="008804E5">
        <w:tc>
          <w:tcPr>
            <w:tcW w:w="9270" w:type="dxa"/>
            <w:gridSpan w:val="2"/>
          </w:tcPr>
          <w:p w:rsidR="008804E5" w:rsidRDefault="008804E5" w:rsidP="00B648ED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i/>
                <w:color w:val="000000"/>
                <w:sz w:val="18"/>
                <w:szCs w:val="18"/>
              </w:rPr>
            </w:pPr>
            <w:sdt>
              <w:sdtPr>
                <w:tag w:val="goog_rdk_27"/>
                <w:id w:val="-10868404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consultant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name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/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კონსულტანტის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სახელი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/имя консультанта)</w:t>
                </w:r>
              </w:sdtContent>
            </w:sdt>
          </w:p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  <w:p w:rsidR="008804E5" w:rsidRDefault="008804E5" w:rsidP="00B648ED">
            <w:pPr>
              <w:rPr>
                <w:sz w:val="18"/>
                <w:szCs w:val="18"/>
              </w:rPr>
            </w:pPr>
          </w:p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______________________________</w:t>
            </w: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i/>
                <w:color w:val="000000"/>
                <w:sz w:val="18"/>
                <w:szCs w:val="18"/>
              </w:rPr>
            </w:pPr>
            <w:sdt>
              <w:sdtPr>
                <w:tag w:val="goog_rdk_28"/>
                <w:id w:val="-11603783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signature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/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ხელმოწერა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/ подпись)</w:t>
                </w:r>
              </w:sdtContent>
            </w:sdt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RUNPUD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Executive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Director</w:t>
            </w:r>
            <w:proofErr w:type="spellEnd"/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3B27A3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Aidana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Fedosik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  <w:p w:rsidR="008804E5" w:rsidRDefault="008804E5" w:rsidP="00B648E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____________________________________________</w:t>
            </w:r>
          </w:p>
        </w:tc>
      </w:tr>
      <w:tr w:rsidR="008804E5">
        <w:tc>
          <w:tcPr>
            <w:tcW w:w="9270" w:type="dxa"/>
            <w:gridSpan w:val="2"/>
          </w:tcPr>
          <w:p w:rsidR="008804E5" w:rsidRDefault="003B27A3" w:rsidP="00B648ED">
            <w:pPr>
              <w:rPr>
                <w:i/>
                <w:color w:val="000000"/>
                <w:sz w:val="18"/>
                <w:szCs w:val="18"/>
              </w:rPr>
            </w:pPr>
            <w:sdt>
              <w:sdtPr>
                <w:tag w:val="goog_rdk_29"/>
                <w:id w:val="-15724206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signature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/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>ხელმოწერა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i/>
                    <w:color w:val="000000"/>
                    <w:sz w:val="18"/>
                    <w:szCs w:val="18"/>
                  </w:rPr>
                  <w:t xml:space="preserve"> / подпись)</w:t>
                </w:r>
              </w:sdtContent>
            </w:sdt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 w:rsidP="00B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 w:rsidP="00B648E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" w:line="259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" w:line="259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i/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8804E5">
        <w:tc>
          <w:tcPr>
            <w:tcW w:w="4590" w:type="dxa"/>
          </w:tcPr>
          <w:p w:rsidR="008804E5" w:rsidRDefault="008804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80" w:type="dxa"/>
          </w:tcPr>
          <w:p w:rsidR="008804E5" w:rsidRDefault="008804E5">
            <w:pPr>
              <w:jc w:val="both"/>
              <w:rPr>
                <w:sz w:val="18"/>
                <w:szCs w:val="18"/>
              </w:rPr>
            </w:pPr>
          </w:p>
        </w:tc>
      </w:tr>
    </w:tbl>
    <w:p w:rsidR="008804E5" w:rsidRDefault="008804E5">
      <w:pPr>
        <w:rPr>
          <w:sz w:val="18"/>
          <w:szCs w:val="18"/>
        </w:rPr>
      </w:pPr>
    </w:p>
    <w:sectPr w:rsidR="008804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E5"/>
    <w:rsid w:val="003B27A3"/>
    <w:rsid w:val="008804E5"/>
    <w:rsid w:val="00B6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DC9EB-C6F0-43D7-87B4-240E117C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D1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F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F2966"/>
    <w:pPr>
      <w:spacing w:after="160" w:line="259" w:lineRule="auto"/>
    </w:pPr>
    <w:rPr>
      <w:rFonts w:eastAsiaTheme="minorHAnsi"/>
      <w:lang w:eastAsia="en-US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myAi56YIyvNewIdLuuS3ndGzQ==">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Оксана</cp:lastModifiedBy>
  <cp:revision>3</cp:revision>
  <dcterms:created xsi:type="dcterms:W3CDTF">2022-07-28T12:22:00Z</dcterms:created>
  <dcterms:modified xsi:type="dcterms:W3CDTF">2022-07-28T12:23:00Z</dcterms:modified>
</cp:coreProperties>
</file>