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44BC1" w14:textId="5F497D33" w:rsidR="00024B5C" w:rsidRDefault="002D29AD" w:rsidP="00097973">
      <w:pPr>
        <w:jc w:val="both"/>
        <w:rPr>
          <w:sz w:val="24"/>
          <w:szCs w:val="24"/>
        </w:rPr>
      </w:pPr>
      <w:r>
        <w:rPr>
          <w:sz w:val="24"/>
          <w:szCs w:val="24"/>
        </w:rPr>
        <w:t>ADENOMEGALIAS</w:t>
      </w:r>
    </w:p>
    <w:p w14:paraId="0BA078A1" w14:textId="77777777" w:rsidR="00024B5C" w:rsidRDefault="00024B5C" w:rsidP="00097973">
      <w:pPr>
        <w:jc w:val="both"/>
        <w:rPr>
          <w:sz w:val="24"/>
          <w:szCs w:val="24"/>
        </w:rPr>
      </w:pPr>
    </w:p>
    <w:p w14:paraId="3A23A841" w14:textId="0CD65E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CONCEITO</w:t>
      </w:r>
      <w:r>
        <w:rPr>
          <w:sz w:val="24"/>
          <w:szCs w:val="24"/>
        </w:rPr>
        <w:t>:</w:t>
      </w:r>
    </w:p>
    <w:p w14:paraId="04FAAAB2" w14:textId="3DF9598A" w:rsidR="00024B5C" w:rsidRPr="00024B5C" w:rsidRDefault="00C12C3E" w:rsidP="00097973">
      <w:pPr>
        <w:jc w:val="both"/>
        <w:rPr>
          <w:sz w:val="24"/>
          <w:szCs w:val="24"/>
        </w:rPr>
      </w:pPr>
      <w:proofErr w:type="spellStart"/>
      <w:r w:rsidRPr="00024B5C">
        <w:rPr>
          <w:sz w:val="24"/>
          <w:szCs w:val="24"/>
        </w:rPr>
        <w:t>Supraclaviculares</w:t>
      </w:r>
      <w:proofErr w:type="spellEnd"/>
      <w:r w:rsidRPr="00024B5C">
        <w:rPr>
          <w:sz w:val="24"/>
          <w:szCs w:val="24"/>
        </w:rPr>
        <w:tab/>
      </w:r>
      <w:r w:rsidRPr="00024B5C">
        <w:rPr>
          <w:sz w:val="24"/>
          <w:szCs w:val="24"/>
        </w:rPr>
        <w:tab/>
        <w:t>sempre anormais</w:t>
      </w:r>
    </w:p>
    <w:p w14:paraId="1F73236A" w14:textId="163C75C3" w:rsidR="00024B5C" w:rsidRPr="00024B5C" w:rsidRDefault="00C12C3E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Ilíacos</w:t>
      </w:r>
      <w:r w:rsidRPr="00024B5C">
        <w:rPr>
          <w:sz w:val="24"/>
          <w:szCs w:val="24"/>
        </w:rPr>
        <w:tab/>
      </w:r>
      <w:r w:rsidRPr="00024B5C">
        <w:rPr>
          <w:sz w:val="24"/>
          <w:szCs w:val="24"/>
        </w:rPr>
        <w:tab/>
      </w:r>
      <w:r w:rsidRPr="00024B5C">
        <w:rPr>
          <w:sz w:val="24"/>
          <w:szCs w:val="24"/>
        </w:rPr>
        <w:tab/>
      </w:r>
      <w:r w:rsidR="00097973">
        <w:rPr>
          <w:sz w:val="24"/>
          <w:szCs w:val="24"/>
        </w:rPr>
        <w:tab/>
      </w:r>
      <w:r w:rsidR="00024B5C" w:rsidRPr="00024B5C">
        <w:rPr>
          <w:sz w:val="24"/>
          <w:szCs w:val="24"/>
        </w:rPr>
        <w:t>sempre anormais</w:t>
      </w:r>
    </w:p>
    <w:p w14:paraId="1F226E8E" w14:textId="17149881" w:rsidR="00024B5C" w:rsidRPr="00024B5C" w:rsidRDefault="00C12C3E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Poplíteos</w:t>
      </w:r>
      <w:r w:rsidRPr="00024B5C">
        <w:rPr>
          <w:sz w:val="24"/>
          <w:szCs w:val="24"/>
        </w:rPr>
        <w:tab/>
      </w:r>
      <w:r w:rsidRPr="00024B5C">
        <w:rPr>
          <w:sz w:val="24"/>
          <w:szCs w:val="24"/>
        </w:rPr>
        <w:tab/>
      </w:r>
      <w:r w:rsidRPr="00024B5C">
        <w:rPr>
          <w:sz w:val="24"/>
          <w:szCs w:val="24"/>
        </w:rPr>
        <w:tab/>
        <w:t xml:space="preserve">sempre anormais </w:t>
      </w:r>
    </w:p>
    <w:p w14:paraId="06F7F749" w14:textId="5AEC03C9" w:rsidR="00024B5C" w:rsidRPr="00024B5C" w:rsidRDefault="00C12C3E" w:rsidP="00097973">
      <w:pPr>
        <w:jc w:val="both"/>
        <w:rPr>
          <w:sz w:val="24"/>
          <w:szCs w:val="24"/>
        </w:rPr>
      </w:pPr>
      <w:proofErr w:type="spellStart"/>
      <w:r w:rsidRPr="00024B5C">
        <w:rPr>
          <w:sz w:val="24"/>
          <w:szCs w:val="24"/>
        </w:rPr>
        <w:t>Epitrocleares</w:t>
      </w:r>
      <w:proofErr w:type="spellEnd"/>
      <w:r w:rsidRPr="00024B5C">
        <w:rPr>
          <w:sz w:val="24"/>
          <w:szCs w:val="24"/>
        </w:rPr>
        <w:t xml:space="preserve">: </w:t>
      </w:r>
      <w:r w:rsidRPr="00024B5C">
        <w:rPr>
          <w:sz w:val="24"/>
          <w:szCs w:val="24"/>
        </w:rPr>
        <w:tab/>
      </w:r>
      <w:r w:rsidRPr="00024B5C">
        <w:rPr>
          <w:sz w:val="24"/>
          <w:szCs w:val="24"/>
        </w:rPr>
        <w:tab/>
      </w:r>
      <w:r>
        <w:rPr>
          <w:sz w:val="24"/>
          <w:szCs w:val="24"/>
        </w:rPr>
        <w:t xml:space="preserve">normais </w:t>
      </w:r>
      <w:proofErr w:type="gramStart"/>
      <w:r>
        <w:rPr>
          <w:sz w:val="24"/>
          <w:szCs w:val="24"/>
        </w:rPr>
        <w:t xml:space="preserve">até </w:t>
      </w:r>
      <w:r w:rsidRPr="00024B5C">
        <w:rPr>
          <w:sz w:val="24"/>
          <w:szCs w:val="24"/>
        </w:rPr>
        <w:t xml:space="preserve"> 5</w:t>
      </w:r>
      <w:proofErr w:type="gramEnd"/>
      <w:r w:rsidRPr="00024B5C">
        <w:rPr>
          <w:sz w:val="24"/>
          <w:szCs w:val="24"/>
        </w:rPr>
        <w:t xml:space="preserve"> mm</w:t>
      </w:r>
    </w:p>
    <w:p w14:paraId="71D659BF" w14:textId="34BD645C" w:rsidR="00024B5C" w:rsidRPr="00024B5C" w:rsidRDefault="00C12C3E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Inguinais:</w:t>
      </w:r>
      <w:r w:rsidRPr="00024B5C">
        <w:rPr>
          <w:sz w:val="24"/>
          <w:szCs w:val="24"/>
        </w:rPr>
        <w:tab/>
      </w:r>
      <w:r w:rsidRPr="00024B5C">
        <w:rPr>
          <w:sz w:val="24"/>
          <w:szCs w:val="24"/>
        </w:rPr>
        <w:tab/>
      </w:r>
      <w:r w:rsidRPr="00024B5C">
        <w:rPr>
          <w:sz w:val="24"/>
          <w:szCs w:val="24"/>
        </w:rPr>
        <w:tab/>
      </w:r>
      <w:r>
        <w:rPr>
          <w:sz w:val="24"/>
          <w:szCs w:val="24"/>
        </w:rPr>
        <w:t>normais até</w:t>
      </w:r>
      <w:r w:rsidRPr="00024B5C">
        <w:rPr>
          <w:sz w:val="24"/>
          <w:szCs w:val="24"/>
        </w:rPr>
        <w:t xml:space="preserve"> 15 mm</w:t>
      </w:r>
    </w:p>
    <w:p w14:paraId="473DF75C" w14:textId="67E2C119" w:rsidR="00024B5C" w:rsidRPr="00024B5C" w:rsidRDefault="00C12C3E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Demais regiões:</w:t>
      </w:r>
      <w:r w:rsidRPr="00024B5C">
        <w:rPr>
          <w:sz w:val="24"/>
          <w:szCs w:val="24"/>
        </w:rPr>
        <w:tab/>
      </w:r>
      <w:r w:rsidRPr="00024B5C">
        <w:rPr>
          <w:sz w:val="24"/>
          <w:szCs w:val="24"/>
        </w:rPr>
        <w:tab/>
      </w:r>
      <w:r>
        <w:rPr>
          <w:sz w:val="24"/>
          <w:szCs w:val="24"/>
        </w:rPr>
        <w:t>normais até</w:t>
      </w:r>
      <w:r w:rsidRPr="00024B5C">
        <w:rPr>
          <w:sz w:val="24"/>
          <w:szCs w:val="24"/>
        </w:rPr>
        <w:t xml:space="preserve"> 10 mm </w:t>
      </w:r>
    </w:p>
    <w:p w14:paraId="2F4771BE" w14:textId="77777777" w:rsidR="00024B5C" w:rsidRPr="00024B5C" w:rsidRDefault="00024B5C" w:rsidP="00097973">
      <w:pPr>
        <w:jc w:val="both"/>
        <w:rPr>
          <w:sz w:val="24"/>
          <w:szCs w:val="24"/>
        </w:rPr>
      </w:pPr>
    </w:p>
    <w:p w14:paraId="62E36063" w14:textId="4BCCF83D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CAUSAS INFECCIOSAS</w:t>
      </w:r>
      <w:r>
        <w:rPr>
          <w:sz w:val="24"/>
          <w:szCs w:val="24"/>
        </w:rPr>
        <w:t>:</w:t>
      </w:r>
    </w:p>
    <w:p w14:paraId="47F5920D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Reação ganglionar a infecções na área de drenagem linfática</w:t>
      </w:r>
    </w:p>
    <w:p w14:paraId="32F0DFA1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 xml:space="preserve">Adenites inespecíficas: </w:t>
      </w:r>
      <w:proofErr w:type="spellStart"/>
      <w:r w:rsidRPr="00024B5C">
        <w:rPr>
          <w:sz w:val="24"/>
          <w:szCs w:val="24"/>
        </w:rPr>
        <w:t>S.aureus</w:t>
      </w:r>
      <w:proofErr w:type="spellEnd"/>
      <w:r w:rsidRPr="00024B5C">
        <w:rPr>
          <w:sz w:val="24"/>
          <w:szCs w:val="24"/>
        </w:rPr>
        <w:t>; Streptococcus do grupo A</w:t>
      </w:r>
    </w:p>
    <w:p w14:paraId="5DBFF456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Infecções por vírus da família herpes: CMV e EBV</w:t>
      </w:r>
    </w:p>
    <w:p w14:paraId="280D60B5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Tuberculose ganglionar; Infecção pelo BCG</w:t>
      </w:r>
    </w:p>
    <w:p w14:paraId="2443D4F3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Infecção pelo HIV; Rubéola; Toxoplasmose</w:t>
      </w:r>
    </w:p>
    <w:p w14:paraId="594D35E8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 xml:space="preserve">Doença da Arranhadura do gato: </w:t>
      </w:r>
      <w:proofErr w:type="spellStart"/>
      <w:r w:rsidRPr="00024B5C">
        <w:rPr>
          <w:sz w:val="24"/>
          <w:szCs w:val="24"/>
        </w:rPr>
        <w:t>Bartonella</w:t>
      </w:r>
      <w:proofErr w:type="spellEnd"/>
      <w:r w:rsidRPr="00024B5C">
        <w:rPr>
          <w:sz w:val="24"/>
          <w:szCs w:val="24"/>
        </w:rPr>
        <w:t xml:space="preserve"> </w:t>
      </w:r>
      <w:proofErr w:type="spellStart"/>
      <w:r w:rsidRPr="00024B5C">
        <w:rPr>
          <w:sz w:val="24"/>
          <w:szCs w:val="24"/>
        </w:rPr>
        <w:t>henselae</w:t>
      </w:r>
      <w:proofErr w:type="spellEnd"/>
    </w:p>
    <w:p w14:paraId="0219F800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 xml:space="preserve">Alguns vírus respiratórios: adenovírus, </w:t>
      </w:r>
      <w:proofErr w:type="spellStart"/>
      <w:r w:rsidRPr="00024B5C">
        <w:rPr>
          <w:sz w:val="24"/>
          <w:szCs w:val="24"/>
        </w:rPr>
        <w:t>coxsackie</w:t>
      </w:r>
      <w:proofErr w:type="spellEnd"/>
    </w:p>
    <w:p w14:paraId="394BCF00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 xml:space="preserve">Micoses profundas: </w:t>
      </w:r>
      <w:proofErr w:type="spellStart"/>
      <w:r w:rsidRPr="00024B5C">
        <w:rPr>
          <w:sz w:val="24"/>
          <w:szCs w:val="24"/>
        </w:rPr>
        <w:t>esporotricose</w:t>
      </w:r>
      <w:proofErr w:type="spellEnd"/>
      <w:r w:rsidRPr="00024B5C">
        <w:rPr>
          <w:sz w:val="24"/>
          <w:szCs w:val="24"/>
        </w:rPr>
        <w:t>, paracoccidioidomicose</w:t>
      </w:r>
    </w:p>
    <w:p w14:paraId="2C50F2EB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Kawasaki</w:t>
      </w:r>
    </w:p>
    <w:p w14:paraId="3883E987" w14:textId="77777777" w:rsidR="00024B5C" w:rsidRPr="00024B5C" w:rsidRDefault="00024B5C" w:rsidP="00097973">
      <w:pPr>
        <w:jc w:val="both"/>
        <w:rPr>
          <w:sz w:val="24"/>
          <w:szCs w:val="24"/>
        </w:rPr>
      </w:pPr>
    </w:p>
    <w:p w14:paraId="37A2B6D0" w14:textId="7D0536F6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CAUSAS NEOPLÁSICAS</w:t>
      </w:r>
      <w:r>
        <w:rPr>
          <w:sz w:val="24"/>
          <w:szCs w:val="24"/>
        </w:rPr>
        <w:t>:</w:t>
      </w:r>
    </w:p>
    <w:p w14:paraId="784C0A13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 xml:space="preserve">Linfomas; Leucemias; Tumores da </w:t>
      </w:r>
      <w:proofErr w:type="spellStart"/>
      <w:r w:rsidRPr="00024B5C">
        <w:rPr>
          <w:sz w:val="24"/>
          <w:szCs w:val="24"/>
        </w:rPr>
        <w:t>tireóide</w:t>
      </w:r>
      <w:proofErr w:type="spellEnd"/>
      <w:r w:rsidRPr="00024B5C">
        <w:rPr>
          <w:sz w:val="24"/>
          <w:szCs w:val="24"/>
        </w:rPr>
        <w:t xml:space="preserve">; </w:t>
      </w:r>
      <w:proofErr w:type="spellStart"/>
      <w:r w:rsidRPr="00024B5C">
        <w:rPr>
          <w:sz w:val="24"/>
          <w:szCs w:val="24"/>
        </w:rPr>
        <w:t>Neuroblastoma</w:t>
      </w:r>
      <w:proofErr w:type="spellEnd"/>
    </w:p>
    <w:p w14:paraId="182B63CE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Outros tumores; Metástases</w:t>
      </w:r>
    </w:p>
    <w:p w14:paraId="53A094B3" w14:textId="77777777" w:rsidR="00024B5C" w:rsidRPr="00024B5C" w:rsidRDefault="00024B5C" w:rsidP="00097973">
      <w:pPr>
        <w:jc w:val="both"/>
        <w:rPr>
          <w:sz w:val="24"/>
          <w:szCs w:val="24"/>
        </w:rPr>
      </w:pPr>
    </w:p>
    <w:p w14:paraId="52758013" w14:textId="2EDE038B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PARECE, MAS NÃO É ADENOMEGALIA...</w:t>
      </w:r>
    </w:p>
    <w:p w14:paraId="00BF4C12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 xml:space="preserve">Cisto branquial; Cisto </w:t>
      </w:r>
      <w:proofErr w:type="spellStart"/>
      <w:r w:rsidRPr="00024B5C">
        <w:rPr>
          <w:sz w:val="24"/>
          <w:szCs w:val="24"/>
        </w:rPr>
        <w:t>broncogênico</w:t>
      </w:r>
      <w:proofErr w:type="spellEnd"/>
      <w:r w:rsidRPr="00024B5C">
        <w:rPr>
          <w:sz w:val="24"/>
          <w:szCs w:val="24"/>
        </w:rPr>
        <w:t xml:space="preserve">; </w:t>
      </w:r>
      <w:proofErr w:type="spellStart"/>
      <w:r w:rsidRPr="00024B5C">
        <w:rPr>
          <w:sz w:val="24"/>
          <w:szCs w:val="24"/>
        </w:rPr>
        <w:t>Higromas</w:t>
      </w:r>
      <w:proofErr w:type="spellEnd"/>
      <w:r w:rsidRPr="00024B5C">
        <w:rPr>
          <w:sz w:val="24"/>
          <w:szCs w:val="24"/>
        </w:rPr>
        <w:t xml:space="preserve"> císticos</w:t>
      </w:r>
    </w:p>
    <w:p w14:paraId="45D608FC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 xml:space="preserve">Cisto </w:t>
      </w:r>
      <w:proofErr w:type="spellStart"/>
      <w:r w:rsidRPr="00024B5C">
        <w:rPr>
          <w:sz w:val="24"/>
          <w:szCs w:val="24"/>
        </w:rPr>
        <w:t>tireoglosso</w:t>
      </w:r>
      <w:proofErr w:type="spellEnd"/>
      <w:r w:rsidRPr="00024B5C">
        <w:rPr>
          <w:sz w:val="24"/>
          <w:szCs w:val="24"/>
        </w:rPr>
        <w:t xml:space="preserve">; Cisto </w:t>
      </w:r>
      <w:proofErr w:type="spellStart"/>
      <w:r w:rsidRPr="00024B5C">
        <w:rPr>
          <w:sz w:val="24"/>
          <w:szCs w:val="24"/>
        </w:rPr>
        <w:t>epidermóide</w:t>
      </w:r>
      <w:proofErr w:type="spellEnd"/>
    </w:p>
    <w:p w14:paraId="3F237919" w14:textId="77777777" w:rsidR="00024B5C" w:rsidRPr="00024B5C" w:rsidRDefault="00024B5C" w:rsidP="00097973">
      <w:pPr>
        <w:jc w:val="both"/>
        <w:rPr>
          <w:sz w:val="24"/>
          <w:szCs w:val="24"/>
        </w:rPr>
      </w:pPr>
    </w:p>
    <w:p w14:paraId="4EE9994F" w14:textId="05589F81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ADENITE</w:t>
      </w:r>
      <w:r>
        <w:rPr>
          <w:sz w:val="24"/>
          <w:szCs w:val="24"/>
        </w:rPr>
        <w:t>:</w:t>
      </w:r>
    </w:p>
    <w:p w14:paraId="72AB54BF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 xml:space="preserve">Caso particular de </w:t>
      </w:r>
      <w:proofErr w:type="spellStart"/>
      <w:r w:rsidRPr="00024B5C">
        <w:rPr>
          <w:sz w:val="24"/>
          <w:szCs w:val="24"/>
        </w:rPr>
        <w:t>adenomegalia</w:t>
      </w:r>
      <w:proofErr w:type="spellEnd"/>
      <w:r w:rsidRPr="00024B5C">
        <w:rPr>
          <w:sz w:val="24"/>
          <w:szCs w:val="24"/>
        </w:rPr>
        <w:t xml:space="preserve">; </w:t>
      </w:r>
      <w:proofErr w:type="gramStart"/>
      <w:r w:rsidRPr="00024B5C">
        <w:rPr>
          <w:sz w:val="24"/>
          <w:szCs w:val="24"/>
        </w:rPr>
        <w:t>Geralmente</w:t>
      </w:r>
      <w:proofErr w:type="gramEnd"/>
      <w:r w:rsidRPr="00024B5C">
        <w:rPr>
          <w:sz w:val="24"/>
          <w:szCs w:val="24"/>
        </w:rPr>
        <w:t xml:space="preserve"> de causa infecciosa</w:t>
      </w:r>
    </w:p>
    <w:p w14:paraId="31DF168D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 xml:space="preserve">Inflamação </w:t>
      </w:r>
      <w:proofErr w:type="gramStart"/>
      <w:r w:rsidRPr="00024B5C">
        <w:rPr>
          <w:sz w:val="24"/>
          <w:szCs w:val="24"/>
        </w:rPr>
        <w:t>local  (</w:t>
      </w:r>
      <w:proofErr w:type="gramEnd"/>
      <w:r w:rsidRPr="00024B5C">
        <w:rPr>
          <w:sz w:val="24"/>
          <w:szCs w:val="24"/>
        </w:rPr>
        <w:t>com dor e eritema); Flutuação às vezes</w:t>
      </w:r>
    </w:p>
    <w:p w14:paraId="5671001B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Drenagem de material purulento, ocasionalmente</w:t>
      </w:r>
    </w:p>
    <w:p w14:paraId="481DE054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 xml:space="preserve">Sinais e sintomas sistêmicos (febre, </w:t>
      </w:r>
      <w:proofErr w:type="spellStart"/>
      <w:r w:rsidRPr="00024B5C">
        <w:rPr>
          <w:sz w:val="24"/>
          <w:szCs w:val="24"/>
        </w:rPr>
        <w:t>toxemia</w:t>
      </w:r>
      <w:proofErr w:type="spellEnd"/>
      <w:r w:rsidRPr="00024B5C">
        <w:rPr>
          <w:sz w:val="24"/>
          <w:szCs w:val="24"/>
        </w:rPr>
        <w:t>)</w:t>
      </w:r>
    </w:p>
    <w:p w14:paraId="3D33CC29" w14:textId="77777777" w:rsidR="00024B5C" w:rsidRPr="00024B5C" w:rsidRDefault="00024B5C" w:rsidP="00097973">
      <w:pPr>
        <w:jc w:val="both"/>
        <w:rPr>
          <w:sz w:val="24"/>
          <w:szCs w:val="24"/>
        </w:rPr>
      </w:pPr>
    </w:p>
    <w:p w14:paraId="072C0BFA" w14:textId="159C16B2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DADOS PARA COLHER NA HISTÓRIA</w:t>
      </w:r>
      <w:r>
        <w:rPr>
          <w:sz w:val="24"/>
          <w:szCs w:val="24"/>
        </w:rPr>
        <w:t>:</w:t>
      </w:r>
    </w:p>
    <w:p w14:paraId="3FD42972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Faixa etária</w:t>
      </w:r>
    </w:p>
    <w:p w14:paraId="4946DA06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Estado da dentição</w:t>
      </w:r>
    </w:p>
    <w:p w14:paraId="3E26E954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Contatos com animais</w:t>
      </w:r>
    </w:p>
    <w:p w14:paraId="75D20A7D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Lesões de pele</w:t>
      </w:r>
    </w:p>
    <w:p w14:paraId="15E9487C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lastRenderedPageBreak/>
        <w:t>Presença de esplenomegalia</w:t>
      </w:r>
    </w:p>
    <w:p w14:paraId="318E8641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Perdas de peso</w:t>
      </w:r>
    </w:p>
    <w:p w14:paraId="43C130D9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Contatos com pessoas doentes</w:t>
      </w:r>
    </w:p>
    <w:p w14:paraId="657BC860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Estado vacinal</w:t>
      </w:r>
    </w:p>
    <w:p w14:paraId="58C2F905" w14:textId="77777777" w:rsidR="00024B5C" w:rsidRPr="00024B5C" w:rsidRDefault="00024B5C" w:rsidP="00097973">
      <w:pPr>
        <w:jc w:val="both"/>
        <w:rPr>
          <w:sz w:val="24"/>
          <w:szCs w:val="24"/>
        </w:rPr>
      </w:pPr>
    </w:p>
    <w:p w14:paraId="4AD80F1B" w14:textId="00B8069F" w:rsidR="00024B5C" w:rsidRPr="00024B5C" w:rsidRDefault="00024B5C" w:rsidP="00097973">
      <w:pPr>
        <w:jc w:val="both"/>
        <w:rPr>
          <w:sz w:val="24"/>
          <w:szCs w:val="24"/>
        </w:rPr>
      </w:pPr>
      <w:r>
        <w:rPr>
          <w:sz w:val="24"/>
          <w:szCs w:val="24"/>
        </w:rPr>
        <w:t>PADRÕES DE ADENOMEGALIAS OBSERVADOS HABITUALMENTE:</w:t>
      </w:r>
    </w:p>
    <w:p w14:paraId="5DC853ED" w14:textId="7D804BE3" w:rsidR="00024B5C" w:rsidRPr="00024B5C" w:rsidRDefault="00C12C3E" w:rsidP="00C12C3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Padrão</w:t>
      </w:r>
      <w:r w:rsidR="00024B5C" w:rsidRPr="00024B5C">
        <w:rPr>
          <w:sz w:val="24"/>
          <w:szCs w:val="24"/>
        </w:rPr>
        <w:t xml:space="preserve"> 1: Cervicais benignos recorrentes</w:t>
      </w:r>
    </w:p>
    <w:p w14:paraId="6948921F" w14:textId="6ECF1BAB" w:rsidR="00024B5C" w:rsidRPr="00024B5C" w:rsidRDefault="00024B5C" w:rsidP="00C12C3E">
      <w:pPr>
        <w:ind w:firstLine="720"/>
        <w:jc w:val="both"/>
        <w:rPr>
          <w:sz w:val="24"/>
          <w:szCs w:val="24"/>
        </w:rPr>
      </w:pPr>
      <w:r w:rsidRPr="00024B5C">
        <w:rPr>
          <w:sz w:val="24"/>
          <w:szCs w:val="24"/>
        </w:rPr>
        <w:t>P</w:t>
      </w:r>
      <w:r w:rsidR="00C12C3E">
        <w:rPr>
          <w:sz w:val="24"/>
          <w:szCs w:val="24"/>
        </w:rPr>
        <w:t>adrão</w:t>
      </w:r>
      <w:r w:rsidRPr="00024B5C">
        <w:rPr>
          <w:sz w:val="24"/>
          <w:szCs w:val="24"/>
        </w:rPr>
        <w:t xml:space="preserve"> 2: Cervicais unilaterais agudas</w:t>
      </w:r>
    </w:p>
    <w:p w14:paraId="201AA61A" w14:textId="57F372B7" w:rsidR="00024B5C" w:rsidRPr="00024B5C" w:rsidRDefault="00024B5C" w:rsidP="00C12C3E">
      <w:pPr>
        <w:ind w:firstLine="720"/>
        <w:jc w:val="both"/>
        <w:rPr>
          <w:sz w:val="24"/>
          <w:szCs w:val="24"/>
        </w:rPr>
      </w:pPr>
      <w:r w:rsidRPr="00024B5C">
        <w:rPr>
          <w:sz w:val="24"/>
          <w:szCs w:val="24"/>
        </w:rPr>
        <w:t>P</w:t>
      </w:r>
      <w:r w:rsidR="00C12C3E">
        <w:rPr>
          <w:sz w:val="24"/>
          <w:szCs w:val="24"/>
        </w:rPr>
        <w:t>adrão</w:t>
      </w:r>
      <w:r w:rsidRPr="00024B5C">
        <w:rPr>
          <w:sz w:val="24"/>
          <w:szCs w:val="24"/>
        </w:rPr>
        <w:t xml:space="preserve"> 3: Generalizadas febris com síndrome </w:t>
      </w:r>
      <w:proofErr w:type="spellStart"/>
      <w:r w:rsidRPr="00024B5C">
        <w:rPr>
          <w:sz w:val="24"/>
          <w:szCs w:val="24"/>
        </w:rPr>
        <w:t>mono-like</w:t>
      </w:r>
      <w:proofErr w:type="spellEnd"/>
    </w:p>
    <w:p w14:paraId="3962EA12" w14:textId="3AAA80B1" w:rsidR="00024B5C" w:rsidRPr="00024B5C" w:rsidRDefault="00024B5C" w:rsidP="00C12C3E">
      <w:pPr>
        <w:ind w:firstLine="720"/>
        <w:jc w:val="both"/>
        <w:rPr>
          <w:sz w:val="24"/>
          <w:szCs w:val="24"/>
        </w:rPr>
      </w:pPr>
      <w:r w:rsidRPr="00024B5C">
        <w:rPr>
          <w:sz w:val="24"/>
          <w:szCs w:val="24"/>
        </w:rPr>
        <w:t>P</w:t>
      </w:r>
      <w:r w:rsidR="00C12C3E">
        <w:rPr>
          <w:sz w:val="24"/>
          <w:szCs w:val="24"/>
        </w:rPr>
        <w:t>adrão</w:t>
      </w:r>
      <w:r w:rsidRPr="00024B5C">
        <w:rPr>
          <w:sz w:val="24"/>
          <w:szCs w:val="24"/>
        </w:rPr>
        <w:t xml:space="preserve"> 4: Complicadas (demoradas, ou com sinais de malignidade)</w:t>
      </w:r>
    </w:p>
    <w:p w14:paraId="22BA77FA" w14:textId="77777777" w:rsidR="00024B5C" w:rsidRPr="00024B5C" w:rsidRDefault="00024B5C" w:rsidP="00097973">
      <w:pPr>
        <w:jc w:val="both"/>
        <w:rPr>
          <w:sz w:val="24"/>
          <w:szCs w:val="24"/>
        </w:rPr>
      </w:pPr>
    </w:p>
    <w:p w14:paraId="66997794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Padrão 1 – Cervicais benignos recorrentes</w:t>
      </w:r>
    </w:p>
    <w:p w14:paraId="288D46BA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Criança sadia; ganhando peso; bem corada; lactente ou pré-escolar;</w:t>
      </w:r>
    </w:p>
    <w:p w14:paraId="4EDF1EDE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 xml:space="preserve">Gânglios cervicais bilaterais, pequenos (até 0,5 cm), indolores, múltiplos, móveis, elásticos, não aderidos, sem sinais </w:t>
      </w:r>
      <w:proofErr w:type="spellStart"/>
      <w:r w:rsidRPr="00024B5C">
        <w:rPr>
          <w:sz w:val="24"/>
          <w:szCs w:val="24"/>
        </w:rPr>
        <w:t>flogísticos</w:t>
      </w:r>
      <w:proofErr w:type="spellEnd"/>
      <w:r w:rsidRPr="00024B5C">
        <w:rPr>
          <w:sz w:val="24"/>
          <w:szCs w:val="24"/>
        </w:rPr>
        <w:t>;</w:t>
      </w:r>
    </w:p>
    <w:p w14:paraId="60B0078F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Recorrentes: reaparecem a cada episódio de infecção de vias aéreas;</w:t>
      </w:r>
    </w:p>
    <w:p w14:paraId="5C1EDBC7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A tranquilidade e a certeza de que são benignos decorre de os gânglios desaparecerem ou diminuírem até ressurgirem novamente;</w:t>
      </w:r>
    </w:p>
    <w:p w14:paraId="26E2518A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A conduta é expectante, com obrigatório seguimento da criança; se houver muita pressão e ansiedade, pode ser solicitado um hemograma, que para concretizar o padrão 1, tem que ser normal;</w:t>
      </w:r>
    </w:p>
    <w:p w14:paraId="535ED25B" w14:textId="77777777" w:rsidR="00024B5C" w:rsidRPr="00024B5C" w:rsidRDefault="00024B5C" w:rsidP="00097973">
      <w:pPr>
        <w:jc w:val="both"/>
        <w:rPr>
          <w:sz w:val="24"/>
          <w:szCs w:val="24"/>
        </w:rPr>
      </w:pPr>
    </w:p>
    <w:p w14:paraId="77B8C1E0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Padrão 2 – Cervicais unilaterais agudas</w:t>
      </w:r>
    </w:p>
    <w:p w14:paraId="05F29FE5" w14:textId="2EE2BA8F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 xml:space="preserve">É o padrão típico da adenite. Geralmente a adenite é cervical. Geralmente ocorre em pré-escolares e lactentes. É mais rara em escolares. A adenite causa sinais e sintomas sistêmicos, com febre, leucocitose, desvio à esquerda, e </w:t>
      </w:r>
      <w:proofErr w:type="spellStart"/>
      <w:r w:rsidRPr="00024B5C">
        <w:rPr>
          <w:sz w:val="24"/>
          <w:szCs w:val="24"/>
        </w:rPr>
        <w:t>toxemia</w:t>
      </w:r>
      <w:proofErr w:type="spellEnd"/>
      <w:r w:rsidRPr="00024B5C">
        <w:rPr>
          <w:sz w:val="24"/>
          <w:szCs w:val="24"/>
        </w:rPr>
        <w:t xml:space="preserve">. Localmente ocorre dor, rubor, calor, edema quente, endurecimento no local do(s) </w:t>
      </w:r>
      <w:proofErr w:type="spellStart"/>
      <w:r w:rsidRPr="00024B5C">
        <w:rPr>
          <w:sz w:val="24"/>
          <w:szCs w:val="24"/>
        </w:rPr>
        <w:t>gângli</w:t>
      </w:r>
      <w:proofErr w:type="spellEnd"/>
      <w:r w:rsidRPr="00024B5C">
        <w:rPr>
          <w:sz w:val="24"/>
          <w:szCs w:val="24"/>
        </w:rPr>
        <w:t xml:space="preserve">(os) e a possibilidade de envolvimento de uma massa ganglionar. Pode ocorrer a formação de pus no interior dos gânglios, os quais passam a comportar-se como abscessos, com melhora após drenagem ou, mais lentamente, após reabsorção. Na adenite, a segurança e a certeza de benignidade acontece com a redução do gânglio na vigência de tratamento com antibióticos; como quase sempre a etiologia é </w:t>
      </w:r>
      <w:proofErr w:type="spellStart"/>
      <w:r w:rsidRPr="00024B5C">
        <w:rPr>
          <w:sz w:val="24"/>
          <w:szCs w:val="24"/>
        </w:rPr>
        <w:t>estafilocóccica</w:t>
      </w:r>
      <w:proofErr w:type="spellEnd"/>
      <w:r w:rsidRPr="00024B5C">
        <w:rPr>
          <w:sz w:val="24"/>
          <w:szCs w:val="24"/>
        </w:rPr>
        <w:t xml:space="preserve"> ou </w:t>
      </w:r>
      <w:proofErr w:type="spellStart"/>
      <w:r w:rsidRPr="00024B5C">
        <w:rPr>
          <w:sz w:val="24"/>
          <w:szCs w:val="24"/>
        </w:rPr>
        <w:t>estreptocóccica</w:t>
      </w:r>
      <w:proofErr w:type="spellEnd"/>
      <w:r w:rsidRPr="00024B5C">
        <w:rPr>
          <w:sz w:val="24"/>
          <w:szCs w:val="24"/>
        </w:rPr>
        <w:t xml:space="preserve"> (GAS), opta-se por uma cefalosporina de 1ª geração (</w:t>
      </w:r>
      <w:proofErr w:type="spellStart"/>
      <w:r w:rsidRPr="00024B5C">
        <w:rPr>
          <w:sz w:val="24"/>
          <w:szCs w:val="24"/>
        </w:rPr>
        <w:t>cefazolina</w:t>
      </w:r>
      <w:proofErr w:type="spellEnd"/>
      <w:r w:rsidRPr="00024B5C">
        <w:rPr>
          <w:sz w:val="24"/>
          <w:szCs w:val="24"/>
        </w:rPr>
        <w:t xml:space="preserve"> seguida de/ou </w:t>
      </w:r>
      <w:proofErr w:type="spellStart"/>
      <w:r w:rsidRPr="00024B5C">
        <w:rPr>
          <w:sz w:val="24"/>
          <w:szCs w:val="24"/>
        </w:rPr>
        <w:t>cefalexina</w:t>
      </w:r>
      <w:proofErr w:type="spellEnd"/>
      <w:r w:rsidRPr="00024B5C">
        <w:rPr>
          <w:sz w:val="24"/>
          <w:szCs w:val="24"/>
        </w:rPr>
        <w:t xml:space="preserve">); menos comumente, pode ocorrer casos de </w:t>
      </w:r>
      <w:proofErr w:type="spellStart"/>
      <w:r w:rsidRPr="00024B5C">
        <w:rPr>
          <w:sz w:val="24"/>
          <w:szCs w:val="24"/>
        </w:rPr>
        <w:t>adenomegalia</w:t>
      </w:r>
      <w:proofErr w:type="spellEnd"/>
      <w:r w:rsidRPr="00024B5C">
        <w:rPr>
          <w:sz w:val="24"/>
          <w:szCs w:val="24"/>
        </w:rPr>
        <w:t xml:space="preserve"> com </w:t>
      </w:r>
      <w:proofErr w:type="spellStart"/>
      <w:r w:rsidRPr="00024B5C">
        <w:rPr>
          <w:sz w:val="24"/>
          <w:szCs w:val="24"/>
        </w:rPr>
        <w:t>rinossinusite</w:t>
      </w:r>
      <w:proofErr w:type="spellEnd"/>
      <w:r w:rsidRPr="00024B5C">
        <w:rPr>
          <w:sz w:val="24"/>
          <w:szCs w:val="24"/>
        </w:rPr>
        <w:t xml:space="preserve">, quando o melhor é </w:t>
      </w:r>
      <w:proofErr w:type="spellStart"/>
      <w:r w:rsidRPr="00024B5C">
        <w:rPr>
          <w:sz w:val="24"/>
          <w:szCs w:val="24"/>
        </w:rPr>
        <w:t>ceftriaxona</w:t>
      </w:r>
      <w:proofErr w:type="spellEnd"/>
      <w:r w:rsidRPr="00024B5C">
        <w:rPr>
          <w:sz w:val="24"/>
          <w:szCs w:val="24"/>
        </w:rPr>
        <w:t xml:space="preserve"> ou ampicilina-</w:t>
      </w:r>
      <w:proofErr w:type="spellStart"/>
      <w:r w:rsidRPr="00024B5C">
        <w:rPr>
          <w:sz w:val="24"/>
          <w:szCs w:val="24"/>
        </w:rPr>
        <w:t>sulbactam</w:t>
      </w:r>
      <w:proofErr w:type="spellEnd"/>
      <w:r w:rsidRPr="00024B5C">
        <w:rPr>
          <w:sz w:val="24"/>
          <w:szCs w:val="24"/>
        </w:rPr>
        <w:t xml:space="preserve"> se forem internados (estes pacientes apresentam-se como: respiradores bucais, com roncos noturnos, tosse há semanas, catarro antigo em vias aéreas superiores, olheiras, velamento de seios maxilares ao RX, velamento da coluna aérea do </w:t>
      </w:r>
      <w:proofErr w:type="spellStart"/>
      <w:r w:rsidRPr="00024B5C">
        <w:rPr>
          <w:sz w:val="24"/>
          <w:szCs w:val="24"/>
        </w:rPr>
        <w:t>cavum</w:t>
      </w:r>
      <w:proofErr w:type="spellEnd"/>
      <w:r w:rsidRPr="00024B5C">
        <w:rPr>
          <w:sz w:val="24"/>
          <w:szCs w:val="24"/>
        </w:rPr>
        <w:t xml:space="preserve"> por hipertrofia de adenoides). Neste padrão de </w:t>
      </w:r>
      <w:proofErr w:type="spellStart"/>
      <w:r w:rsidRPr="00024B5C">
        <w:rPr>
          <w:sz w:val="24"/>
          <w:szCs w:val="24"/>
        </w:rPr>
        <w:t>adenomegalia</w:t>
      </w:r>
      <w:proofErr w:type="spellEnd"/>
      <w:r w:rsidRPr="00024B5C">
        <w:rPr>
          <w:sz w:val="24"/>
          <w:szCs w:val="24"/>
        </w:rPr>
        <w:t xml:space="preserve">, solicita-se apenas hemograma pela urgência. Se o gânglio estiver reduzindo com os antibióticos e, se não </w:t>
      </w:r>
      <w:r w:rsidRPr="00024B5C">
        <w:rPr>
          <w:sz w:val="24"/>
          <w:szCs w:val="24"/>
        </w:rPr>
        <w:lastRenderedPageBreak/>
        <w:t xml:space="preserve">houver alterações grosseiras (anemia com </w:t>
      </w:r>
      <w:proofErr w:type="spellStart"/>
      <w:r w:rsidRPr="00024B5C">
        <w:rPr>
          <w:sz w:val="24"/>
          <w:szCs w:val="24"/>
        </w:rPr>
        <w:t>hto</w:t>
      </w:r>
      <w:proofErr w:type="spellEnd"/>
      <w:r w:rsidRPr="00024B5C">
        <w:rPr>
          <w:sz w:val="24"/>
          <w:szCs w:val="24"/>
        </w:rPr>
        <w:t xml:space="preserve"> &lt; 27%; plaquetopenia; leucopenia; blastos), dá-se o caso por resolvido. Não esqueça de prescrever </w:t>
      </w:r>
      <w:proofErr w:type="spellStart"/>
      <w:r w:rsidRPr="00024B5C">
        <w:rPr>
          <w:sz w:val="24"/>
          <w:szCs w:val="24"/>
        </w:rPr>
        <w:t>budesonida</w:t>
      </w:r>
      <w:proofErr w:type="spellEnd"/>
      <w:r w:rsidRPr="00024B5C">
        <w:rPr>
          <w:sz w:val="24"/>
          <w:szCs w:val="24"/>
        </w:rPr>
        <w:t xml:space="preserve"> nasal!</w:t>
      </w:r>
    </w:p>
    <w:p w14:paraId="47ECCEDC" w14:textId="77777777" w:rsidR="00024B5C" w:rsidRPr="00024B5C" w:rsidRDefault="00024B5C" w:rsidP="00097973">
      <w:pPr>
        <w:jc w:val="both"/>
        <w:rPr>
          <w:sz w:val="24"/>
          <w:szCs w:val="24"/>
        </w:rPr>
      </w:pPr>
    </w:p>
    <w:p w14:paraId="62C8B060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Padrão 3 – Generalizadas febris, mononucleose-like</w:t>
      </w:r>
    </w:p>
    <w:p w14:paraId="482346A4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 xml:space="preserve">São </w:t>
      </w:r>
      <w:proofErr w:type="spellStart"/>
      <w:r w:rsidRPr="00024B5C">
        <w:rPr>
          <w:sz w:val="24"/>
          <w:szCs w:val="24"/>
        </w:rPr>
        <w:t>adenomegalias</w:t>
      </w:r>
      <w:proofErr w:type="spellEnd"/>
      <w:r w:rsidRPr="00024B5C">
        <w:rPr>
          <w:sz w:val="24"/>
          <w:szCs w:val="24"/>
        </w:rPr>
        <w:t xml:space="preserve"> que fazem parte de uma síndrome maior; ocorrem alguns dos seguintes achados: febre, hepatoesplenomegalia, exantema; edema palpebral simétrico, exsudato amigdaliano, linfocitose atípica, pouca elevação de transaminases, aumento de DHL na faixa de 1000 a 1500. Nestes pacientes, é importante a pesquisa sorológica abrangente, além de </w:t>
      </w:r>
    </w:p>
    <w:p w14:paraId="0C59CD69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Hemograma pelo Banco de Sangue; VHS; DHL; Sorologias (ELISA):</w:t>
      </w:r>
      <w:proofErr w:type="spellStart"/>
      <w:r w:rsidRPr="00024B5C">
        <w:rPr>
          <w:sz w:val="24"/>
          <w:szCs w:val="24"/>
        </w:rPr>
        <w:t>Toxo</w:t>
      </w:r>
      <w:proofErr w:type="spellEnd"/>
      <w:r w:rsidRPr="00024B5C">
        <w:rPr>
          <w:sz w:val="24"/>
          <w:szCs w:val="24"/>
        </w:rPr>
        <w:t xml:space="preserve">; CMV; EBV-Capsídeo Viral; HIV. Além de: PPD; </w:t>
      </w:r>
      <w:proofErr w:type="spellStart"/>
      <w:r w:rsidRPr="00024B5C">
        <w:rPr>
          <w:sz w:val="24"/>
          <w:szCs w:val="24"/>
        </w:rPr>
        <w:t>Rx</w:t>
      </w:r>
      <w:proofErr w:type="spellEnd"/>
      <w:r w:rsidRPr="00024B5C">
        <w:rPr>
          <w:sz w:val="24"/>
          <w:szCs w:val="24"/>
        </w:rPr>
        <w:t xml:space="preserve"> (ou TC) de tórax. Novamente, há certa tranquilidade em verificar que houve redução dos gânglios a dado momento da doença, o que diminui o risco de malignidade.</w:t>
      </w:r>
    </w:p>
    <w:p w14:paraId="6C29E1B9" w14:textId="77777777" w:rsidR="00024B5C" w:rsidRPr="00024B5C" w:rsidRDefault="00024B5C" w:rsidP="00097973">
      <w:pPr>
        <w:jc w:val="both"/>
        <w:rPr>
          <w:sz w:val="24"/>
          <w:szCs w:val="24"/>
        </w:rPr>
      </w:pPr>
    </w:p>
    <w:p w14:paraId="1DC57955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Padrão 4 – Complicadas</w:t>
      </w:r>
    </w:p>
    <w:p w14:paraId="3BCC86EC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 xml:space="preserve">São </w:t>
      </w:r>
      <w:proofErr w:type="spellStart"/>
      <w:r w:rsidRPr="00024B5C">
        <w:rPr>
          <w:sz w:val="24"/>
          <w:szCs w:val="24"/>
        </w:rPr>
        <w:t>adenomegalias</w:t>
      </w:r>
      <w:proofErr w:type="spellEnd"/>
      <w:r w:rsidRPr="00024B5C">
        <w:rPr>
          <w:sz w:val="24"/>
          <w:szCs w:val="24"/>
        </w:rPr>
        <w:t xml:space="preserve"> com gânglios crônicos (&gt; 8 semanas) ou de rápido crescimento sem sinais </w:t>
      </w:r>
      <w:proofErr w:type="spellStart"/>
      <w:r w:rsidRPr="00024B5C">
        <w:rPr>
          <w:sz w:val="24"/>
          <w:szCs w:val="24"/>
        </w:rPr>
        <w:t>flogísticos</w:t>
      </w:r>
      <w:proofErr w:type="spellEnd"/>
      <w:r w:rsidRPr="00024B5C">
        <w:rPr>
          <w:sz w:val="24"/>
          <w:szCs w:val="24"/>
        </w:rPr>
        <w:t>, ou com sinais de malignidade, ou que preocupam a família ou o médico com a possibilidade de malignidade. Nestes casos, está indicada a biópsia do gânglio. O paciente deverá ser internado para investigação e, enquanto se batalha para conseguir a biópsia, solicitam-se os exames de sorologia e imagem do padrão 3, além de hemograma e DHL seriados.</w:t>
      </w:r>
    </w:p>
    <w:p w14:paraId="3060EBCB" w14:textId="77777777" w:rsidR="00024B5C" w:rsidRPr="00024B5C" w:rsidRDefault="00024B5C" w:rsidP="00097973">
      <w:pPr>
        <w:jc w:val="both"/>
        <w:rPr>
          <w:sz w:val="24"/>
          <w:szCs w:val="24"/>
        </w:rPr>
      </w:pPr>
    </w:p>
    <w:p w14:paraId="11429F58" w14:textId="04AD4C83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SINAIS DE ALERTA PARA MALIGNIDADE</w:t>
      </w:r>
    </w:p>
    <w:p w14:paraId="43E7A938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 xml:space="preserve">Palidez </w:t>
      </w:r>
      <w:proofErr w:type="spellStart"/>
      <w:r w:rsidRPr="00024B5C">
        <w:rPr>
          <w:sz w:val="24"/>
          <w:szCs w:val="24"/>
        </w:rPr>
        <w:t>cutâneomucosa</w:t>
      </w:r>
      <w:proofErr w:type="spellEnd"/>
      <w:r w:rsidRPr="00024B5C">
        <w:rPr>
          <w:sz w:val="24"/>
          <w:szCs w:val="24"/>
        </w:rPr>
        <w:t xml:space="preserve"> ou anemia moderadas;</w:t>
      </w:r>
    </w:p>
    <w:p w14:paraId="2953904D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Febre persistente;</w:t>
      </w:r>
    </w:p>
    <w:p w14:paraId="05D3B457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Emagrecimento;</w:t>
      </w:r>
    </w:p>
    <w:p w14:paraId="25BA2355" w14:textId="77777777" w:rsidR="00024B5C" w:rsidRPr="00024B5C" w:rsidRDefault="00024B5C" w:rsidP="00097973">
      <w:pPr>
        <w:jc w:val="both"/>
        <w:rPr>
          <w:sz w:val="24"/>
          <w:szCs w:val="24"/>
        </w:rPr>
      </w:pPr>
      <w:proofErr w:type="spellStart"/>
      <w:r w:rsidRPr="00024B5C">
        <w:rPr>
          <w:sz w:val="24"/>
          <w:szCs w:val="24"/>
        </w:rPr>
        <w:t>Hepato</w:t>
      </w:r>
      <w:proofErr w:type="spellEnd"/>
      <w:r w:rsidRPr="00024B5C">
        <w:rPr>
          <w:sz w:val="24"/>
          <w:szCs w:val="24"/>
        </w:rPr>
        <w:t xml:space="preserve"> e/ou Esplenomegalia acentuadas e persistentes;</w:t>
      </w:r>
    </w:p>
    <w:p w14:paraId="70EA306B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Gânglios: aderidos; coalescentes;</w:t>
      </w:r>
    </w:p>
    <w:p w14:paraId="63507015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ab/>
        <w:t>Endurecidos, com consistência lenhosa ou pétrea;</w:t>
      </w:r>
    </w:p>
    <w:p w14:paraId="1FE8AF2C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ab/>
      </w:r>
      <w:proofErr w:type="spellStart"/>
      <w:r w:rsidRPr="00024B5C">
        <w:rPr>
          <w:sz w:val="24"/>
          <w:szCs w:val="24"/>
        </w:rPr>
        <w:t>Supraclaviculares</w:t>
      </w:r>
      <w:proofErr w:type="spellEnd"/>
      <w:r w:rsidRPr="00024B5C">
        <w:rPr>
          <w:sz w:val="24"/>
          <w:szCs w:val="24"/>
        </w:rPr>
        <w:t xml:space="preserve"> ou ilíacos;</w:t>
      </w:r>
    </w:p>
    <w:p w14:paraId="3C94E0C9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ab/>
        <w:t>DHL acima de 2000 ou VHS acima de 100;</w:t>
      </w:r>
    </w:p>
    <w:p w14:paraId="36804288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ab/>
        <w:t>Envolvimento mediastinal no RX de tórax.</w:t>
      </w:r>
    </w:p>
    <w:p w14:paraId="71852821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Indicações formais de biópsia</w:t>
      </w:r>
    </w:p>
    <w:p w14:paraId="1C617A31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 xml:space="preserve">Gânglio </w:t>
      </w:r>
      <w:proofErr w:type="spellStart"/>
      <w:r w:rsidRPr="00024B5C">
        <w:rPr>
          <w:sz w:val="24"/>
          <w:szCs w:val="24"/>
        </w:rPr>
        <w:t>supraclavicular</w:t>
      </w:r>
      <w:proofErr w:type="spellEnd"/>
      <w:r w:rsidRPr="00024B5C">
        <w:rPr>
          <w:sz w:val="24"/>
          <w:szCs w:val="24"/>
        </w:rPr>
        <w:t>;</w:t>
      </w:r>
    </w:p>
    <w:p w14:paraId="62997B8C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Massas de crescimento rápido sem diagnóstico confirmado;</w:t>
      </w:r>
    </w:p>
    <w:p w14:paraId="35258A38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Gânglios endurecidos ou aderidos a outros planos;</w:t>
      </w:r>
    </w:p>
    <w:p w14:paraId="7C345072" w14:textId="77777777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 xml:space="preserve">Ausência de sinais </w:t>
      </w:r>
      <w:proofErr w:type="spellStart"/>
      <w:r w:rsidRPr="00024B5C">
        <w:rPr>
          <w:sz w:val="24"/>
          <w:szCs w:val="24"/>
        </w:rPr>
        <w:t>flogísticos</w:t>
      </w:r>
      <w:proofErr w:type="spellEnd"/>
      <w:r w:rsidRPr="00024B5C">
        <w:rPr>
          <w:sz w:val="24"/>
          <w:szCs w:val="24"/>
        </w:rPr>
        <w:t xml:space="preserve"> em massa ganglionar;</w:t>
      </w:r>
    </w:p>
    <w:p w14:paraId="7DFF17E7" w14:textId="77777777" w:rsidR="00024B5C" w:rsidRPr="00024B5C" w:rsidRDefault="00024B5C" w:rsidP="00097973">
      <w:pPr>
        <w:jc w:val="both"/>
        <w:rPr>
          <w:sz w:val="24"/>
          <w:szCs w:val="24"/>
        </w:rPr>
      </w:pPr>
      <w:proofErr w:type="spellStart"/>
      <w:r w:rsidRPr="00024B5C">
        <w:rPr>
          <w:sz w:val="24"/>
          <w:szCs w:val="24"/>
        </w:rPr>
        <w:t>Adenomegalia</w:t>
      </w:r>
      <w:proofErr w:type="spellEnd"/>
      <w:r w:rsidRPr="00024B5C">
        <w:rPr>
          <w:sz w:val="24"/>
          <w:szCs w:val="24"/>
        </w:rPr>
        <w:t xml:space="preserve"> que incomoda por mais de 8 semanas.</w:t>
      </w:r>
    </w:p>
    <w:p w14:paraId="3E44E7BD" w14:textId="77777777" w:rsidR="00024B5C" w:rsidRPr="00024B5C" w:rsidRDefault="00024B5C" w:rsidP="00024B5C">
      <w:pPr>
        <w:rPr>
          <w:sz w:val="24"/>
          <w:szCs w:val="24"/>
        </w:rPr>
      </w:pPr>
    </w:p>
    <w:p w14:paraId="1FA979E0" w14:textId="77777777" w:rsidR="00024B5C" w:rsidRDefault="00024B5C" w:rsidP="00024B5C">
      <w:pPr>
        <w:rPr>
          <w:sz w:val="24"/>
          <w:szCs w:val="24"/>
        </w:rPr>
      </w:pPr>
    </w:p>
    <w:p w14:paraId="43B53894" w14:textId="61E3C041" w:rsidR="00024B5C" w:rsidRDefault="00024B5C" w:rsidP="00024B5C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CONDUÇÃO APÓS IDENTIFICAÇÃO DO PADRÃO DA ADENOMEGALIA</w:t>
      </w:r>
    </w:p>
    <w:p w14:paraId="32EA4EF4" w14:textId="77777777" w:rsidR="00024B5C" w:rsidRDefault="00024B5C" w:rsidP="00024B5C">
      <w:pPr>
        <w:rPr>
          <w:sz w:val="24"/>
          <w:szCs w:val="24"/>
        </w:rPr>
      </w:pPr>
    </w:p>
    <w:p w14:paraId="67405B31" w14:textId="19B6D879" w:rsidR="00024B5C" w:rsidRDefault="00024B5C" w:rsidP="00024B5C">
      <w:pPr>
        <w:rPr>
          <w:sz w:val="24"/>
          <w:szCs w:val="24"/>
        </w:rPr>
      </w:pPr>
      <w:r>
        <w:rPr>
          <w:noProof/>
          <w:szCs w:val="16"/>
        </w:rPr>
        <w:drawing>
          <wp:inline distT="0" distB="0" distL="0" distR="0" wp14:anchorId="2F11FA31" wp14:editId="600C8580">
            <wp:extent cx="6143625" cy="3164388"/>
            <wp:effectExtent l="19050" t="19050" r="9525" b="171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50" b="5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331" cy="316681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538F90" w14:textId="4990106E" w:rsidR="007C6EB8" w:rsidRPr="007C6EB8" w:rsidRDefault="007C6EB8" w:rsidP="00024B5C">
      <w:pPr>
        <w:rPr>
          <w:sz w:val="20"/>
          <w:szCs w:val="24"/>
        </w:rPr>
      </w:pPr>
      <w:r w:rsidRPr="007C6EB8">
        <w:rPr>
          <w:sz w:val="20"/>
          <w:szCs w:val="24"/>
        </w:rPr>
        <w:t>HC = Hemograma completo; IVAS = infecção de vias aéreas superiores</w:t>
      </w:r>
    </w:p>
    <w:p w14:paraId="6DA520A6" w14:textId="77777777" w:rsidR="00024B5C" w:rsidRDefault="00024B5C" w:rsidP="00024B5C">
      <w:pPr>
        <w:rPr>
          <w:sz w:val="24"/>
          <w:szCs w:val="24"/>
        </w:rPr>
      </w:pPr>
    </w:p>
    <w:p w14:paraId="6977F44D" w14:textId="3F40852B" w:rsidR="00EB3820" w:rsidRDefault="00EB3820" w:rsidP="00EB3820">
      <w:pPr>
        <w:jc w:val="both"/>
        <w:rPr>
          <w:sz w:val="24"/>
          <w:szCs w:val="24"/>
        </w:rPr>
      </w:pPr>
      <w:r w:rsidRPr="00EB3820">
        <w:rPr>
          <w:sz w:val="24"/>
          <w:szCs w:val="24"/>
        </w:rPr>
        <w:t>CRITÉRIOS DE INTERNAÇÃO: por razões locais que são específicas do nosso serviço, recomendamos internar as crianças com os padrões 3 ou 4 para facilitar a condução dos casos. Em qualquer contexto, devem ser internadas as crianças com estado geral comprometido, em especial as menores de 2 anos; Intolerância à medicação oral ou falha de tratamento oral prévio também são motivos de internação.</w:t>
      </w:r>
    </w:p>
    <w:p w14:paraId="39E429C1" w14:textId="77777777" w:rsidR="00EB3820" w:rsidRDefault="00EB3820" w:rsidP="00024B5C">
      <w:pPr>
        <w:rPr>
          <w:sz w:val="24"/>
          <w:szCs w:val="24"/>
        </w:rPr>
      </w:pPr>
    </w:p>
    <w:p w14:paraId="469A7456" w14:textId="0FF0247C" w:rsidR="007C6EB8" w:rsidRDefault="007C6EB8" w:rsidP="00024B5C">
      <w:pPr>
        <w:rPr>
          <w:sz w:val="24"/>
          <w:szCs w:val="24"/>
        </w:rPr>
      </w:pPr>
      <w:r>
        <w:rPr>
          <w:sz w:val="24"/>
          <w:szCs w:val="24"/>
        </w:rPr>
        <w:t>TRATAMENTO ESPECÍFICO DE PACIENTES COM ADENITE BACTERIANA</w:t>
      </w:r>
    </w:p>
    <w:p w14:paraId="4F68C370" w14:textId="0AE68DAC" w:rsidR="00CE2FAB" w:rsidRDefault="00656069" w:rsidP="00656069">
      <w:pPr>
        <w:rPr>
          <w:sz w:val="24"/>
          <w:szCs w:val="24"/>
        </w:rPr>
      </w:pPr>
      <w:r w:rsidRPr="00656069">
        <w:rPr>
          <w:sz w:val="24"/>
          <w:szCs w:val="24"/>
        </w:rPr>
        <w:t>1ª escolha:</w:t>
      </w:r>
      <w:r w:rsidR="00EB3820">
        <w:rPr>
          <w:sz w:val="24"/>
          <w:szCs w:val="24"/>
        </w:rPr>
        <w:t xml:space="preserve"> </w:t>
      </w:r>
      <w:r w:rsidR="00CE2FAB">
        <w:rPr>
          <w:sz w:val="24"/>
          <w:szCs w:val="24"/>
        </w:rPr>
        <w:tab/>
      </w:r>
      <w:r w:rsidR="00EB3820">
        <w:rPr>
          <w:sz w:val="24"/>
          <w:szCs w:val="24"/>
        </w:rPr>
        <w:t>EV</w:t>
      </w:r>
      <w:r w:rsidRPr="00656069">
        <w:rPr>
          <w:sz w:val="24"/>
          <w:szCs w:val="24"/>
        </w:rPr>
        <w:t xml:space="preserve"> </w:t>
      </w:r>
      <w:proofErr w:type="spellStart"/>
      <w:r w:rsidRPr="00656069">
        <w:rPr>
          <w:sz w:val="24"/>
          <w:szCs w:val="24"/>
        </w:rPr>
        <w:t>cefazolina</w:t>
      </w:r>
      <w:proofErr w:type="spellEnd"/>
      <w:r w:rsidRPr="00656069">
        <w:rPr>
          <w:sz w:val="24"/>
          <w:szCs w:val="24"/>
        </w:rPr>
        <w:t xml:space="preserve"> 100 mg/kg/dia de 6/6h</w:t>
      </w:r>
      <w:r w:rsidR="00EB3820">
        <w:rPr>
          <w:sz w:val="24"/>
          <w:szCs w:val="24"/>
        </w:rPr>
        <w:t xml:space="preserve"> ou</w:t>
      </w:r>
    </w:p>
    <w:p w14:paraId="53E1A9FE" w14:textId="011E8525" w:rsidR="00656069" w:rsidRPr="00656069" w:rsidRDefault="00EB3820" w:rsidP="00CE2FA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VO </w:t>
      </w:r>
      <w:proofErr w:type="spellStart"/>
      <w:r w:rsidR="00CE2FAB">
        <w:rPr>
          <w:color w:val="000000"/>
        </w:rPr>
        <w:t>cefalexina</w:t>
      </w:r>
      <w:proofErr w:type="spellEnd"/>
      <w:r w:rsidR="00CE2FAB">
        <w:rPr>
          <w:color w:val="000000"/>
        </w:rPr>
        <w:t xml:space="preserve"> 50 a 100 mg/kg/dia de 6/6h</w:t>
      </w:r>
    </w:p>
    <w:p w14:paraId="4707C3D2" w14:textId="0CD530B5" w:rsidR="007C6EB8" w:rsidRDefault="00656069" w:rsidP="00CE2FAB">
      <w:pPr>
        <w:jc w:val="both"/>
        <w:rPr>
          <w:sz w:val="24"/>
          <w:szCs w:val="24"/>
        </w:rPr>
      </w:pPr>
      <w:r w:rsidRPr="00656069">
        <w:rPr>
          <w:sz w:val="24"/>
          <w:szCs w:val="24"/>
        </w:rPr>
        <w:t>2ª escolha: clindamicina 10 mg/kg/dose de 8/8h ou 6/6h</w:t>
      </w:r>
      <w:r w:rsidR="00CE2FAB">
        <w:rPr>
          <w:sz w:val="24"/>
          <w:szCs w:val="24"/>
        </w:rPr>
        <w:t>. A clindamicina deve ser administrada preferencialmente por via venosa. A formulação oral manipulada pode ser tentada, mas é mais apropriada para terminar os tratamentos iniciados por via venosa, uma vez que dão muita dispepsia e o sabor é muito amargo.</w:t>
      </w:r>
    </w:p>
    <w:p w14:paraId="0AB470AF" w14:textId="77777777" w:rsidR="007C6EB8" w:rsidRDefault="007C6EB8" w:rsidP="00024B5C">
      <w:pPr>
        <w:rPr>
          <w:sz w:val="24"/>
          <w:szCs w:val="24"/>
        </w:rPr>
      </w:pPr>
    </w:p>
    <w:p w14:paraId="747B0A02" w14:textId="6053419B" w:rsidR="00024B5C" w:rsidRPr="00024B5C" w:rsidRDefault="00024B5C" w:rsidP="00024B5C">
      <w:pPr>
        <w:rPr>
          <w:sz w:val="24"/>
          <w:szCs w:val="24"/>
        </w:rPr>
      </w:pPr>
      <w:r>
        <w:rPr>
          <w:sz w:val="24"/>
          <w:szCs w:val="24"/>
        </w:rPr>
        <w:t>CASOS QUE NÃO SE ENCAIXAM NOS PADRÕES DESCRITOS:</w:t>
      </w:r>
    </w:p>
    <w:p w14:paraId="22BC6390" w14:textId="60B62446" w:rsidR="00024B5C" w:rsidRPr="00024B5C" w:rsidRDefault="00024B5C" w:rsidP="00097973">
      <w:pPr>
        <w:jc w:val="both"/>
        <w:rPr>
          <w:sz w:val="24"/>
          <w:szCs w:val="24"/>
        </w:rPr>
      </w:pPr>
      <w:r w:rsidRPr="00024B5C">
        <w:rPr>
          <w:sz w:val="24"/>
          <w:szCs w:val="24"/>
        </w:rPr>
        <w:t>A maioria dos pacientes vai enquadrar-se em um dos padrões descritos</w:t>
      </w:r>
      <w:r>
        <w:rPr>
          <w:sz w:val="24"/>
          <w:szCs w:val="24"/>
        </w:rPr>
        <w:t>, mas nem todos. Por isso, o</w:t>
      </w:r>
      <w:r w:rsidRPr="00024B5C">
        <w:rPr>
          <w:sz w:val="24"/>
          <w:szCs w:val="24"/>
        </w:rPr>
        <w:t xml:space="preserve"> seguimento é indispensável</w:t>
      </w:r>
      <w:r>
        <w:rPr>
          <w:sz w:val="24"/>
          <w:szCs w:val="24"/>
        </w:rPr>
        <w:t>. P</w:t>
      </w:r>
      <w:r w:rsidRPr="00024B5C">
        <w:rPr>
          <w:sz w:val="24"/>
          <w:szCs w:val="24"/>
        </w:rPr>
        <w:t>ensar nas muitas etiologias possíveis</w:t>
      </w:r>
      <w:r>
        <w:rPr>
          <w:sz w:val="24"/>
          <w:szCs w:val="24"/>
        </w:rPr>
        <w:t xml:space="preserve"> é também muito importante para o diagnóstico</w:t>
      </w:r>
      <w:r w:rsidR="007C6EB8">
        <w:rPr>
          <w:sz w:val="24"/>
          <w:szCs w:val="24"/>
        </w:rPr>
        <w:t>.</w:t>
      </w:r>
      <w:r>
        <w:rPr>
          <w:sz w:val="24"/>
          <w:szCs w:val="24"/>
        </w:rPr>
        <w:t xml:space="preserve"> Em todos os casos s</w:t>
      </w:r>
      <w:r w:rsidRPr="00024B5C">
        <w:rPr>
          <w:sz w:val="24"/>
          <w:szCs w:val="24"/>
        </w:rPr>
        <w:t>ão necessários anamnese e exame físico minuciosos</w:t>
      </w:r>
      <w:r>
        <w:rPr>
          <w:sz w:val="24"/>
          <w:szCs w:val="24"/>
        </w:rPr>
        <w:t xml:space="preserve"> </w:t>
      </w:r>
      <w:r w:rsidRPr="00024B5C">
        <w:rPr>
          <w:sz w:val="24"/>
          <w:szCs w:val="24"/>
        </w:rPr>
        <w:t>e</w:t>
      </w:r>
      <w:r>
        <w:rPr>
          <w:sz w:val="24"/>
          <w:szCs w:val="24"/>
        </w:rPr>
        <w:t xml:space="preserve"> e</w:t>
      </w:r>
      <w:r w:rsidRPr="00024B5C">
        <w:rPr>
          <w:sz w:val="24"/>
          <w:szCs w:val="24"/>
        </w:rPr>
        <w:t>xames complementares bem indicados, de forma gradativa.</w:t>
      </w:r>
    </w:p>
    <w:p w14:paraId="00000012" w14:textId="77777777" w:rsidR="00841CF2" w:rsidRDefault="00841CF2">
      <w:pPr>
        <w:rPr>
          <w:sz w:val="24"/>
          <w:szCs w:val="24"/>
        </w:rPr>
      </w:pPr>
    </w:p>
    <w:p w14:paraId="00000013" w14:textId="77777777" w:rsidR="00841CF2" w:rsidRDefault="00097973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REFERÊNCIAS:</w:t>
      </w:r>
    </w:p>
    <w:p w14:paraId="00000014" w14:textId="77777777" w:rsidR="00841CF2" w:rsidRDefault="00841CF2">
      <w:pPr>
        <w:rPr>
          <w:sz w:val="24"/>
          <w:szCs w:val="24"/>
        </w:rPr>
      </w:pPr>
    </w:p>
    <w:p w14:paraId="172FAE47" w14:textId="77777777" w:rsidR="0025134C" w:rsidRPr="0025134C" w:rsidRDefault="0025134C" w:rsidP="0025134C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25134C">
        <w:rPr>
          <w:sz w:val="24"/>
          <w:szCs w:val="24"/>
        </w:rPr>
        <w:t>Farhat</w:t>
      </w:r>
      <w:proofErr w:type="spellEnd"/>
      <w:r w:rsidRPr="0025134C">
        <w:rPr>
          <w:sz w:val="24"/>
          <w:szCs w:val="24"/>
        </w:rPr>
        <w:t xml:space="preserve"> CK, Carvalho ES, Carvalho LH, </w:t>
      </w:r>
      <w:proofErr w:type="spellStart"/>
      <w:r w:rsidRPr="0025134C">
        <w:rPr>
          <w:sz w:val="24"/>
          <w:szCs w:val="24"/>
        </w:rPr>
        <w:t>Succi</w:t>
      </w:r>
      <w:proofErr w:type="spellEnd"/>
      <w:r w:rsidRPr="0025134C">
        <w:rPr>
          <w:sz w:val="24"/>
          <w:szCs w:val="24"/>
        </w:rPr>
        <w:t xml:space="preserve"> RC, </w:t>
      </w:r>
      <w:proofErr w:type="spellStart"/>
      <w:r w:rsidRPr="0025134C">
        <w:rPr>
          <w:sz w:val="24"/>
          <w:szCs w:val="24"/>
        </w:rPr>
        <w:t>editors</w:t>
      </w:r>
      <w:proofErr w:type="spellEnd"/>
      <w:r w:rsidRPr="0025134C">
        <w:rPr>
          <w:sz w:val="24"/>
          <w:szCs w:val="24"/>
        </w:rPr>
        <w:t>. Infectologia Pediátrica. 3.ed. São Paulo: Atheneu; 2007.</w:t>
      </w:r>
    </w:p>
    <w:p w14:paraId="1B3DA9BE" w14:textId="77777777" w:rsidR="0025134C" w:rsidRPr="0025134C" w:rsidRDefault="0025134C" w:rsidP="0025134C">
      <w:pPr>
        <w:rPr>
          <w:sz w:val="24"/>
          <w:szCs w:val="24"/>
        </w:rPr>
      </w:pPr>
    </w:p>
    <w:p w14:paraId="00000016" w14:textId="27A5B099" w:rsidR="00841CF2" w:rsidRDefault="0025134C" w:rsidP="0025134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5134C">
        <w:rPr>
          <w:sz w:val="24"/>
          <w:szCs w:val="24"/>
          <w:lang w:val="en-US"/>
        </w:rPr>
        <w:t xml:space="preserve">Krugman S, Katz SL, Gershon AA, </w:t>
      </w:r>
      <w:proofErr w:type="spellStart"/>
      <w:r w:rsidRPr="0025134C">
        <w:rPr>
          <w:sz w:val="24"/>
          <w:szCs w:val="24"/>
          <w:lang w:val="en-US"/>
        </w:rPr>
        <w:t>Wilfert</w:t>
      </w:r>
      <w:proofErr w:type="spellEnd"/>
      <w:r w:rsidRPr="0025134C">
        <w:rPr>
          <w:sz w:val="24"/>
          <w:szCs w:val="24"/>
          <w:lang w:val="en-US"/>
        </w:rPr>
        <w:t xml:space="preserve"> CM. </w:t>
      </w:r>
      <w:r w:rsidRPr="0025134C">
        <w:rPr>
          <w:sz w:val="24"/>
          <w:szCs w:val="24"/>
        </w:rPr>
        <w:t>Doenças Infecciosas na Infância. 9.ed. Rio de Janeiro: Guanabara Koogan; 1994.</w:t>
      </w:r>
    </w:p>
    <w:p w14:paraId="60978005" w14:textId="77777777" w:rsidR="00C12C3E" w:rsidRPr="00C12C3E" w:rsidRDefault="00C12C3E" w:rsidP="00C12C3E">
      <w:pPr>
        <w:pStyle w:val="PargrafodaLista"/>
        <w:rPr>
          <w:sz w:val="24"/>
          <w:szCs w:val="24"/>
        </w:rPr>
      </w:pPr>
    </w:p>
    <w:p w14:paraId="128122B4" w14:textId="77777777" w:rsidR="00C12C3E" w:rsidRPr="00C12C3E" w:rsidRDefault="00C12C3E" w:rsidP="00C12C3E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C12C3E">
        <w:rPr>
          <w:sz w:val="24"/>
          <w:szCs w:val="24"/>
          <w:lang w:val="en-US"/>
        </w:rPr>
        <w:t xml:space="preserve">Kelly CS, Kelly Jr RE. Lymphadenopathy in Children. </w:t>
      </w:r>
      <w:proofErr w:type="spellStart"/>
      <w:r w:rsidRPr="00C12C3E">
        <w:rPr>
          <w:sz w:val="24"/>
          <w:szCs w:val="24"/>
          <w:lang w:val="en-US"/>
        </w:rPr>
        <w:t>Pediatr</w:t>
      </w:r>
      <w:proofErr w:type="spellEnd"/>
      <w:r w:rsidRPr="00C12C3E">
        <w:rPr>
          <w:sz w:val="24"/>
          <w:szCs w:val="24"/>
          <w:lang w:val="en-US"/>
        </w:rPr>
        <w:t xml:space="preserve"> Clin North Am 1998 Aug;45 (4):875-88.</w:t>
      </w:r>
    </w:p>
    <w:p w14:paraId="7F1D0F7B" w14:textId="77777777" w:rsidR="00C12C3E" w:rsidRPr="00C12C3E" w:rsidRDefault="00C12C3E" w:rsidP="00C12C3E">
      <w:pPr>
        <w:ind w:left="360"/>
        <w:rPr>
          <w:sz w:val="24"/>
          <w:szCs w:val="24"/>
          <w:lang w:val="en-US"/>
        </w:rPr>
      </w:pPr>
    </w:p>
    <w:p w14:paraId="18116545" w14:textId="77777777" w:rsidR="00C12C3E" w:rsidRPr="00C12C3E" w:rsidRDefault="00C12C3E" w:rsidP="00C12C3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2C3E">
        <w:rPr>
          <w:sz w:val="24"/>
          <w:szCs w:val="24"/>
        </w:rPr>
        <w:t xml:space="preserve">Freire LM, Teixeira Júnior JF. Diagnóstico Diferencial das </w:t>
      </w:r>
      <w:proofErr w:type="spellStart"/>
      <w:r w:rsidRPr="00C12C3E">
        <w:rPr>
          <w:sz w:val="24"/>
          <w:szCs w:val="24"/>
        </w:rPr>
        <w:t>Adenomegalias</w:t>
      </w:r>
      <w:proofErr w:type="spellEnd"/>
      <w:r w:rsidRPr="00C12C3E">
        <w:rPr>
          <w:sz w:val="24"/>
          <w:szCs w:val="24"/>
        </w:rPr>
        <w:t>. In</w:t>
      </w:r>
      <w:proofErr w:type="gramStart"/>
      <w:r w:rsidRPr="00C12C3E">
        <w:rPr>
          <w:sz w:val="24"/>
          <w:szCs w:val="24"/>
        </w:rPr>
        <w:t>: :</w:t>
      </w:r>
      <w:proofErr w:type="gramEnd"/>
      <w:r w:rsidRPr="00C12C3E">
        <w:rPr>
          <w:sz w:val="24"/>
          <w:szCs w:val="24"/>
        </w:rPr>
        <w:t xml:space="preserve"> Tonelli E, Freire LM, </w:t>
      </w:r>
      <w:proofErr w:type="spellStart"/>
      <w:r w:rsidRPr="00C12C3E">
        <w:rPr>
          <w:sz w:val="24"/>
          <w:szCs w:val="24"/>
        </w:rPr>
        <w:t>editors</w:t>
      </w:r>
      <w:proofErr w:type="spellEnd"/>
      <w:r w:rsidRPr="00C12C3E">
        <w:rPr>
          <w:sz w:val="24"/>
          <w:szCs w:val="24"/>
        </w:rPr>
        <w:t xml:space="preserve">. Doenças Infecciosas na Infância e Adolescência. 2.ed. Rio de Janeiro: Editora </w:t>
      </w:r>
      <w:proofErr w:type="spellStart"/>
      <w:r w:rsidRPr="00C12C3E">
        <w:rPr>
          <w:sz w:val="24"/>
          <w:szCs w:val="24"/>
        </w:rPr>
        <w:t>Medsi</w:t>
      </w:r>
      <w:proofErr w:type="spellEnd"/>
      <w:r w:rsidRPr="00C12C3E">
        <w:rPr>
          <w:sz w:val="24"/>
          <w:szCs w:val="24"/>
        </w:rPr>
        <w:t>; 2000. p.1850-67.</w:t>
      </w:r>
    </w:p>
    <w:p w14:paraId="75863D0E" w14:textId="77777777" w:rsidR="00C12C3E" w:rsidRPr="00C12C3E" w:rsidRDefault="00C12C3E" w:rsidP="00C12C3E">
      <w:pPr>
        <w:ind w:left="360"/>
        <w:rPr>
          <w:sz w:val="24"/>
          <w:szCs w:val="24"/>
        </w:rPr>
      </w:pPr>
    </w:p>
    <w:p w14:paraId="00000019" w14:textId="7905C1DD" w:rsidR="00841CF2" w:rsidRPr="00CD4C65" w:rsidRDefault="00CD4C65">
      <w:pPr>
        <w:rPr>
          <w:sz w:val="20"/>
          <w:szCs w:val="20"/>
        </w:rPr>
      </w:pPr>
      <w:r w:rsidRPr="004864AE">
        <w:rPr>
          <w:bCs/>
          <w:sz w:val="20"/>
          <w:szCs w:val="20"/>
        </w:rPr>
        <w:t>Responsáve</w:t>
      </w:r>
      <w:r>
        <w:rPr>
          <w:bCs/>
          <w:sz w:val="20"/>
          <w:szCs w:val="20"/>
        </w:rPr>
        <w:t>is</w:t>
      </w:r>
      <w:r w:rsidRPr="004864AE">
        <w:rPr>
          <w:bCs/>
          <w:sz w:val="20"/>
          <w:szCs w:val="20"/>
        </w:rPr>
        <w:t xml:space="preserve"> pela elaboração da rotina:</w:t>
      </w:r>
      <w:r>
        <w:rPr>
          <w:b/>
          <w:sz w:val="20"/>
          <w:szCs w:val="20"/>
        </w:rPr>
        <w:t xml:space="preserve"> </w:t>
      </w:r>
      <w:r w:rsidRPr="00CD4C65">
        <w:rPr>
          <w:bCs/>
          <w:sz w:val="20"/>
          <w:szCs w:val="20"/>
        </w:rPr>
        <w:t>Dr.</w:t>
      </w:r>
      <w:r>
        <w:rPr>
          <w:b/>
          <w:sz w:val="20"/>
          <w:szCs w:val="20"/>
        </w:rPr>
        <w:t xml:space="preserve"> </w:t>
      </w:r>
      <w:r w:rsidR="00024B5C" w:rsidRPr="00CD4C65">
        <w:rPr>
          <w:sz w:val="20"/>
          <w:szCs w:val="20"/>
        </w:rPr>
        <w:t xml:space="preserve">Marco </w:t>
      </w:r>
      <w:proofErr w:type="spellStart"/>
      <w:r w:rsidR="00097973" w:rsidRPr="00CD4C65">
        <w:rPr>
          <w:sz w:val="20"/>
          <w:szCs w:val="20"/>
        </w:rPr>
        <w:t>Antonio</w:t>
      </w:r>
      <w:proofErr w:type="spellEnd"/>
      <w:r w:rsidR="00024B5C" w:rsidRPr="00CD4C65">
        <w:rPr>
          <w:sz w:val="20"/>
          <w:szCs w:val="20"/>
        </w:rPr>
        <w:t xml:space="preserve"> Alves Cunha e </w:t>
      </w:r>
      <w:r>
        <w:rPr>
          <w:sz w:val="20"/>
          <w:szCs w:val="20"/>
        </w:rPr>
        <w:t xml:space="preserve">Dr. </w:t>
      </w:r>
      <w:proofErr w:type="spellStart"/>
      <w:r w:rsidR="00024B5C" w:rsidRPr="00CD4C65">
        <w:rPr>
          <w:sz w:val="20"/>
          <w:szCs w:val="20"/>
        </w:rPr>
        <w:t>Iúri</w:t>
      </w:r>
      <w:proofErr w:type="spellEnd"/>
      <w:r w:rsidR="00024B5C" w:rsidRPr="00CD4C65">
        <w:rPr>
          <w:sz w:val="20"/>
          <w:szCs w:val="20"/>
        </w:rPr>
        <w:t xml:space="preserve"> Leão de Almeida</w:t>
      </w:r>
    </w:p>
    <w:sectPr w:rsidR="00841CF2" w:rsidRPr="00CD4C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405E4"/>
    <w:multiLevelType w:val="hybridMultilevel"/>
    <w:tmpl w:val="769495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CF2"/>
    <w:rsid w:val="00024B5C"/>
    <w:rsid w:val="00097973"/>
    <w:rsid w:val="0025134C"/>
    <w:rsid w:val="002D29AD"/>
    <w:rsid w:val="004430E8"/>
    <w:rsid w:val="0056067B"/>
    <w:rsid w:val="00656069"/>
    <w:rsid w:val="007C6EB8"/>
    <w:rsid w:val="00841CF2"/>
    <w:rsid w:val="00C12C3E"/>
    <w:rsid w:val="00CD4C65"/>
    <w:rsid w:val="00CE2FAB"/>
    <w:rsid w:val="00EB3820"/>
    <w:rsid w:val="00F2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9070"/>
  <w15:docId w15:val="{E6E68D75-7146-4F49-A15A-E05BA370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5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1180</Words>
  <Characters>6374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Alves Cunha</dc:creator>
  <cp:lastModifiedBy>RODOLFO ROCHANETO</cp:lastModifiedBy>
  <cp:revision>4</cp:revision>
  <dcterms:created xsi:type="dcterms:W3CDTF">2020-01-19T00:40:00Z</dcterms:created>
  <dcterms:modified xsi:type="dcterms:W3CDTF">2020-05-18T00:20:00Z</dcterms:modified>
</cp:coreProperties>
</file>