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6CF8A" w14:textId="229A6FBD" w:rsidR="00DF62F7" w:rsidRPr="00CE0AA2" w:rsidRDefault="00CE0AA2" w:rsidP="00CE0AA2">
      <w:pPr>
        <w:rPr>
          <w:rFonts w:ascii="Arial" w:hAnsi="Arial" w:cs="Arial"/>
          <w:b/>
          <w:sz w:val="24"/>
          <w:szCs w:val="24"/>
        </w:rPr>
      </w:pPr>
      <w:r w:rsidRPr="00CE0AA2">
        <w:rPr>
          <w:rFonts w:ascii="Arial" w:hAnsi="Arial" w:cs="Arial"/>
          <w:bCs/>
          <w:sz w:val="28"/>
          <w:szCs w:val="28"/>
        </w:rPr>
        <w:t>ANEMIA FALCIFORME</w:t>
      </w:r>
      <w:r w:rsidRPr="00CE0AA2">
        <w:rPr>
          <w:rFonts w:ascii="Arial" w:hAnsi="Arial" w:cs="Arial"/>
          <w:b/>
          <w:sz w:val="24"/>
          <w:szCs w:val="24"/>
        </w:rPr>
        <w:t xml:space="preserve"> </w:t>
      </w:r>
      <w:r w:rsidR="00EE2D0A" w:rsidRPr="00CE0AA2">
        <w:rPr>
          <w:rFonts w:ascii="Arial" w:hAnsi="Arial" w:cs="Arial"/>
          <w:bCs/>
          <w:sz w:val="28"/>
          <w:szCs w:val="28"/>
        </w:rPr>
        <w:t>(A</w:t>
      </w:r>
      <w:r w:rsidRPr="00CE0AA2">
        <w:rPr>
          <w:rFonts w:ascii="Arial" w:hAnsi="Arial" w:cs="Arial"/>
          <w:bCs/>
          <w:sz w:val="28"/>
          <w:szCs w:val="28"/>
        </w:rPr>
        <w:t>F</w:t>
      </w:r>
      <w:r w:rsidR="00EE2D0A" w:rsidRPr="00CE0AA2">
        <w:rPr>
          <w:rFonts w:ascii="Arial" w:hAnsi="Arial" w:cs="Arial"/>
          <w:bCs/>
          <w:sz w:val="28"/>
          <w:szCs w:val="28"/>
        </w:rPr>
        <w:t>)</w:t>
      </w:r>
    </w:p>
    <w:p w14:paraId="7C94A324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As hemoglobinopatias têm cerca de 4% de prevalência na população brasileira, sendo a AF a doença hereditária mais frequente no país. Possui caráter autossômico recessivo e é chamada de AF a </w:t>
      </w:r>
      <w:proofErr w:type="spellStart"/>
      <w:r w:rsidRPr="00EE2D0A">
        <w:rPr>
          <w:rFonts w:ascii="Arial" w:hAnsi="Arial" w:cs="Arial"/>
          <w:sz w:val="20"/>
          <w:szCs w:val="20"/>
        </w:rPr>
        <w:t>homozigose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para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(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SS). Associações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com hemoglobinas anormais (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D, C, </w:t>
      </w:r>
      <w:proofErr w:type="spellStart"/>
      <w:r w:rsidRPr="00EE2D0A">
        <w:rPr>
          <w:rFonts w:ascii="Arial" w:hAnsi="Arial" w:cs="Arial"/>
          <w:sz w:val="20"/>
          <w:szCs w:val="20"/>
        </w:rPr>
        <w:t>talassemias</w:t>
      </w:r>
      <w:proofErr w:type="spellEnd"/>
      <w:r w:rsidRPr="00EE2D0A">
        <w:rPr>
          <w:rFonts w:ascii="Arial" w:hAnsi="Arial" w:cs="Arial"/>
          <w:sz w:val="20"/>
          <w:szCs w:val="20"/>
        </w:rPr>
        <w:t>) constituem um grupo chamado de Doença Falciforme, incluindo também a AF (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SS). Ocorre especialmente na raça negra, porém com o alto grau de miscigenação brasileiro, a doença pode ser encontrada indistintamente em indivíduos de diversas etnias.</w:t>
      </w:r>
    </w:p>
    <w:p w14:paraId="6D439D41" w14:textId="710CA27F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Fisiopatologia: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é uma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mutante, resultante da troca do ácido glutâmico pela valina na posição 6 da cadeia beta </w:t>
      </w:r>
      <w:r w:rsidR="008A3F19">
        <w:rPr>
          <w:rFonts w:ascii="Arial" w:hAnsi="Arial" w:cs="Arial"/>
          <w:sz w:val="20"/>
          <w:szCs w:val="20"/>
        </w:rPr>
        <w:t xml:space="preserve">da </w:t>
      </w:r>
      <w:proofErr w:type="spellStart"/>
      <w:r w:rsidR="008A3F19">
        <w:rPr>
          <w:rFonts w:ascii="Arial" w:hAnsi="Arial" w:cs="Arial"/>
          <w:sz w:val="20"/>
          <w:szCs w:val="20"/>
        </w:rPr>
        <w:t>Hb</w:t>
      </w:r>
      <w:proofErr w:type="spellEnd"/>
      <w:r w:rsidR="008A3F19">
        <w:rPr>
          <w:rFonts w:ascii="Arial" w:hAnsi="Arial" w:cs="Arial"/>
          <w:sz w:val="20"/>
          <w:szCs w:val="20"/>
        </w:rPr>
        <w:t>. Em situações de estresse com baixa tensão de oxigênio (O2),</w:t>
      </w:r>
      <w:r w:rsidRPr="00EE2D0A">
        <w:rPr>
          <w:rFonts w:ascii="Arial" w:hAnsi="Arial" w:cs="Arial"/>
          <w:sz w:val="20"/>
          <w:szCs w:val="20"/>
        </w:rPr>
        <w:t xml:space="preserve"> </w:t>
      </w:r>
      <w:r w:rsidR="008A3F19">
        <w:rPr>
          <w:rFonts w:ascii="Arial" w:hAnsi="Arial" w:cs="Arial"/>
          <w:sz w:val="20"/>
          <w:szCs w:val="20"/>
        </w:rPr>
        <w:t>induzindo à</w:t>
      </w:r>
      <w:r w:rsidRPr="00EE2D0A">
        <w:rPr>
          <w:rFonts w:ascii="Arial" w:hAnsi="Arial" w:cs="Arial"/>
          <w:sz w:val="20"/>
          <w:szCs w:val="20"/>
        </w:rPr>
        <w:t xml:space="preserve"> hipóxia, </w:t>
      </w:r>
      <w:r w:rsidR="008A3F19">
        <w:rPr>
          <w:rFonts w:ascii="Arial" w:hAnsi="Arial" w:cs="Arial"/>
          <w:sz w:val="20"/>
          <w:szCs w:val="20"/>
        </w:rPr>
        <w:t xml:space="preserve">como </w:t>
      </w:r>
      <w:r w:rsidRPr="00EE2D0A">
        <w:rPr>
          <w:rFonts w:ascii="Arial" w:hAnsi="Arial" w:cs="Arial"/>
          <w:sz w:val="20"/>
          <w:szCs w:val="20"/>
        </w:rPr>
        <w:t>febre, desidratação, infecções, exaustão física e frio intenso, pode sofrer polimerização,</w:t>
      </w:r>
      <w:r w:rsidR="008A3F19">
        <w:rPr>
          <w:rFonts w:ascii="Arial" w:hAnsi="Arial" w:cs="Arial"/>
          <w:sz w:val="20"/>
          <w:szCs w:val="20"/>
        </w:rPr>
        <w:t xml:space="preserve"> levando à deformidade da hemáci</w:t>
      </w:r>
      <w:r w:rsidRPr="00EE2D0A">
        <w:rPr>
          <w:rFonts w:ascii="Arial" w:hAnsi="Arial" w:cs="Arial"/>
          <w:sz w:val="20"/>
          <w:szCs w:val="20"/>
        </w:rPr>
        <w:t>a, a qual adquiri forma de foice, resultando em obstrução vascular, crises de dor, lesões endoteliais de caráter inflamatório crônico e lesões orgânicas, com isquemia, infarto, necrose e disfunção.</w:t>
      </w:r>
    </w:p>
    <w:p w14:paraId="55F4A625" w14:textId="77777777" w:rsidR="00DF62F7" w:rsidRPr="00EE2D0A" w:rsidRDefault="00DF62F7" w:rsidP="00EE2D0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2D0A">
        <w:rPr>
          <w:rFonts w:ascii="Arial" w:hAnsi="Arial" w:cs="Arial"/>
          <w:b/>
          <w:sz w:val="24"/>
          <w:szCs w:val="24"/>
        </w:rPr>
        <w:t>Diagnóstico:</w:t>
      </w:r>
    </w:p>
    <w:p w14:paraId="2596CA10" w14:textId="131C52A1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2D0A">
        <w:rPr>
          <w:rFonts w:ascii="Arial" w:hAnsi="Arial" w:cs="Arial"/>
          <w:sz w:val="20"/>
          <w:szCs w:val="20"/>
        </w:rPr>
        <w:t>Screening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neonatal – Teste do Pezinho: </w:t>
      </w:r>
      <w:r w:rsidR="004A68F6" w:rsidRPr="00EE2D0A">
        <w:rPr>
          <w:rFonts w:ascii="Arial" w:hAnsi="Arial" w:cs="Arial"/>
          <w:sz w:val="20"/>
          <w:szCs w:val="20"/>
        </w:rPr>
        <w:t>as hemácias do recém-nascido</w:t>
      </w:r>
      <w:r w:rsidR="004A68F6">
        <w:rPr>
          <w:rFonts w:ascii="Arial" w:hAnsi="Arial" w:cs="Arial"/>
          <w:sz w:val="20"/>
          <w:szCs w:val="20"/>
        </w:rPr>
        <w:t xml:space="preserve"> </w:t>
      </w:r>
      <w:r w:rsidR="004A68F6" w:rsidRPr="00EE2D0A">
        <w:rPr>
          <w:rFonts w:ascii="Arial" w:hAnsi="Arial" w:cs="Arial"/>
          <w:sz w:val="20"/>
          <w:szCs w:val="20"/>
        </w:rPr>
        <w:t>(RN) normalmente</w:t>
      </w:r>
      <w:r w:rsidR="004A68F6">
        <w:rPr>
          <w:rFonts w:ascii="Arial" w:hAnsi="Arial" w:cs="Arial"/>
          <w:sz w:val="20"/>
          <w:szCs w:val="20"/>
        </w:rPr>
        <w:t xml:space="preserve"> contêm</w:t>
      </w:r>
      <w:r w:rsidRPr="00EE2D0A">
        <w:rPr>
          <w:rFonts w:ascii="Arial" w:hAnsi="Arial" w:cs="Arial"/>
          <w:sz w:val="20"/>
          <w:szCs w:val="20"/>
        </w:rPr>
        <w:t xml:space="preserve"> maior concentração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do que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="00580546">
        <w:rPr>
          <w:rFonts w:ascii="Arial" w:hAnsi="Arial" w:cs="Arial"/>
          <w:sz w:val="20"/>
          <w:szCs w:val="20"/>
        </w:rPr>
        <w:t xml:space="preserve"> A</w:t>
      </w:r>
      <w:r w:rsidRPr="00EE2D0A">
        <w:rPr>
          <w:rFonts w:ascii="Arial" w:hAnsi="Arial" w:cs="Arial"/>
          <w:sz w:val="20"/>
          <w:szCs w:val="20"/>
        </w:rPr>
        <w:t xml:space="preserve">, resultando num padrão “FA”.  O RN que apresenta o traço falciforme tem fenótipo “FAS”, com mais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 do que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S. As crianças com doença SC têm padrão “FSC”; aquela</w:t>
      </w:r>
      <w:bookmarkStart w:id="0" w:name="_GoBack"/>
      <w:bookmarkEnd w:id="0"/>
      <w:r w:rsidRPr="00EE2D0A">
        <w:rPr>
          <w:rFonts w:ascii="Arial" w:hAnsi="Arial" w:cs="Arial"/>
          <w:sz w:val="20"/>
          <w:szCs w:val="20"/>
        </w:rPr>
        <w:t>s com doença SS, S/beta</w:t>
      </w:r>
      <w:r w:rsidRPr="00EE2D0A">
        <w:rPr>
          <w:rFonts w:ascii="Arial" w:hAnsi="Arial" w:cs="Arial"/>
          <w:sz w:val="20"/>
          <w:szCs w:val="20"/>
          <w:vertAlign w:val="superscript"/>
        </w:rPr>
        <w:t>0</w:t>
      </w:r>
      <w:r w:rsidRPr="00EE2D0A">
        <w:rPr>
          <w:rFonts w:ascii="Arial" w:hAnsi="Arial" w:cs="Arial"/>
          <w:sz w:val="20"/>
          <w:szCs w:val="20"/>
        </w:rPr>
        <w:t xml:space="preserve">-talassemia e S associada com a persistência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apresentam o fenótipo “FS” na triagem neonatal.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vai diminuindo gradativamente dentro do 1º ano de. vida, concomitante ao aumento progressivo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</w:t>
      </w:r>
      <w:r w:rsidRPr="00EE2D0A">
        <w:rPr>
          <w:rFonts w:ascii="Arial" w:hAnsi="Arial" w:cs="Arial"/>
          <w:sz w:val="20"/>
          <w:szCs w:val="20"/>
          <w:vertAlign w:val="subscript"/>
        </w:rPr>
        <w:t>1</w:t>
      </w:r>
      <w:r w:rsidRPr="00EE2D0A">
        <w:rPr>
          <w:rFonts w:ascii="Arial" w:hAnsi="Arial" w:cs="Arial"/>
          <w:sz w:val="20"/>
          <w:szCs w:val="20"/>
        </w:rPr>
        <w:t>.</w:t>
      </w:r>
    </w:p>
    <w:p w14:paraId="24D27B84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2D0A">
        <w:rPr>
          <w:rFonts w:ascii="Arial" w:hAnsi="Arial" w:cs="Arial"/>
          <w:sz w:val="20"/>
          <w:szCs w:val="20"/>
        </w:rPr>
        <w:t>Eletroferese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>: exame de eleição para avaliação das hemoglobinas normais (A</w:t>
      </w:r>
      <w:r w:rsidRPr="00EE2D0A">
        <w:rPr>
          <w:rFonts w:ascii="Arial" w:hAnsi="Arial" w:cs="Arial"/>
          <w:sz w:val="20"/>
          <w:szCs w:val="20"/>
          <w:vertAlign w:val="subscript"/>
        </w:rPr>
        <w:t>1</w:t>
      </w:r>
      <w:r w:rsidRPr="00EE2D0A">
        <w:rPr>
          <w:rFonts w:ascii="Arial" w:hAnsi="Arial" w:cs="Arial"/>
          <w:sz w:val="20"/>
          <w:szCs w:val="20"/>
        </w:rPr>
        <w:t>, A</w:t>
      </w:r>
      <w:r w:rsidRPr="00EE2D0A">
        <w:rPr>
          <w:rFonts w:ascii="Arial" w:hAnsi="Arial" w:cs="Arial"/>
          <w:sz w:val="20"/>
          <w:szCs w:val="20"/>
          <w:vertAlign w:val="subscript"/>
        </w:rPr>
        <w:t>2</w:t>
      </w:r>
      <w:r w:rsidRPr="00EE2D0A">
        <w:rPr>
          <w:rFonts w:ascii="Arial" w:hAnsi="Arial" w:cs="Arial"/>
          <w:sz w:val="20"/>
          <w:szCs w:val="20"/>
        </w:rPr>
        <w:t xml:space="preserve"> e F) e para detectar as hemoglobinas anormais (S, C, D, E, talassemias). Consiste na separação </w:t>
      </w:r>
      <w:proofErr w:type="spellStart"/>
      <w:r w:rsidRPr="00EE2D0A">
        <w:rPr>
          <w:rFonts w:ascii="Arial" w:hAnsi="Arial" w:cs="Arial"/>
          <w:sz w:val="20"/>
          <w:szCs w:val="20"/>
        </w:rPr>
        <w:t>eletroforética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das diferentes hemoglobinas, em acetato de celulose, de acordo com suas cargas elétricas. </w:t>
      </w:r>
    </w:p>
    <w:tbl>
      <w:tblPr>
        <w:tblStyle w:val="Tabelacomgrade"/>
        <w:tblW w:w="8754" w:type="dxa"/>
        <w:tblLook w:val="04A0" w:firstRow="1" w:lastRow="0" w:firstColumn="1" w:lastColumn="0" w:noHBand="0" w:noVBand="1"/>
      </w:tblPr>
      <w:tblGrid>
        <w:gridCol w:w="1184"/>
        <w:gridCol w:w="1028"/>
        <w:gridCol w:w="1050"/>
        <w:gridCol w:w="906"/>
        <w:gridCol w:w="984"/>
        <w:gridCol w:w="681"/>
        <w:gridCol w:w="872"/>
        <w:gridCol w:w="683"/>
        <w:gridCol w:w="683"/>
        <w:gridCol w:w="683"/>
      </w:tblGrid>
      <w:tr w:rsidR="00DF62F7" w:rsidRPr="00EE2D0A" w14:paraId="4CFF771C" w14:textId="77777777" w:rsidTr="00283F69">
        <w:trPr>
          <w:trHeight w:val="482"/>
        </w:trPr>
        <w:tc>
          <w:tcPr>
            <w:tcW w:w="990" w:type="dxa"/>
          </w:tcPr>
          <w:p w14:paraId="39D9372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</w:tcPr>
          <w:p w14:paraId="5D2639A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7E64A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Genótipo</w:t>
            </w:r>
          </w:p>
        </w:tc>
        <w:tc>
          <w:tcPr>
            <w:tcW w:w="883" w:type="dxa"/>
          </w:tcPr>
          <w:p w14:paraId="71E8423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41393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Hemólise</w:t>
            </w:r>
          </w:p>
        </w:tc>
        <w:tc>
          <w:tcPr>
            <w:tcW w:w="870" w:type="dxa"/>
          </w:tcPr>
          <w:p w14:paraId="3F3D730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Vaso-oclusão</w:t>
            </w:r>
          </w:p>
        </w:tc>
        <w:tc>
          <w:tcPr>
            <w:tcW w:w="873" w:type="dxa"/>
          </w:tcPr>
          <w:p w14:paraId="3372073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Triagem neonatal</w:t>
            </w:r>
          </w:p>
        </w:tc>
        <w:tc>
          <w:tcPr>
            <w:tcW w:w="852" w:type="dxa"/>
          </w:tcPr>
          <w:p w14:paraId="388AB91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C975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A1</w:t>
            </w:r>
          </w:p>
        </w:tc>
        <w:tc>
          <w:tcPr>
            <w:tcW w:w="853" w:type="dxa"/>
          </w:tcPr>
          <w:p w14:paraId="5B764CC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6C514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A2</w:t>
            </w:r>
          </w:p>
        </w:tc>
        <w:tc>
          <w:tcPr>
            <w:tcW w:w="853" w:type="dxa"/>
          </w:tcPr>
          <w:p w14:paraId="2A76C23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06C03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  <w:tc>
          <w:tcPr>
            <w:tcW w:w="853" w:type="dxa"/>
          </w:tcPr>
          <w:p w14:paraId="03096D0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837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853" w:type="dxa"/>
          </w:tcPr>
          <w:p w14:paraId="046B971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8F5D6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</w:tr>
      <w:tr w:rsidR="00DF62F7" w:rsidRPr="00EE2D0A" w14:paraId="2A18AEFA" w14:textId="77777777" w:rsidTr="00283F69">
        <w:trPr>
          <w:trHeight w:val="482"/>
        </w:trPr>
        <w:tc>
          <w:tcPr>
            <w:tcW w:w="990" w:type="dxa"/>
          </w:tcPr>
          <w:p w14:paraId="7F89519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Anemia Falciforme</w:t>
            </w:r>
          </w:p>
        </w:tc>
        <w:tc>
          <w:tcPr>
            <w:tcW w:w="874" w:type="dxa"/>
          </w:tcPr>
          <w:p w14:paraId="520B5D8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D7E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SS</w:t>
            </w:r>
          </w:p>
        </w:tc>
        <w:tc>
          <w:tcPr>
            <w:tcW w:w="883" w:type="dxa"/>
          </w:tcPr>
          <w:p w14:paraId="0FDA031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B6861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++++</w:t>
            </w:r>
          </w:p>
        </w:tc>
        <w:tc>
          <w:tcPr>
            <w:tcW w:w="870" w:type="dxa"/>
          </w:tcPr>
          <w:p w14:paraId="2A4210C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B14B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++++</w:t>
            </w:r>
          </w:p>
        </w:tc>
        <w:tc>
          <w:tcPr>
            <w:tcW w:w="873" w:type="dxa"/>
          </w:tcPr>
          <w:p w14:paraId="49A56EB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546F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852" w:type="dxa"/>
          </w:tcPr>
          <w:p w14:paraId="7BD0151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C62FB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6621F61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E9E1F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3,5%</w:t>
            </w:r>
          </w:p>
        </w:tc>
        <w:tc>
          <w:tcPr>
            <w:tcW w:w="853" w:type="dxa"/>
          </w:tcPr>
          <w:p w14:paraId="0A8F6B6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7DC4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2 – 20%</w:t>
            </w:r>
          </w:p>
        </w:tc>
        <w:tc>
          <w:tcPr>
            <w:tcW w:w="853" w:type="dxa"/>
          </w:tcPr>
          <w:p w14:paraId="1D6A80C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DB759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80-95%</w:t>
            </w:r>
          </w:p>
        </w:tc>
        <w:tc>
          <w:tcPr>
            <w:tcW w:w="853" w:type="dxa"/>
          </w:tcPr>
          <w:p w14:paraId="1339E74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6AAA6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0A8699FD" w14:textId="77777777" w:rsidTr="00283F69">
        <w:trPr>
          <w:trHeight w:val="505"/>
        </w:trPr>
        <w:tc>
          <w:tcPr>
            <w:tcW w:w="990" w:type="dxa"/>
          </w:tcPr>
          <w:p w14:paraId="0FFD7A1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Beta</w:t>
            </w:r>
            <w:r w:rsidRPr="00EE2D0A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0 </w:t>
            </w:r>
            <w:r w:rsidRPr="00EE2D0A">
              <w:rPr>
                <w:rFonts w:ascii="Arial" w:hAnsi="Arial" w:cs="Arial"/>
                <w:sz w:val="20"/>
                <w:szCs w:val="20"/>
              </w:rPr>
              <w:t>talassemia</w:t>
            </w:r>
          </w:p>
        </w:tc>
        <w:tc>
          <w:tcPr>
            <w:tcW w:w="874" w:type="dxa"/>
          </w:tcPr>
          <w:p w14:paraId="0A40E8C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2F8EE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SBeta</w:t>
            </w:r>
            <w:r w:rsidRPr="00EE2D0A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883" w:type="dxa"/>
          </w:tcPr>
          <w:p w14:paraId="768B42D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8FE7A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870" w:type="dxa"/>
          </w:tcPr>
          <w:p w14:paraId="46B7D34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3044A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873" w:type="dxa"/>
          </w:tcPr>
          <w:p w14:paraId="77C74F1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318EE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852" w:type="dxa"/>
          </w:tcPr>
          <w:p w14:paraId="6C4314B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DCB0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8E2A7C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3,5-7,5%</w:t>
            </w:r>
          </w:p>
        </w:tc>
        <w:tc>
          <w:tcPr>
            <w:tcW w:w="853" w:type="dxa"/>
          </w:tcPr>
          <w:p w14:paraId="3A4B6E2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CCFD5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2 – 15%</w:t>
            </w:r>
          </w:p>
        </w:tc>
        <w:tc>
          <w:tcPr>
            <w:tcW w:w="853" w:type="dxa"/>
          </w:tcPr>
          <w:p w14:paraId="251F0D0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42AD8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80-92%</w:t>
            </w:r>
          </w:p>
        </w:tc>
        <w:tc>
          <w:tcPr>
            <w:tcW w:w="853" w:type="dxa"/>
          </w:tcPr>
          <w:p w14:paraId="200765B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6D3C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25B3BFC2" w14:textId="77777777" w:rsidTr="00283F69">
        <w:trPr>
          <w:trHeight w:val="482"/>
        </w:trPr>
        <w:tc>
          <w:tcPr>
            <w:tcW w:w="990" w:type="dxa"/>
          </w:tcPr>
          <w:p w14:paraId="68CE309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Hemoglob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>. SC</w:t>
            </w:r>
          </w:p>
        </w:tc>
        <w:tc>
          <w:tcPr>
            <w:tcW w:w="874" w:type="dxa"/>
          </w:tcPr>
          <w:p w14:paraId="492AD4B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0463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883" w:type="dxa"/>
          </w:tcPr>
          <w:p w14:paraId="56030AA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D15A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70" w:type="dxa"/>
          </w:tcPr>
          <w:p w14:paraId="69F508E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63603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++</w:t>
            </w:r>
          </w:p>
        </w:tc>
        <w:tc>
          <w:tcPr>
            <w:tcW w:w="873" w:type="dxa"/>
          </w:tcPr>
          <w:p w14:paraId="176EA66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F1718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FSC</w:t>
            </w:r>
          </w:p>
        </w:tc>
        <w:tc>
          <w:tcPr>
            <w:tcW w:w="852" w:type="dxa"/>
          </w:tcPr>
          <w:p w14:paraId="6B9D8B9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01964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55EFA51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 xml:space="preserve">Não medida com a </w:t>
            </w: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  <w:tc>
          <w:tcPr>
            <w:tcW w:w="853" w:type="dxa"/>
          </w:tcPr>
          <w:p w14:paraId="659E62F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485DC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1 – 5%</w:t>
            </w:r>
          </w:p>
        </w:tc>
        <w:tc>
          <w:tcPr>
            <w:tcW w:w="853" w:type="dxa"/>
          </w:tcPr>
          <w:p w14:paraId="5B41606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1CE89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45-50%</w:t>
            </w:r>
          </w:p>
        </w:tc>
        <w:tc>
          <w:tcPr>
            <w:tcW w:w="853" w:type="dxa"/>
          </w:tcPr>
          <w:p w14:paraId="4E15105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1187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40-50%</w:t>
            </w:r>
          </w:p>
        </w:tc>
      </w:tr>
      <w:tr w:rsidR="00DF62F7" w:rsidRPr="00EE2D0A" w14:paraId="7F08702F" w14:textId="77777777" w:rsidTr="00283F69">
        <w:trPr>
          <w:trHeight w:val="482"/>
        </w:trPr>
        <w:tc>
          <w:tcPr>
            <w:tcW w:w="990" w:type="dxa"/>
          </w:tcPr>
          <w:p w14:paraId="7BD02FF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Beta talassemia</w:t>
            </w:r>
          </w:p>
        </w:tc>
        <w:tc>
          <w:tcPr>
            <w:tcW w:w="874" w:type="dxa"/>
          </w:tcPr>
          <w:p w14:paraId="7CCE1E2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67BA2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2D0A">
              <w:rPr>
                <w:rFonts w:ascii="Arial" w:hAnsi="Arial" w:cs="Arial"/>
                <w:sz w:val="20"/>
                <w:szCs w:val="20"/>
              </w:rPr>
              <w:t>SBeta</w:t>
            </w:r>
            <w:proofErr w:type="spellEnd"/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83" w:type="dxa"/>
          </w:tcPr>
          <w:p w14:paraId="485E1B8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1DE7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70" w:type="dxa"/>
          </w:tcPr>
          <w:p w14:paraId="28D009F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1C26C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873" w:type="dxa"/>
          </w:tcPr>
          <w:p w14:paraId="63092B8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D909C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FSA</w:t>
            </w:r>
          </w:p>
        </w:tc>
        <w:tc>
          <w:tcPr>
            <w:tcW w:w="852" w:type="dxa"/>
          </w:tcPr>
          <w:p w14:paraId="2E5908A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AE0E7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5 – 30%</w:t>
            </w:r>
          </w:p>
        </w:tc>
        <w:tc>
          <w:tcPr>
            <w:tcW w:w="853" w:type="dxa"/>
          </w:tcPr>
          <w:p w14:paraId="386EBC1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34AD4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3,5 – 6%</w:t>
            </w:r>
          </w:p>
        </w:tc>
        <w:tc>
          <w:tcPr>
            <w:tcW w:w="853" w:type="dxa"/>
          </w:tcPr>
          <w:p w14:paraId="49CA538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F3117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2 – 10%</w:t>
            </w:r>
          </w:p>
        </w:tc>
        <w:tc>
          <w:tcPr>
            <w:tcW w:w="853" w:type="dxa"/>
          </w:tcPr>
          <w:p w14:paraId="14F227F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F44D35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65-90%</w:t>
            </w:r>
          </w:p>
        </w:tc>
        <w:tc>
          <w:tcPr>
            <w:tcW w:w="853" w:type="dxa"/>
          </w:tcPr>
          <w:p w14:paraId="3F42A44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3F55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1076431C" w14:textId="77777777" w:rsidTr="00283F69">
        <w:trPr>
          <w:trHeight w:val="482"/>
        </w:trPr>
        <w:tc>
          <w:tcPr>
            <w:tcW w:w="990" w:type="dxa"/>
          </w:tcPr>
          <w:p w14:paraId="01C4A9E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Traço falciforme</w:t>
            </w:r>
          </w:p>
        </w:tc>
        <w:tc>
          <w:tcPr>
            <w:tcW w:w="874" w:type="dxa"/>
          </w:tcPr>
          <w:p w14:paraId="70B6828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AEBD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883" w:type="dxa"/>
          </w:tcPr>
          <w:p w14:paraId="31F72DE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93F6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61F3152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E9FC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3" w:type="dxa"/>
          </w:tcPr>
          <w:p w14:paraId="25C47AB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A5C8F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FAS</w:t>
            </w:r>
          </w:p>
        </w:tc>
        <w:tc>
          <w:tcPr>
            <w:tcW w:w="852" w:type="dxa"/>
          </w:tcPr>
          <w:p w14:paraId="5C1C059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086B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50-60%</w:t>
            </w:r>
          </w:p>
        </w:tc>
        <w:tc>
          <w:tcPr>
            <w:tcW w:w="853" w:type="dxa"/>
          </w:tcPr>
          <w:p w14:paraId="270C1DA7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DA51F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3,5%</w:t>
            </w:r>
          </w:p>
        </w:tc>
        <w:tc>
          <w:tcPr>
            <w:tcW w:w="853" w:type="dxa"/>
          </w:tcPr>
          <w:p w14:paraId="5087DA8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67C4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2%</w:t>
            </w:r>
          </w:p>
        </w:tc>
        <w:tc>
          <w:tcPr>
            <w:tcW w:w="853" w:type="dxa"/>
          </w:tcPr>
          <w:p w14:paraId="6D6A7B7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0F95F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35-45%</w:t>
            </w:r>
          </w:p>
        </w:tc>
        <w:tc>
          <w:tcPr>
            <w:tcW w:w="853" w:type="dxa"/>
          </w:tcPr>
          <w:p w14:paraId="55F909CF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A255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62F7" w:rsidRPr="00EE2D0A" w14:paraId="5AB7F340" w14:textId="77777777" w:rsidTr="00283F69">
        <w:trPr>
          <w:trHeight w:val="482"/>
        </w:trPr>
        <w:tc>
          <w:tcPr>
            <w:tcW w:w="990" w:type="dxa"/>
          </w:tcPr>
          <w:p w14:paraId="23F942D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87133E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874" w:type="dxa"/>
          </w:tcPr>
          <w:p w14:paraId="54FA0E22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FD1BAD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883" w:type="dxa"/>
          </w:tcPr>
          <w:p w14:paraId="641B6FD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EB3E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0" w:type="dxa"/>
          </w:tcPr>
          <w:p w14:paraId="6269214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2E71A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3" w:type="dxa"/>
          </w:tcPr>
          <w:p w14:paraId="6ECA7A0A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8CD56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852" w:type="dxa"/>
          </w:tcPr>
          <w:p w14:paraId="14AA5840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085A53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95-98%</w:t>
            </w:r>
          </w:p>
        </w:tc>
        <w:tc>
          <w:tcPr>
            <w:tcW w:w="853" w:type="dxa"/>
          </w:tcPr>
          <w:p w14:paraId="697E228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FE8E7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3,5%</w:t>
            </w:r>
          </w:p>
        </w:tc>
        <w:tc>
          <w:tcPr>
            <w:tcW w:w="853" w:type="dxa"/>
          </w:tcPr>
          <w:p w14:paraId="0EAC891C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149FC9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&lt; 2%</w:t>
            </w:r>
          </w:p>
        </w:tc>
        <w:tc>
          <w:tcPr>
            <w:tcW w:w="853" w:type="dxa"/>
          </w:tcPr>
          <w:p w14:paraId="0E42A6BB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031D1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87ED371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26DB8" w14:textId="77777777" w:rsidR="00DF62F7" w:rsidRPr="00EE2D0A" w:rsidRDefault="00DF62F7" w:rsidP="00283F69">
            <w:pPr>
              <w:rPr>
                <w:rFonts w:ascii="Arial" w:hAnsi="Arial" w:cs="Arial"/>
                <w:sz w:val="20"/>
                <w:szCs w:val="20"/>
              </w:rPr>
            </w:pPr>
            <w:r w:rsidRPr="00EE2D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DFBBC0F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</w:p>
    <w:p w14:paraId="1D6A752D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81DFE24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1AB66CC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7937108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E642057" w14:textId="77777777" w:rsidR="00EE2D0A" w:rsidRPr="00EE2D0A" w:rsidRDefault="00EE2D0A" w:rsidP="00EE2D0A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2397AAD" w14:textId="77777777" w:rsidR="00EE2D0A" w:rsidRDefault="00DF62F7" w:rsidP="00EE2D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b/>
          <w:sz w:val="24"/>
          <w:szCs w:val="24"/>
        </w:rPr>
        <w:lastRenderedPageBreak/>
        <w:t>Hemograma:</w:t>
      </w:r>
      <w:r w:rsidRPr="00EE2D0A">
        <w:rPr>
          <w:rFonts w:ascii="Arial" w:hAnsi="Arial" w:cs="Arial"/>
          <w:sz w:val="20"/>
          <w:szCs w:val="20"/>
        </w:rPr>
        <w:t xml:space="preserve"> </w:t>
      </w:r>
    </w:p>
    <w:p w14:paraId="02242D39" w14:textId="77777777" w:rsidR="00DF62F7" w:rsidRPr="00EE2D0A" w:rsidRDefault="00EE2D0A" w:rsidP="00EE2D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F62F7" w:rsidRPr="00EE2D0A">
        <w:rPr>
          <w:rFonts w:ascii="Arial" w:hAnsi="Arial" w:cs="Arial"/>
          <w:sz w:val="20"/>
          <w:szCs w:val="20"/>
        </w:rPr>
        <w:t xml:space="preserve">nemia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normocítica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normocrômica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, com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reticulocitose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(entre 5-20%) e índices de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Ht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de 20-25%e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Hb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entre 6-10g/dl, devendo-se obter o nível basal de cada paciente, pois esses valores tendem a se manter, sendo um índice de seguimento clínico. A leucocitose é um achado frequente, podendo existir desvio para esquerda, mesmo com o paciente fora de crise. Há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eritroblastos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circulantes (entre 5 – 20%) e a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plaquetose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é comum, podendo atingir níveis de até 1.000.000/mm</w:t>
      </w:r>
      <w:r w:rsidR="00DF62F7" w:rsidRPr="00EE2D0A">
        <w:rPr>
          <w:rFonts w:ascii="Arial" w:hAnsi="Arial" w:cs="Arial"/>
          <w:sz w:val="20"/>
          <w:szCs w:val="20"/>
          <w:vertAlign w:val="superscript"/>
        </w:rPr>
        <w:t>3</w:t>
      </w:r>
      <w:r w:rsidR="00DF62F7" w:rsidRPr="00EE2D0A">
        <w:rPr>
          <w:rFonts w:ascii="Arial" w:hAnsi="Arial" w:cs="Arial"/>
          <w:sz w:val="20"/>
          <w:szCs w:val="20"/>
        </w:rPr>
        <w:t xml:space="preserve">. É importante ressaltar que tanto a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plaquetose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quanto a leucocitose decorrem da hiperplasia da medula óssea, na presença de </w:t>
      </w:r>
      <w:proofErr w:type="spellStart"/>
      <w:r w:rsidR="00DF62F7" w:rsidRPr="00EE2D0A">
        <w:rPr>
          <w:rFonts w:ascii="Arial" w:hAnsi="Arial" w:cs="Arial"/>
          <w:sz w:val="20"/>
          <w:szCs w:val="20"/>
        </w:rPr>
        <w:t>hipofunção</w:t>
      </w:r>
      <w:proofErr w:type="spellEnd"/>
      <w:r w:rsidR="00DF62F7" w:rsidRPr="00EE2D0A">
        <w:rPr>
          <w:rFonts w:ascii="Arial" w:hAnsi="Arial" w:cs="Arial"/>
          <w:sz w:val="20"/>
          <w:szCs w:val="20"/>
        </w:rPr>
        <w:t xml:space="preserve"> esplênica.</w:t>
      </w:r>
    </w:p>
    <w:p w14:paraId="40E7862D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Quadro clínico: nos períodos </w:t>
      </w:r>
      <w:proofErr w:type="spellStart"/>
      <w:r w:rsidRPr="00EE2D0A">
        <w:rPr>
          <w:rFonts w:ascii="Arial" w:hAnsi="Arial" w:cs="Arial"/>
          <w:sz w:val="20"/>
          <w:szCs w:val="20"/>
        </w:rPr>
        <w:t>inter-crises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são encontrados no exame físico, palidez (anemia), icterícia e, dependendo da faixa etária e da hemoglobinopatia, esplenomegalia. Nas crises, as manifestações agudas incluem: crises vaso-oclusivas, sequestro esplênico, crise </w:t>
      </w:r>
      <w:proofErr w:type="spellStart"/>
      <w:r w:rsidRPr="00EE2D0A">
        <w:rPr>
          <w:rFonts w:ascii="Arial" w:hAnsi="Arial" w:cs="Arial"/>
          <w:sz w:val="20"/>
          <w:szCs w:val="20"/>
        </w:rPr>
        <w:t>aplástica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hemolítica e sob a forma de complicações, secundárias à hipóxia e hemólise crônicas, as quais resultam em comprometimento sistêmico, envolvendo todos os órgãos e sistemas.</w:t>
      </w:r>
    </w:p>
    <w:p w14:paraId="0D13351C" w14:textId="2C1A16FA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1. Crise vaso-oclusiva (crises de dor): é a manifestação clínica mais comum da DF. A crise é causada pelo dano tissular isquêmico secundário à obstrução do fluxo sanguíneo pelas hemácias </w:t>
      </w:r>
      <w:proofErr w:type="spellStart"/>
      <w:r w:rsidRPr="00EE2D0A">
        <w:rPr>
          <w:rFonts w:ascii="Arial" w:hAnsi="Arial" w:cs="Arial"/>
          <w:sz w:val="20"/>
          <w:szCs w:val="20"/>
        </w:rPr>
        <w:t>falcizadas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Os pacientes referem dor importante em extremidades, no abdome, na coluna ou em qualquer outra região do corpo. A 1ª manifestação, na maioria das crianças, é a </w:t>
      </w:r>
      <w:proofErr w:type="spellStart"/>
      <w:r w:rsidRPr="00EE2D0A">
        <w:rPr>
          <w:rFonts w:ascii="Arial" w:hAnsi="Arial" w:cs="Arial"/>
          <w:sz w:val="20"/>
          <w:szCs w:val="20"/>
        </w:rPr>
        <w:t>dactilite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(ou síndrome mão-pé), quando ainda lactentes. São necessárias medidas racionais e efetivas para controlar a dor, desde uma avaliação clínica global até a utilização de medicações analgésicas com critério e em doses adequadas. Manuseio da dor: inclui 3 classes de medicamentos, os analgésicos, anti-inflamatórios não-hormonais e os </w:t>
      </w:r>
      <w:proofErr w:type="spellStart"/>
      <w:r w:rsidRPr="00EE2D0A">
        <w:rPr>
          <w:rFonts w:ascii="Arial" w:hAnsi="Arial" w:cs="Arial"/>
          <w:sz w:val="20"/>
          <w:szCs w:val="20"/>
        </w:rPr>
        <w:t>opióides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É importante ressaltar que o paciente que chega à emergência com crise álgica já deve ter sido medicado em casa, pela própria família, com analgésico, anti-inflamatório e, muitas vezes, com codeína, portanto, aquela crise dolorosa deve </w:t>
      </w:r>
      <w:r w:rsidR="00580546">
        <w:rPr>
          <w:rFonts w:ascii="Arial" w:hAnsi="Arial" w:cs="Arial"/>
          <w:sz w:val="20"/>
          <w:szCs w:val="20"/>
        </w:rPr>
        <w:t>ser classificada de Moderada a G</w:t>
      </w:r>
      <w:r w:rsidRPr="00EE2D0A">
        <w:rPr>
          <w:rFonts w:ascii="Arial" w:hAnsi="Arial" w:cs="Arial"/>
          <w:sz w:val="20"/>
          <w:szCs w:val="20"/>
        </w:rPr>
        <w:t xml:space="preserve">rave ou Grave. Nesse sentido, é prioritário controlar a dor do paciente, sendo necessário a prescrição imediata das medicações – analgésico (dipirona, </w:t>
      </w:r>
      <w:proofErr w:type="gramStart"/>
      <w:r w:rsidRPr="00EE2D0A">
        <w:rPr>
          <w:rFonts w:ascii="Arial" w:hAnsi="Arial" w:cs="Arial"/>
          <w:sz w:val="20"/>
          <w:szCs w:val="20"/>
        </w:rPr>
        <w:t>IV ,</w:t>
      </w:r>
      <w:proofErr w:type="gramEnd"/>
      <w:r w:rsidRPr="00EE2D0A">
        <w:rPr>
          <w:rFonts w:ascii="Arial" w:hAnsi="Arial" w:cs="Arial"/>
          <w:sz w:val="20"/>
          <w:szCs w:val="20"/>
        </w:rPr>
        <w:t xml:space="preserve"> a cada 4 ou a cada 6h) ; anti-inflamatório, especialmente para queixas de dor em território ósseo (cetoprofeno, ibuprofeno, VO, a cada 6 ou 8h ou </w:t>
      </w:r>
      <w:proofErr w:type="spellStart"/>
      <w:r w:rsidRPr="00EE2D0A">
        <w:rPr>
          <w:rFonts w:ascii="Arial" w:hAnsi="Arial" w:cs="Arial"/>
          <w:sz w:val="20"/>
          <w:szCs w:val="20"/>
        </w:rPr>
        <w:t>tenoxicam</w:t>
      </w:r>
      <w:proofErr w:type="spellEnd"/>
      <w:r w:rsidRPr="00EE2D0A">
        <w:rPr>
          <w:rFonts w:ascii="Arial" w:hAnsi="Arial" w:cs="Arial"/>
          <w:sz w:val="20"/>
          <w:szCs w:val="20"/>
        </w:rPr>
        <w:t>, IV, 1 ou 2x/dia, para os maiores de 12 anos) ;</w:t>
      </w:r>
      <w:r w:rsidR="00580546">
        <w:rPr>
          <w:rFonts w:ascii="Arial" w:hAnsi="Arial" w:cs="Arial"/>
          <w:sz w:val="20"/>
          <w:szCs w:val="20"/>
        </w:rPr>
        <w:t xml:space="preserve"> morfina (</w:t>
      </w:r>
      <w:r w:rsidRPr="00EE2D0A">
        <w:rPr>
          <w:rFonts w:ascii="Arial" w:hAnsi="Arial" w:cs="Arial"/>
          <w:sz w:val="20"/>
          <w:szCs w:val="20"/>
        </w:rPr>
        <w:t>IV, a cada 3, 4 ou 6h</w:t>
      </w:r>
      <w:r w:rsidR="00580546">
        <w:rPr>
          <w:rFonts w:ascii="Arial" w:hAnsi="Arial" w:cs="Arial"/>
          <w:sz w:val="20"/>
          <w:szCs w:val="20"/>
        </w:rPr>
        <w:t>, pura</w:t>
      </w:r>
      <w:r w:rsidRPr="00EE2D0A">
        <w:rPr>
          <w:rFonts w:ascii="Arial" w:hAnsi="Arial" w:cs="Arial"/>
          <w:sz w:val="20"/>
          <w:szCs w:val="20"/>
        </w:rPr>
        <w:t xml:space="preserve">, sem diluir. Se necessário, prescrever em infusão contínua). Atentar para os potenciais efeitos adversos dessas medicações: </w:t>
      </w:r>
      <w:proofErr w:type="spellStart"/>
      <w:r w:rsidRPr="00EE2D0A">
        <w:rPr>
          <w:rFonts w:ascii="Arial" w:hAnsi="Arial" w:cs="Arial"/>
          <w:sz w:val="20"/>
          <w:szCs w:val="20"/>
        </w:rPr>
        <w:t>gastropatia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E2D0A">
        <w:rPr>
          <w:rFonts w:ascii="Arial" w:hAnsi="Arial" w:cs="Arial"/>
          <w:sz w:val="20"/>
          <w:szCs w:val="20"/>
        </w:rPr>
        <w:t>nefropatias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alterações hemostáticas com os analgésicos e anti-inflamatórios; prurido, retenção urinária, constipação intestinal, náuseas, vômitos e sonolência com a morfina. Avaliar a resposta ao tratamento para dor após 24h de esquema analgésico, se melhora, é recomendado reduzir as doses</w:t>
      </w:r>
      <w:r w:rsidR="00664F2B">
        <w:rPr>
          <w:rFonts w:ascii="Arial" w:hAnsi="Arial" w:cs="Arial"/>
          <w:sz w:val="20"/>
          <w:szCs w:val="20"/>
        </w:rPr>
        <w:t xml:space="preserve"> (20 a 30% de cada vez)</w:t>
      </w:r>
      <w:r w:rsidRPr="00EE2D0A">
        <w:rPr>
          <w:rFonts w:ascii="Arial" w:hAnsi="Arial" w:cs="Arial"/>
          <w:sz w:val="20"/>
          <w:szCs w:val="20"/>
        </w:rPr>
        <w:t xml:space="preserve">, iniciando pela morfina, mantendo-se os intervalos, até o controle adequado e suspensão da medicação. Deve-se evitar a hiper-hidratação no paciente com DF, eles têm água corporal aumentada e principalmente naqueles que já possuem algum grau de cardiopatia, há risco de deflagrar edema agudo de pulmão. A taxa hídrica total deve corresponder a 1 – 1,5 vezes a taxa de manutenção normal, salvo nas situações clínicas onde houver perdas líquidas, por exemplo, nas </w:t>
      </w:r>
      <w:proofErr w:type="gramStart"/>
      <w:r w:rsidRPr="00EE2D0A">
        <w:rPr>
          <w:rFonts w:ascii="Arial" w:hAnsi="Arial" w:cs="Arial"/>
          <w:sz w:val="20"/>
          <w:szCs w:val="20"/>
        </w:rPr>
        <w:t>GECA(</w:t>
      </w:r>
      <w:proofErr w:type="gramEnd"/>
      <w:r w:rsidRPr="00EE2D0A">
        <w:rPr>
          <w:rFonts w:ascii="Arial" w:hAnsi="Arial" w:cs="Arial"/>
          <w:sz w:val="20"/>
          <w:szCs w:val="20"/>
        </w:rPr>
        <w:t xml:space="preserve">s), com vômitos e </w:t>
      </w:r>
      <w:r w:rsidR="00580546" w:rsidRPr="00EE2D0A">
        <w:rPr>
          <w:rFonts w:ascii="Arial" w:hAnsi="Arial" w:cs="Arial"/>
          <w:sz w:val="20"/>
          <w:szCs w:val="20"/>
        </w:rPr>
        <w:t>diarreia</w:t>
      </w:r>
      <w:r w:rsidRPr="00EE2D0A">
        <w:rPr>
          <w:rFonts w:ascii="Arial" w:hAnsi="Arial" w:cs="Arial"/>
          <w:sz w:val="20"/>
          <w:szCs w:val="20"/>
        </w:rPr>
        <w:t xml:space="preserve">. Medicações adjuvantes: anti-histamínicos, protetores gástricos, </w:t>
      </w:r>
      <w:proofErr w:type="spellStart"/>
      <w:r w:rsidRPr="00EE2D0A">
        <w:rPr>
          <w:rFonts w:ascii="Arial" w:hAnsi="Arial" w:cs="Arial"/>
          <w:sz w:val="20"/>
          <w:szCs w:val="20"/>
        </w:rPr>
        <w:t>anti-eméticos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anti-depressivos</w:t>
      </w:r>
      <w:proofErr w:type="spellEnd"/>
      <w:r w:rsidRPr="00EE2D0A">
        <w:rPr>
          <w:rFonts w:ascii="Arial" w:hAnsi="Arial" w:cs="Arial"/>
          <w:sz w:val="20"/>
          <w:szCs w:val="20"/>
        </w:rPr>
        <w:t>.</w:t>
      </w:r>
    </w:p>
    <w:p w14:paraId="34E9259A" w14:textId="5B329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EE2D0A">
        <w:rPr>
          <w:rFonts w:ascii="Arial" w:hAnsi="Arial" w:cs="Arial"/>
          <w:sz w:val="20"/>
          <w:szCs w:val="20"/>
        </w:rPr>
        <w:t>SÍndrome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torácica aguda (STA): caracterizada por </w:t>
      </w:r>
      <w:r w:rsidR="00664F2B">
        <w:rPr>
          <w:rFonts w:ascii="Arial" w:hAnsi="Arial" w:cs="Arial"/>
          <w:sz w:val="20"/>
          <w:szCs w:val="20"/>
        </w:rPr>
        <w:t xml:space="preserve">febre, dor torácica, </w:t>
      </w:r>
      <w:proofErr w:type="spellStart"/>
      <w:r w:rsidR="00664F2B">
        <w:rPr>
          <w:rFonts w:ascii="Arial" w:hAnsi="Arial" w:cs="Arial"/>
          <w:sz w:val="20"/>
          <w:szCs w:val="20"/>
        </w:rPr>
        <w:t>taquidispne</w:t>
      </w:r>
      <w:r w:rsidRPr="00EE2D0A">
        <w:rPr>
          <w:rFonts w:ascii="Arial" w:hAnsi="Arial" w:cs="Arial"/>
          <w:sz w:val="20"/>
          <w:szCs w:val="20"/>
        </w:rPr>
        <w:t>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sibilos, tosse ou hipoxemia e o surgimento de um infiltrado pulmonar novo no RX de tórax. Para o diagnóstico, além do quadro clínico, nota-se </w:t>
      </w:r>
      <w:r w:rsidR="00664F2B">
        <w:rPr>
          <w:rFonts w:ascii="Arial" w:hAnsi="Arial" w:cs="Arial"/>
          <w:sz w:val="20"/>
          <w:szCs w:val="20"/>
        </w:rPr>
        <w:t xml:space="preserve">também uma queda de, pelo menos, 2 g/dl </w:t>
      </w:r>
      <w:r w:rsidRPr="00EE2D0A">
        <w:rPr>
          <w:rFonts w:ascii="Arial" w:hAnsi="Arial" w:cs="Arial"/>
          <w:sz w:val="20"/>
          <w:szCs w:val="20"/>
        </w:rPr>
        <w:t>na</w:t>
      </w:r>
      <w:r w:rsidR="00664F2B">
        <w:rPr>
          <w:rFonts w:ascii="Arial" w:hAnsi="Arial" w:cs="Arial"/>
          <w:sz w:val="20"/>
          <w:szCs w:val="20"/>
        </w:rPr>
        <w:t xml:space="preserve"> HB basal do paciente e na</w:t>
      </w:r>
      <w:r w:rsidRPr="00EE2D0A">
        <w:rPr>
          <w:rFonts w:ascii="Arial" w:hAnsi="Arial" w:cs="Arial"/>
          <w:sz w:val="20"/>
          <w:szCs w:val="20"/>
        </w:rPr>
        <w:t xml:space="preserve"> gasometria arterial uma paO</w:t>
      </w:r>
      <w:r w:rsidRPr="00EE2D0A">
        <w:rPr>
          <w:rFonts w:ascii="Arial" w:hAnsi="Arial" w:cs="Arial"/>
          <w:sz w:val="20"/>
          <w:szCs w:val="20"/>
          <w:vertAlign w:val="subscript"/>
        </w:rPr>
        <w:t>2</w:t>
      </w:r>
      <w:r w:rsidRPr="00EE2D0A">
        <w:rPr>
          <w:rFonts w:ascii="Arial" w:hAnsi="Arial" w:cs="Arial"/>
          <w:sz w:val="20"/>
          <w:szCs w:val="20"/>
        </w:rPr>
        <w:t xml:space="preserve"> &lt; 75%. As etiologias incluem vaso-oclusão pulmonar e isquemia, embolização gordurosa e tromboembolismo, crises agudas de asma e infecção. É mais frequente nas crianças que em adultos, com pico entre 2 – 4 anos e os episódios recorrentes são comuns. A STA ocorre após episódios de infecções do trato respiratório, virais ou bacterianas, onde já foram identificados vários agentes etiológicos diferentes: pneumococo, </w:t>
      </w:r>
      <w:proofErr w:type="spellStart"/>
      <w:r w:rsidRPr="00EE2D0A">
        <w:rPr>
          <w:rFonts w:ascii="Arial" w:hAnsi="Arial" w:cs="Arial"/>
          <w:sz w:val="20"/>
          <w:szCs w:val="20"/>
        </w:rPr>
        <w:t>hemófilo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estafilococo, salmonela, </w:t>
      </w:r>
      <w:proofErr w:type="spellStart"/>
      <w:r w:rsidRPr="00EE2D0A">
        <w:rPr>
          <w:rFonts w:ascii="Arial" w:hAnsi="Arial" w:cs="Arial"/>
          <w:sz w:val="20"/>
          <w:szCs w:val="20"/>
        </w:rPr>
        <w:t>klebisiela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</w:t>
      </w:r>
      <w:r w:rsidR="00BB29D7" w:rsidRPr="00EE2D0A">
        <w:rPr>
          <w:rFonts w:ascii="Arial" w:hAnsi="Arial" w:cs="Arial"/>
          <w:sz w:val="20"/>
          <w:szCs w:val="20"/>
        </w:rPr>
        <w:t xml:space="preserve">clamídia, </w:t>
      </w:r>
      <w:proofErr w:type="spellStart"/>
      <w:r w:rsidR="00BB29D7" w:rsidRPr="00EE2D0A">
        <w:rPr>
          <w:rFonts w:ascii="Arial" w:hAnsi="Arial" w:cs="Arial"/>
          <w:sz w:val="20"/>
          <w:szCs w:val="20"/>
        </w:rPr>
        <w:t>micoplasma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vírus sincicial respiratório, </w:t>
      </w:r>
      <w:proofErr w:type="spellStart"/>
      <w:r w:rsidRPr="00EE2D0A">
        <w:rPr>
          <w:rFonts w:ascii="Arial" w:hAnsi="Arial" w:cs="Arial"/>
          <w:sz w:val="20"/>
          <w:szCs w:val="20"/>
        </w:rPr>
        <w:t>parvovírus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B10. Por cursar com comprometimento alveolar e devido às infecções estarem entre as etiologias descritas, o diagnóstico diferencial com pneumonia bacteriana é difícil, impondo-se a necessidade do tratamento com antibióticos para garantir a abordagem desta doença. Está indicado esquema de antibiótico com largo espectro: </w:t>
      </w:r>
      <w:proofErr w:type="spellStart"/>
      <w:r w:rsidRPr="00EE2D0A">
        <w:rPr>
          <w:rFonts w:ascii="Arial" w:hAnsi="Arial" w:cs="Arial"/>
          <w:sz w:val="20"/>
          <w:szCs w:val="20"/>
        </w:rPr>
        <w:t>ceftriaxona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(bactérias encapsuladas) + </w:t>
      </w:r>
      <w:proofErr w:type="spellStart"/>
      <w:r w:rsidRPr="00EE2D0A">
        <w:rPr>
          <w:rFonts w:ascii="Arial" w:hAnsi="Arial" w:cs="Arial"/>
          <w:sz w:val="20"/>
          <w:szCs w:val="20"/>
        </w:rPr>
        <w:lastRenderedPageBreak/>
        <w:t>macrolídeo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EE2D0A">
        <w:rPr>
          <w:rFonts w:ascii="Arial" w:hAnsi="Arial" w:cs="Arial"/>
          <w:sz w:val="20"/>
          <w:szCs w:val="20"/>
        </w:rPr>
        <w:t>quinolona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(germes atípicos). Manuseio da STA: oxigênio suplementar para corrigir a hipoxemia (saturação deve ser mantida </w:t>
      </w:r>
      <w:r w:rsidRPr="00EE2D0A">
        <w:rPr>
          <w:rFonts w:ascii="Arial" w:hAnsi="Arial" w:cs="Arial"/>
          <w:sz w:val="20"/>
          <w:szCs w:val="20"/>
          <w:u w:val="single"/>
        </w:rPr>
        <w:t>&gt;</w:t>
      </w:r>
      <w:r w:rsidR="00BB29D7">
        <w:rPr>
          <w:rFonts w:ascii="Arial" w:hAnsi="Arial" w:cs="Arial"/>
          <w:sz w:val="20"/>
          <w:szCs w:val="20"/>
        </w:rPr>
        <w:t xml:space="preserve"> 92%)</w:t>
      </w:r>
      <w:r w:rsidRPr="00EE2D0A">
        <w:rPr>
          <w:rFonts w:ascii="Arial" w:hAnsi="Arial" w:cs="Arial"/>
          <w:sz w:val="20"/>
          <w:szCs w:val="20"/>
        </w:rPr>
        <w:t>; hidratação venosa adequada (máximo 1,</w:t>
      </w:r>
      <w:r w:rsidR="00BB29D7">
        <w:rPr>
          <w:rFonts w:ascii="Arial" w:hAnsi="Arial" w:cs="Arial"/>
          <w:sz w:val="20"/>
          <w:szCs w:val="20"/>
        </w:rPr>
        <w:t>5 vezes o volume de manutenção)</w:t>
      </w:r>
      <w:r w:rsidRPr="00EE2D0A">
        <w:rPr>
          <w:rFonts w:ascii="Arial" w:hAnsi="Arial" w:cs="Arial"/>
          <w:sz w:val="20"/>
          <w:szCs w:val="20"/>
        </w:rPr>
        <w:t>; transfusão de concentrado de hemácias (10ml/Kg</w:t>
      </w:r>
      <w:r w:rsidR="00BB29D7">
        <w:rPr>
          <w:rFonts w:ascii="Arial" w:hAnsi="Arial" w:cs="Arial"/>
          <w:sz w:val="20"/>
          <w:szCs w:val="20"/>
        </w:rPr>
        <w:t>, máximo de 300 ml, o que corresponde a uma bolsa</w:t>
      </w:r>
      <w:r w:rsidRPr="00EE2D0A">
        <w:rPr>
          <w:rFonts w:ascii="Arial" w:hAnsi="Arial" w:cs="Arial"/>
          <w:sz w:val="20"/>
          <w:szCs w:val="20"/>
        </w:rPr>
        <w:t>), o objetivo é manter o</w:t>
      </w:r>
      <w:r w:rsidR="00BB29D7">
        <w:rPr>
          <w:rFonts w:ascii="Arial" w:hAnsi="Arial" w:cs="Arial"/>
          <w:sz w:val="20"/>
          <w:szCs w:val="20"/>
        </w:rPr>
        <w:t xml:space="preserve">s níveis de </w:t>
      </w:r>
      <w:proofErr w:type="spellStart"/>
      <w:r w:rsidR="00BB29D7">
        <w:rPr>
          <w:rFonts w:ascii="Arial" w:hAnsi="Arial" w:cs="Arial"/>
          <w:sz w:val="20"/>
          <w:szCs w:val="20"/>
        </w:rPr>
        <w:t>Hb</w:t>
      </w:r>
      <w:proofErr w:type="spellEnd"/>
      <w:r w:rsidR="00BB29D7">
        <w:rPr>
          <w:rFonts w:ascii="Arial" w:hAnsi="Arial" w:cs="Arial"/>
          <w:sz w:val="20"/>
          <w:szCs w:val="20"/>
        </w:rPr>
        <w:t xml:space="preserve"> entre 10 – 11g/%</w:t>
      </w:r>
      <w:r w:rsidRPr="00EE2D0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EE2D0A">
        <w:rPr>
          <w:rFonts w:ascii="Arial" w:hAnsi="Arial" w:cs="Arial"/>
          <w:sz w:val="20"/>
          <w:szCs w:val="20"/>
        </w:rPr>
        <w:t>antibioticoterapia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EE2D0A">
        <w:rPr>
          <w:rFonts w:ascii="Arial" w:hAnsi="Arial" w:cs="Arial"/>
          <w:sz w:val="20"/>
          <w:szCs w:val="20"/>
        </w:rPr>
        <w:t>ceftriaxona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(75 – 100mg/Kg, IV, a cada 24h. Não ultrapassar 4g/dia) e azitromicina (10 mg/Kg, VO, a cada 24h, máximo de 500 mg/dia). </w:t>
      </w:r>
      <w:proofErr w:type="spellStart"/>
      <w:r w:rsidRPr="00EE2D0A">
        <w:rPr>
          <w:rFonts w:ascii="Arial" w:hAnsi="Arial" w:cs="Arial"/>
          <w:sz w:val="20"/>
          <w:szCs w:val="20"/>
        </w:rPr>
        <w:t>Quinolonas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podem ser utilizadas nas crianças maiores e adolescentes – </w:t>
      </w:r>
      <w:proofErr w:type="spellStart"/>
      <w:r w:rsidRPr="00EE2D0A">
        <w:rPr>
          <w:rFonts w:ascii="Arial" w:hAnsi="Arial" w:cs="Arial"/>
          <w:sz w:val="20"/>
          <w:szCs w:val="20"/>
        </w:rPr>
        <w:t>levofloxacino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(500 – 750 mg/dia, a cada 24h).</w:t>
      </w:r>
    </w:p>
    <w:p w14:paraId="6F5441C9" w14:textId="161A75D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3. Sequestro esplênico: é o aprisionamento agudo de sangue dentro do baço levando à anemia severa e hipovolemia, de rápida evolução, </w:t>
      </w:r>
      <w:r w:rsidR="00BB29D7" w:rsidRPr="00EE2D0A">
        <w:rPr>
          <w:rFonts w:ascii="Arial" w:hAnsi="Arial" w:cs="Arial"/>
          <w:sz w:val="20"/>
          <w:szCs w:val="20"/>
        </w:rPr>
        <w:t>constituindo,</w:t>
      </w:r>
      <w:r w:rsidRPr="00EE2D0A">
        <w:rPr>
          <w:rFonts w:ascii="Arial" w:hAnsi="Arial" w:cs="Arial"/>
          <w:sz w:val="20"/>
          <w:szCs w:val="20"/>
        </w:rPr>
        <w:t xml:space="preserve"> portanto, uma urgência médica. Tem maior incidência entre os 6 meses a 3 anos de idade e nos portadores de outras síndromes falciformes que permanecem com o baço aumentado. Nessas crises, o baço aumenta rapidamente de volume e ocorre queda súbita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maior que 2 g/dl do nível basal do paciente, com </w:t>
      </w:r>
      <w:proofErr w:type="spellStart"/>
      <w:r w:rsidRPr="00EE2D0A">
        <w:rPr>
          <w:rFonts w:ascii="Arial" w:hAnsi="Arial" w:cs="Arial"/>
          <w:sz w:val="20"/>
          <w:szCs w:val="20"/>
        </w:rPr>
        <w:t>reticulocitose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podendo provocar choque hipovolêmico e morte. Clinicamente se manifesta com astenia, palidez acentuada, letargia, aumento do volume abdominal pelo aumento abrupto do baço. Possibilidade de recorrência de 50%. Manuseio da crise de sequestração esplênica: o paciente deve ser prontamente internado e submetido à restauração da volemia. Colher sangue para dosar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antes da transfusão, juntamente com a prova cruzada. Prescrever concentrado de hemácias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&lt; 30% (10 ml/kg</w:t>
      </w:r>
      <w:r w:rsidR="00BB29D7">
        <w:rPr>
          <w:rFonts w:ascii="Arial" w:hAnsi="Arial" w:cs="Arial"/>
          <w:sz w:val="20"/>
          <w:szCs w:val="20"/>
        </w:rPr>
        <w:t>, máximo de 300 ml</w:t>
      </w:r>
      <w:r w:rsidRPr="00EE2D0A">
        <w:rPr>
          <w:rFonts w:ascii="Arial" w:hAnsi="Arial" w:cs="Arial"/>
          <w:sz w:val="20"/>
          <w:szCs w:val="20"/>
        </w:rPr>
        <w:t xml:space="preserve">) e </w:t>
      </w:r>
      <w:proofErr w:type="spellStart"/>
      <w:r w:rsidRPr="00EE2D0A">
        <w:rPr>
          <w:rFonts w:ascii="Arial" w:hAnsi="Arial" w:cs="Arial"/>
          <w:sz w:val="20"/>
          <w:szCs w:val="20"/>
        </w:rPr>
        <w:t>exsanguíneotransfusão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parcial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&gt; 30%. A transfusão deve ser realizada imediatamente, mesmo que o sangue disponível não seja </w:t>
      </w:r>
      <w:proofErr w:type="spellStart"/>
      <w:r w:rsidRPr="00EE2D0A">
        <w:rPr>
          <w:rFonts w:ascii="Arial" w:hAnsi="Arial" w:cs="Arial"/>
          <w:sz w:val="20"/>
          <w:szCs w:val="20"/>
        </w:rPr>
        <w:t>fenotipado</w:t>
      </w:r>
      <w:proofErr w:type="spellEnd"/>
      <w:r w:rsidRPr="00EE2D0A">
        <w:rPr>
          <w:rFonts w:ascii="Arial" w:hAnsi="Arial" w:cs="Arial"/>
          <w:sz w:val="20"/>
          <w:szCs w:val="20"/>
        </w:rPr>
        <w:t>. Atenção: não prescrever uma 2ª transfusão sem antes fazer um exame (hemograma) de controle.</w:t>
      </w:r>
    </w:p>
    <w:p w14:paraId="0E6CA8BE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4. Crise de </w:t>
      </w:r>
      <w:proofErr w:type="spellStart"/>
      <w:r w:rsidRPr="00EE2D0A">
        <w:rPr>
          <w:rFonts w:ascii="Arial" w:hAnsi="Arial" w:cs="Arial"/>
          <w:sz w:val="20"/>
          <w:szCs w:val="20"/>
        </w:rPr>
        <w:t>hiper-hemólise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: ocorre geralmente após infecções por </w:t>
      </w:r>
      <w:proofErr w:type="spellStart"/>
      <w:r w:rsidRPr="00EE2D0A">
        <w:rPr>
          <w:rFonts w:ascii="Arial" w:hAnsi="Arial" w:cs="Arial"/>
          <w:sz w:val="20"/>
          <w:szCs w:val="20"/>
        </w:rPr>
        <w:t>micoplasma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quando há associação com </w:t>
      </w:r>
      <w:proofErr w:type="spellStart"/>
      <w:r w:rsidRPr="00EE2D0A">
        <w:rPr>
          <w:rFonts w:ascii="Arial" w:hAnsi="Arial" w:cs="Arial"/>
          <w:sz w:val="20"/>
          <w:szCs w:val="20"/>
        </w:rPr>
        <w:t>esferocitose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deficiência de G6PD. Clinicamente, se manifesta com icterícia súbita e progressiva, às custas de </w:t>
      </w:r>
      <w:proofErr w:type="spellStart"/>
      <w:r w:rsidRPr="00EE2D0A">
        <w:rPr>
          <w:rFonts w:ascii="Arial" w:hAnsi="Arial" w:cs="Arial"/>
          <w:sz w:val="20"/>
          <w:szCs w:val="20"/>
        </w:rPr>
        <w:t>Bb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indireta, queda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reticulocitose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Indica-se a transfusão de concentrado de hemácias nos casos em que há queda de 2 g/dl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basal do paciente ou quando houver sinais clínicos de descompensação hemodinâmica.</w:t>
      </w:r>
    </w:p>
    <w:p w14:paraId="79924A13" w14:textId="10276863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5. Crise </w:t>
      </w:r>
      <w:proofErr w:type="spellStart"/>
      <w:r w:rsidRPr="00EE2D0A">
        <w:rPr>
          <w:rFonts w:ascii="Arial" w:hAnsi="Arial" w:cs="Arial"/>
          <w:sz w:val="20"/>
          <w:szCs w:val="20"/>
        </w:rPr>
        <w:t>aplástica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: não é frequente e ocorre geralmente após processos infecciosos relacionados ao </w:t>
      </w:r>
      <w:proofErr w:type="spellStart"/>
      <w:r w:rsidRPr="00EE2D0A">
        <w:rPr>
          <w:rFonts w:ascii="Arial" w:hAnsi="Arial" w:cs="Arial"/>
          <w:sz w:val="20"/>
          <w:szCs w:val="20"/>
        </w:rPr>
        <w:t>parvovírus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B19. Há supressão temporária da eritropoiese medular que, associada a menor sobrevida das hemácias dos pacientes, resultam numa anemia severa. Clinicamente, há sintomas decorrentes de uma anemia aguda, sem </w:t>
      </w:r>
      <w:proofErr w:type="spellStart"/>
      <w:r w:rsidRPr="00EE2D0A">
        <w:rPr>
          <w:rFonts w:ascii="Arial" w:hAnsi="Arial" w:cs="Arial"/>
          <w:sz w:val="20"/>
          <w:szCs w:val="20"/>
        </w:rPr>
        <w:t>visceromegalias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podendo alguma vezes, estar presentes sinais de choque hipovolêmico. Podem ser encontrados ainda, febre, sinais de infecção respiratória ou gastrointestinal. A principal característica laboratorial é a </w:t>
      </w:r>
      <w:proofErr w:type="spellStart"/>
      <w:r w:rsidRPr="00EE2D0A">
        <w:rPr>
          <w:rFonts w:ascii="Arial" w:hAnsi="Arial" w:cs="Arial"/>
          <w:sz w:val="20"/>
          <w:szCs w:val="20"/>
        </w:rPr>
        <w:t>reticulocitopenia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na ausência de icterícia. Deve-se colher sorologia para o </w:t>
      </w:r>
      <w:proofErr w:type="spellStart"/>
      <w:r w:rsidRPr="00EE2D0A">
        <w:rPr>
          <w:rFonts w:ascii="Arial" w:hAnsi="Arial" w:cs="Arial"/>
          <w:sz w:val="20"/>
          <w:szCs w:val="20"/>
        </w:rPr>
        <w:t>parvovírus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B19 e realizar transfusão de concentrado de hemácias (10 ml/kg</w:t>
      </w:r>
      <w:r w:rsidR="00BB29D7">
        <w:rPr>
          <w:rFonts w:ascii="Arial" w:hAnsi="Arial" w:cs="Arial"/>
          <w:sz w:val="20"/>
          <w:szCs w:val="20"/>
        </w:rPr>
        <w:t>, máximo de 300 ml</w:t>
      </w:r>
      <w:r w:rsidRPr="00EE2D0A">
        <w:rPr>
          <w:rFonts w:ascii="Arial" w:hAnsi="Arial" w:cs="Arial"/>
          <w:sz w:val="20"/>
          <w:szCs w:val="20"/>
        </w:rPr>
        <w:t>), com controle do hemograma 24h após. É indicado o uso da gamaglobulina venosa – GGIV, na dose de 2g/kg, dose única, correr em bomba de infusão, em 12h.</w:t>
      </w:r>
    </w:p>
    <w:p w14:paraId="7C30BEEC" w14:textId="52DC690B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6. Acidente vascular encefálico (AVE): uma das mais graves complicações da AF, é um evento neurológico agudo que ocorre em cerca de 10% das crianças com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SS, secundário à vaso-oclusão ou hemorragia, cujos sintomas são: </w:t>
      </w:r>
      <w:proofErr w:type="spellStart"/>
      <w:r w:rsidRPr="00EE2D0A">
        <w:rPr>
          <w:rFonts w:ascii="Arial" w:hAnsi="Arial" w:cs="Arial"/>
          <w:sz w:val="20"/>
          <w:szCs w:val="20"/>
        </w:rPr>
        <w:t>hemi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ou monoparesia, distúrbios visuais, afasia ou disfasia, convulsões, coma. O diagnóstico é confirmado pela TC (sem contraste) ou RM. Manuseio do AVE: o paciente deve ser prontamente submetido à </w:t>
      </w:r>
      <w:r w:rsidR="00BB29D7" w:rsidRPr="00EE2D0A">
        <w:rPr>
          <w:rFonts w:ascii="Arial" w:hAnsi="Arial" w:cs="Arial"/>
          <w:sz w:val="20"/>
          <w:szCs w:val="20"/>
        </w:rPr>
        <w:t>transfusão (</w:t>
      </w:r>
      <w:r w:rsidRPr="00EE2D0A">
        <w:rPr>
          <w:rFonts w:ascii="Arial" w:hAnsi="Arial" w:cs="Arial"/>
          <w:sz w:val="20"/>
          <w:szCs w:val="20"/>
        </w:rPr>
        <w:t xml:space="preserve">colher sangue para dosar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antes). Prescrever concentrado de hemácias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&lt; 30% (10 ml/kg</w:t>
      </w:r>
      <w:r w:rsidR="00BB29D7">
        <w:rPr>
          <w:rFonts w:ascii="Arial" w:hAnsi="Arial" w:cs="Arial"/>
          <w:sz w:val="20"/>
          <w:szCs w:val="20"/>
        </w:rPr>
        <w:t>, máximo de 300 ml</w:t>
      </w:r>
      <w:r w:rsidRPr="00EE2D0A">
        <w:rPr>
          <w:rFonts w:ascii="Arial" w:hAnsi="Arial" w:cs="Arial"/>
          <w:sz w:val="20"/>
          <w:szCs w:val="20"/>
        </w:rPr>
        <w:t xml:space="preserve">) e </w:t>
      </w:r>
      <w:proofErr w:type="spellStart"/>
      <w:r w:rsidRPr="00EE2D0A">
        <w:rPr>
          <w:rFonts w:ascii="Arial" w:hAnsi="Arial" w:cs="Arial"/>
          <w:sz w:val="20"/>
          <w:szCs w:val="20"/>
        </w:rPr>
        <w:t>exsanguíneotransfusão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parcial se </w:t>
      </w:r>
      <w:proofErr w:type="spellStart"/>
      <w:r w:rsidRPr="00EE2D0A">
        <w:rPr>
          <w:rFonts w:ascii="Arial" w:hAnsi="Arial" w:cs="Arial"/>
          <w:sz w:val="20"/>
          <w:szCs w:val="20"/>
        </w:rPr>
        <w:t>Ht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&gt; 30%. A transfusão deve ser realizada imediatamente, mesmo que o sangue disponível não seja </w:t>
      </w:r>
      <w:proofErr w:type="spellStart"/>
      <w:r w:rsidRPr="00EE2D0A">
        <w:rPr>
          <w:rFonts w:ascii="Arial" w:hAnsi="Arial" w:cs="Arial"/>
          <w:sz w:val="20"/>
          <w:szCs w:val="20"/>
        </w:rPr>
        <w:t>fenotipado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Atenção: não elevar 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para mais que 10 mg/dl e nunca prescrever uma 2ª transfusão sem antes fazer um exame (hemograma) de controle. Após a regressão do quadro agudo, o paciente deve se mantido em regime crônico de transfusões ( a cada 3 – 4 semanas), visando manter a concentração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inferior a 30%, uma vez que o índice de recorrência do AVE  alcança 67% dos pacientes entre 12 e 24 meses após o primeiro episódio e 80% nos 3 primeiros anos, quando não transfundidos cronicamente. Mesmo os pacientes em esquema transfusional podem apresentar recorrência de 10%. O nível de hemoglobina </w:t>
      </w:r>
      <w:proofErr w:type="spellStart"/>
      <w:r w:rsidRPr="00EE2D0A">
        <w:rPr>
          <w:rFonts w:ascii="Arial" w:hAnsi="Arial" w:cs="Arial"/>
          <w:sz w:val="20"/>
          <w:szCs w:val="20"/>
        </w:rPr>
        <w:t>pré-transfusional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deve ser mantido entre 8 e 9 g/dl e hemoglobina pós-transfusional ao redor de 10g/dl. É recomendado realizar a triagem de pacientes com </w:t>
      </w:r>
      <w:proofErr w:type="spellStart"/>
      <w:r w:rsidRPr="00EE2D0A">
        <w:rPr>
          <w:rFonts w:ascii="Arial" w:hAnsi="Arial" w:cs="Arial"/>
          <w:sz w:val="20"/>
          <w:szCs w:val="20"/>
        </w:rPr>
        <w:t>doppler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D0A">
        <w:rPr>
          <w:rFonts w:ascii="Arial" w:hAnsi="Arial" w:cs="Arial"/>
          <w:sz w:val="20"/>
          <w:szCs w:val="20"/>
        </w:rPr>
        <w:t>transcraniano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nos pacientes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entre 2 – 17 anos, para avaliar a velocidade de fluxo </w:t>
      </w:r>
      <w:r w:rsidRPr="00EE2D0A">
        <w:rPr>
          <w:rFonts w:ascii="Arial" w:hAnsi="Arial" w:cs="Arial"/>
          <w:sz w:val="20"/>
          <w:szCs w:val="20"/>
        </w:rPr>
        <w:lastRenderedPageBreak/>
        <w:t>sanguíneo e identificar os pacientes com alto risco para AVE. Aqueles com velocidade &gt; 200 cm/</w:t>
      </w:r>
      <w:proofErr w:type="spellStart"/>
      <w:r w:rsidRPr="00EE2D0A">
        <w:rPr>
          <w:rFonts w:ascii="Arial" w:hAnsi="Arial" w:cs="Arial"/>
          <w:sz w:val="20"/>
          <w:szCs w:val="20"/>
        </w:rPr>
        <w:t>seg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devem ser colocados em regime de transfusões seriadas para impedir a 1ª crise de AVE.</w:t>
      </w:r>
    </w:p>
    <w:p w14:paraId="75196608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7. Fígado e vias biliares: as crises de </w:t>
      </w:r>
      <w:proofErr w:type="spellStart"/>
      <w:r w:rsidRPr="00EE2D0A">
        <w:rPr>
          <w:rFonts w:ascii="Arial" w:hAnsi="Arial" w:cs="Arial"/>
          <w:sz w:val="20"/>
          <w:szCs w:val="20"/>
        </w:rPr>
        <w:t>falcização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intra-hepática levam a um quadro de colestase, caracterizada por hepatomegalia, aumento das transaminases e níveis de </w:t>
      </w:r>
      <w:proofErr w:type="spellStart"/>
      <w:r w:rsidRPr="00EE2D0A">
        <w:rPr>
          <w:rFonts w:ascii="Arial" w:hAnsi="Arial" w:cs="Arial"/>
          <w:sz w:val="20"/>
          <w:szCs w:val="20"/>
        </w:rPr>
        <w:t>Bb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elevados com predomínio da fração direta. A colelitíase ocorre em 14% das crianças &lt; 10 anos, em 30% dos adolescentes e em 75% dos adultos com AF, com início frequentemente a partir dos 6 anos. Podem evoluir de modo assintomático ou apresentar crises de dor em hipocôndrio direito. Podem ocorrer complicações como a </w:t>
      </w:r>
      <w:proofErr w:type="spellStart"/>
      <w:r w:rsidRPr="00EE2D0A">
        <w:rPr>
          <w:rFonts w:ascii="Arial" w:hAnsi="Arial" w:cs="Arial"/>
          <w:sz w:val="20"/>
          <w:szCs w:val="20"/>
        </w:rPr>
        <w:t>colecistite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aguda, a obstrução do ducto biliar comum e pancreatite aguda. A US de abdome é o método diagnóstico mais utilizado. A retirada eletiva dos cálculos biliares assintomáticos é preferencial. Os episódios de </w:t>
      </w:r>
      <w:proofErr w:type="spellStart"/>
      <w:r w:rsidRPr="00EE2D0A">
        <w:rPr>
          <w:rFonts w:ascii="Arial" w:hAnsi="Arial" w:cs="Arial"/>
          <w:sz w:val="20"/>
          <w:szCs w:val="20"/>
        </w:rPr>
        <w:t>colecistite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aguda devem ser tratados conservadoramente com antibióticos, manutenção do balanço hidroeletrolítico e cuidados gerais, até regressão da crise, quando, então, a </w:t>
      </w:r>
      <w:proofErr w:type="spellStart"/>
      <w:r w:rsidRPr="00EE2D0A">
        <w:rPr>
          <w:rFonts w:ascii="Arial" w:hAnsi="Arial" w:cs="Arial"/>
          <w:sz w:val="20"/>
          <w:szCs w:val="20"/>
        </w:rPr>
        <w:t>colecistectomia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deverá ser realizada.</w:t>
      </w:r>
    </w:p>
    <w:p w14:paraId="6A6C3C50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8. Priapismo: há 2 grandes formas de apresentação, aguda e crônica. O episódio agudo é caracterizado por uma ereção dolorosa prolongada que persiste por várias horas, por decorrência da congestão dos corpos cavernosos e/ou esponjosos do pênis por hemácias falciformes. A forma crônica caracteriza-se por ereções dolorosas repetitivas e reversíveis. A conduta inicial baseia-se em analgesia sistêmica. A </w:t>
      </w:r>
      <w:proofErr w:type="spellStart"/>
      <w:r w:rsidRPr="00EE2D0A">
        <w:rPr>
          <w:rFonts w:ascii="Arial" w:hAnsi="Arial" w:cs="Arial"/>
          <w:sz w:val="20"/>
          <w:szCs w:val="20"/>
        </w:rPr>
        <w:t>exsanguíneotransfusão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parcial é indicada se não houver melhora após 12h de analgesia adequada (não deixar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final &gt; 10 g/dl). Se não houver melhora após 24h do início das manifestações clínicas, realizar punção aspirativa do corpo cavernoso e, mantendo-se ainda o priapismo, indica-se intervenção cirúrgica, com realização de shunts entre a glande e o corpo cavernoso ou com fístula </w:t>
      </w:r>
      <w:proofErr w:type="spellStart"/>
      <w:r w:rsidRPr="00EE2D0A">
        <w:rPr>
          <w:rFonts w:ascii="Arial" w:hAnsi="Arial" w:cs="Arial"/>
          <w:sz w:val="20"/>
          <w:szCs w:val="20"/>
        </w:rPr>
        <w:t>safenocavernosa</w:t>
      </w:r>
      <w:proofErr w:type="spellEnd"/>
      <w:r w:rsidRPr="00EE2D0A">
        <w:rPr>
          <w:rFonts w:ascii="Arial" w:hAnsi="Arial" w:cs="Arial"/>
          <w:sz w:val="20"/>
          <w:szCs w:val="20"/>
        </w:rPr>
        <w:t>. O tratamento deve ser imediato, não ultrapassando 24h, devido ao risco de sequelas, principalmente impotência.</w:t>
      </w:r>
    </w:p>
    <w:p w14:paraId="5552A932" w14:textId="6A0A61F3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9. Ossos e articulações: tanto as metáfises e epífises ósseas quanto as articulações adjacentes são acometidas no paciente com AF. Nos ossos longos, os infartos levam a edema de partes moles, podendo mimetizar um quadro de oste</w:t>
      </w:r>
      <w:r w:rsidR="004931E9">
        <w:rPr>
          <w:rFonts w:ascii="Arial" w:hAnsi="Arial" w:cs="Arial"/>
          <w:sz w:val="20"/>
          <w:szCs w:val="20"/>
        </w:rPr>
        <w:t>omielite. A necrose avascular, p</w:t>
      </w:r>
      <w:r w:rsidRPr="00EE2D0A">
        <w:rPr>
          <w:rFonts w:ascii="Arial" w:hAnsi="Arial" w:cs="Arial"/>
          <w:sz w:val="20"/>
          <w:szCs w:val="20"/>
        </w:rPr>
        <w:t xml:space="preserve">rincipalmente da cabeça do fêmur, é uma alteração marcante nesses pacientes (mais comum no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SC), caracterizada por dor persistente no quadril que piora à deambulação e alivia com o repouso. O diagnóstico precoce é realizado através de RM ou cintilografia óssea. </w:t>
      </w:r>
    </w:p>
    <w:p w14:paraId="5F31BEBA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10. Complicações cardiopulmonares: são resultantes da destruição tecidual por infecções e lesões vasculares recorrentes na circulação pulmonar, com consequente diminuição da complacência pulmonar, hipertensão pulmonar (verificada em 6 – 10% dos pacientes), insuficiência cardíaca de alto débito (estado hipercinético). Vários estudos recentes têm sugerido maior prevalência de asma entre os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do que nas crianças sem esta doença. A presença de </w:t>
      </w:r>
      <w:proofErr w:type="spellStart"/>
      <w:r w:rsidRPr="00EE2D0A">
        <w:rPr>
          <w:rFonts w:ascii="Arial" w:hAnsi="Arial" w:cs="Arial"/>
          <w:sz w:val="20"/>
          <w:szCs w:val="20"/>
        </w:rPr>
        <w:t>sibilância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no exame físico deve conduzir à investigação para asma, mas, nos doentes falciformes, os sibilos podem ocorrer mesmo sem estarem associados à asma. Portanto, </w:t>
      </w:r>
      <w:proofErr w:type="spellStart"/>
      <w:r w:rsidRPr="00EE2D0A">
        <w:rPr>
          <w:rFonts w:ascii="Arial" w:hAnsi="Arial" w:cs="Arial"/>
          <w:sz w:val="20"/>
          <w:szCs w:val="20"/>
        </w:rPr>
        <w:t>sibilância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asma são fatores de risco independentes, mas ambos conferem aumento da gravidade aos eventos vaso-oclusivos e de STA. Na DF existe diminuição da viscosidade sanguínea, levando a um maior desgaste cardíaco. Clinicamente, há taquicardia, sopro cardíaco e, eventualmente, 3ª bulha, com sinais de insuficiência cardíaca. Além das avaliações clínicas periódicas, exames de controle regulares devem ser realizados: RX de tórax, provas de função pulmonar – espirometria, ECG, ecocardiograma e cateterismo arterial para casos indicados. O uso de vasodilatadores periféricos, </w:t>
      </w:r>
      <w:proofErr w:type="spellStart"/>
      <w:r w:rsidRPr="00EE2D0A">
        <w:rPr>
          <w:rFonts w:ascii="Arial" w:hAnsi="Arial" w:cs="Arial"/>
          <w:sz w:val="20"/>
          <w:szCs w:val="20"/>
        </w:rPr>
        <w:t>hidroxiuréia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transfusões regulares têm sido utilizados, pesando-se os riscos e benefícios de cada um.</w:t>
      </w:r>
    </w:p>
    <w:p w14:paraId="126EBE10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11. Úlcera de perna: ocorrem em 8 – 10% dos pacientes com DF, principalmente após a 1ª década de vida, mais frequente no sexo masculino e nos portadores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SS. Têm etiologia variável, podendo ser traumática, por picada de insetos ou espontâneas, por crises vaso-oclusivas crônicas. Atingem preferencialmente o terço inferior da perna, ao redor do maléolo medial ou lateral e podem se infectar secundariamente, principalmente por estafilococos aureus, </w:t>
      </w:r>
      <w:proofErr w:type="spellStart"/>
      <w:r w:rsidRPr="00EE2D0A">
        <w:rPr>
          <w:rFonts w:ascii="Arial" w:hAnsi="Arial" w:cs="Arial"/>
          <w:sz w:val="20"/>
          <w:szCs w:val="20"/>
        </w:rPr>
        <w:t>pseudomonas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D0A">
        <w:rPr>
          <w:rFonts w:ascii="Arial" w:hAnsi="Arial" w:cs="Arial"/>
          <w:sz w:val="20"/>
          <w:szCs w:val="20"/>
        </w:rPr>
        <w:t>sp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estreptococo </w:t>
      </w:r>
      <w:proofErr w:type="spellStart"/>
      <w:r w:rsidRPr="00EE2D0A">
        <w:rPr>
          <w:rFonts w:ascii="Arial" w:hAnsi="Arial" w:cs="Arial"/>
          <w:sz w:val="20"/>
          <w:szCs w:val="20"/>
        </w:rPr>
        <w:t>sp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por anaeróbios. O tratamento se assemelha ao das úlceras de outras etiologias, com cuidados locais, limpeza, </w:t>
      </w:r>
      <w:proofErr w:type="spellStart"/>
      <w:r w:rsidRPr="00EE2D0A">
        <w:rPr>
          <w:rFonts w:ascii="Arial" w:hAnsi="Arial" w:cs="Arial"/>
          <w:sz w:val="20"/>
          <w:szCs w:val="20"/>
        </w:rPr>
        <w:t>debridamento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E2D0A">
        <w:rPr>
          <w:rFonts w:ascii="Arial" w:hAnsi="Arial" w:cs="Arial"/>
          <w:sz w:val="20"/>
          <w:szCs w:val="20"/>
        </w:rPr>
        <w:t>antibioticoterapia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quando necessário.</w:t>
      </w:r>
    </w:p>
    <w:p w14:paraId="3D7E3325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lastRenderedPageBreak/>
        <w:t xml:space="preserve">12. Infecções: constituem a maior causa de morbimortalidade dos pacientes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Os sítios mais comuns de infecção são os pulmões, trato urinário, SNC, ossos e articulações. Os </w:t>
      </w:r>
      <w:proofErr w:type="spellStart"/>
      <w:r w:rsidRPr="00EE2D0A">
        <w:rPr>
          <w:rFonts w:ascii="Arial" w:hAnsi="Arial" w:cs="Arial"/>
          <w:sz w:val="20"/>
          <w:szCs w:val="20"/>
        </w:rPr>
        <w:t>falcêmicos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são mais propensos às infecções por apresentarem </w:t>
      </w:r>
      <w:proofErr w:type="spellStart"/>
      <w:r w:rsidRPr="00EE2D0A">
        <w:rPr>
          <w:rFonts w:ascii="Arial" w:hAnsi="Arial" w:cs="Arial"/>
          <w:sz w:val="20"/>
          <w:szCs w:val="20"/>
        </w:rPr>
        <w:t>asplenia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por não produzirem anticorpos IgG específicos contra antígenos </w:t>
      </w:r>
      <w:proofErr w:type="spellStart"/>
      <w:r w:rsidRPr="00EE2D0A">
        <w:rPr>
          <w:rFonts w:ascii="Arial" w:hAnsi="Arial" w:cs="Arial"/>
          <w:sz w:val="20"/>
          <w:szCs w:val="20"/>
        </w:rPr>
        <w:t>polissacarídicos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pela deficiência na </w:t>
      </w:r>
      <w:proofErr w:type="spellStart"/>
      <w:r w:rsidRPr="00EE2D0A">
        <w:rPr>
          <w:rFonts w:ascii="Arial" w:hAnsi="Arial" w:cs="Arial"/>
          <w:sz w:val="20"/>
          <w:szCs w:val="20"/>
        </w:rPr>
        <w:t>opsonização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além da hipóxia tecidual, que facilita surgimento de locais como foco de infecção. A febre é um fator preocupante e deve ser conduzida e investigada com cuidados especiais. Os pacientes devem realizar, ainda na emergência, HC e VHS, coleta de culturas (sangue e urina), RX tórax e de SAF e EAS. Nos casos de febre sem sinais </w:t>
      </w:r>
      <w:proofErr w:type="spellStart"/>
      <w:r w:rsidRPr="00EE2D0A">
        <w:rPr>
          <w:rFonts w:ascii="Arial" w:hAnsi="Arial" w:cs="Arial"/>
          <w:sz w:val="20"/>
          <w:szCs w:val="20"/>
        </w:rPr>
        <w:t>localizatórios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em &lt; 2 anos de idade e </w:t>
      </w:r>
      <w:proofErr w:type="spellStart"/>
      <w:r w:rsidRPr="00EE2D0A">
        <w:rPr>
          <w:rFonts w:ascii="Arial" w:hAnsi="Arial" w:cs="Arial"/>
          <w:sz w:val="20"/>
          <w:szCs w:val="20"/>
        </w:rPr>
        <w:t>toxemiados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proceder também a coleta do </w:t>
      </w:r>
      <w:proofErr w:type="spellStart"/>
      <w:r w:rsidRPr="00EE2D0A">
        <w:rPr>
          <w:rFonts w:ascii="Arial" w:hAnsi="Arial" w:cs="Arial"/>
          <w:sz w:val="20"/>
          <w:szCs w:val="20"/>
        </w:rPr>
        <w:t>líquor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. Os germes mais relacionados são: pneumococo, </w:t>
      </w:r>
      <w:proofErr w:type="spellStart"/>
      <w:r w:rsidRPr="00EE2D0A">
        <w:rPr>
          <w:rFonts w:ascii="Arial" w:hAnsi="Arial" w:cs="Arial"/>
          <w:sz w:val="20"/>
          <w:szCs w:val="20"/>
        </w:rPr>
        <w:t>hemófilo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salmonela, E. coli, </w:t>
      </w:r>
      <w:proofErr w:type="spellStart"/>
      <w:r w:rsidRPr="00EE2D0A">
        <w:rPr>
          <w:rFonts w:ascii="Arial" w:hAnsi="Arial" w:cs="Arial"/>
          <w:sz w:val="20"/>
          <w:szCs w:val="20"/>
        </w:rPr>
        <w:t>Klebisiela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E2D0A">
        <w:rPr>
          <w:rFonts w:ascii="Arial" w:hAnsi="Arial" w:cs="Arial"/>
          <w:sz w:val="20"/>
          <w:szCs w:val="20"/>
        </w:rPr>
        <w:t>micoplasma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, clamídia. As medidas devem ser realizadas como as vacinas (calendário completo de imunizações) e instituição da penicilina profilática a partir do 3º mês de vida, até os 5 anos de idade. Utiliza-se a penicilina V – oral 200.000 UI (2,5 ml) VO, de 12/12h, até 1 ano de idade. Para crianças &gt; 10 Kg, 400.000 UI (5 ml) VO, de 12/12h. Pode-se usar também a penicilina </w:t>
      </w:r>
      <w:proofErr w:type="spellStart"/>
      <w:r w:rsidRPr="00EE2D0A">
        <w:rPr>
          <w:rFonts w:ascii="Arial" w:hAnsi="Arial" w:cs="Arial"/>
          <w:sz w:val="20"/>
          <w:szCs w:val="20"/>
        </w:rPr>
        <w:t>benzatina</w:t>
      </w:r>
      <w:proofErr w:type="spellEnd"/>
      <w:r w:rsidRPr="00EE2D0A">
        <w:rPr>
          <w:rFonts w:ascii="Arial" w:hAnsi="Arial" w:cs="Arial"/>
          <w:sz w:val="20"/>
          <w:szCs w:val="20"/>
        </w:rPr>
        <w:t>:  600.000 UI, IM, de 21/21 dias para crianças com até 20 Kg e 1.200.000 UI para &gt; 20 Kg.</w:t>
      </w:r>
    </w:p>
    <w:p w14:paraId="2D7CE949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</w:p>
    <w:p w14:paraId="2C0E5D01" w14:textId="77777777" w:rsidR="00DF62F7" w:rsidRPr="00EE2D0A" w:rsidRDefault="00DF62F7" w:rsidP="00EE2D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E2D0A">
        <w:rPr>
          <w:rFonts w:ascii="Arial" w:hAnsi="Arial" w:cs="Arial"/>
          <w:b/>
          <w:sz w:val="24"/>
          <w:szCs w:val="24"/>
        </w:rPr>
        <w:t>A tabela abaixo contém as medicações utilizadas para analgesia na DF: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0"/>
        <w:gridCol w:w="1728"/>
        <w:gridCol w:w="1132"/>
        <w:gridCol w:w="1493"/>
        <w:gridCol w:w="1477"/>
        <w:gridCol w:w="1262"/>
      </w:tblGrid>
      <w:tr w:rsidR="00DF62F7" w:rsidRPr="00EE2D0A" w14:paraId="72F70E78" w14:textId="77777777" w:rsidTr="00EE2D0A">
        <w:trPr>
          <w:trHeight w:val="469"/>
        </w:trPr>
        <w:tc>
          <w:tcPr>
            <w:tcW w:w="1550" w:type="dxa"/>
          </w:tcPr>
          <w:p w14:paraId="3E12ADC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</w:tcPr>
          <w:p w14:paraId="6DA190E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A4086B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Dose</w:t>
            </w:r>
          </w:p>
        </w:tc>
        <w:tc>
          <w:tcPr>
            <w:tcW w:w="1132" w:type="dxa"/>
          </w:tcPr>
          <w:p w14:paraId="487D1F7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32D74F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Intervalo</w:t>
            </w:r>
          </w:p>
        </w:tc>
        <w:tc>
          <w:tcPr>
            <w:tcW w:w="1493" w:type="dxa"/>
          </w:tcPr>
          <w:p w14:paraId="01ED2C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C8860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Dose máxima</w:t>
            </w:r>
          </w:p>
        </w:tc>
        <w:tc>
          <w:tcPr>
            <w:tcW w:w="1477" w:type="dxa"/>
          </w:tcPr>
          <w:p w14:paraId="61C96F2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7BB315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Apresentação</w:t>
            </w:r>
          </w:p>
        </w:tc>
        <w:tc>
          <w:tcPr>
            <w:tcW w:w="1262" w:type="dxa"/>
          </w:tcPr>
          <w:p w14:paraId="33608A0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9B396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Nomes comerciais</w:t>
            </w:r>
          </w:p>
        </w:tc>
      </w:tr>
      <w:tr w:rsidR="00DF62F7" w:rsidRPr="00EE2D0A" w14:paraId="698A0D47" w14:textId="77777777" w:rsidTr="00EE2D0A">
        <w:trPr>
          <w:trHeight w:val="503"/>
        </w:trPr>
        <w:tc>
          <w:tcPr>
            <w:tcW w:w="1550" w:type="dxa"/>
          </w:tcPr>
          <w:p w14:paraId="0AF305D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832A5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Dipirona</w:t>
            </w:r>
          </w:p>
        </w:tc>
        <w:tc>
          <w:tcPr>
            <w:tcW w:w="1728" w:type="dxa"/>
          </w:tcPr>
          <w:p w14:paraId="3A05D369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VO: 10-25 mg/Kg/dose,  IV: 15 mg/Kg/dose (0,03ml/Kg/dose, das ampolas de 500mg/ml)</w:t>
            </w:r>
          </w:p>
        </w:tc>
        <w:tc>
          <w:tcPr>
            <w:tcW w:w="1132" w:type="dxa"/>
          </w:tcPr>
          <w:p w14:paraId="0C8C3E0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B349F6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4/4 ou 6/6h</w:t>
            </w:r>
          </w:p>
        </w:tc>
        <w:tc>
          <w:tcPr>
            <w:tcW w:w="1493" w:type="dxa"/>
          </w:tcPr>
          <w:p w14:paraId="2CD4453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Se gotas: 40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gts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, 6x</w:t>
            </w:r>
          </w:p>
          <w:p w14:paraId="666FAF6F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Adolescentes: 2 g/dia Adultos: 4 g/dia</w:t>
            </w:r>
          </w:p>
        </w:tc>
        <w:tc>
          <w:tcPr>
            <w:tcW w:w="1477" w:type="dxa"/>
          </w:tcPr>
          <w:p w14:paraId="65AA2378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Compr. de 500 mg </w:t>
            </w:r>
          </w:p>
          <w:p w14:paraId="4B1F8CE2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(2 e 5ml = 500mg/ml)</w:t>
            </w:r>
          </w:p>
          <w:p w14:paraId="146C8F3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gotas 25mg/gota</w:t>
            </w:r>
          </w:p>
          <w:p w14:paraId="23BF3E5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Xarope sol. oral 50mg/ml</w:t>
            </w:r>
          </w:p>
        </w:tc>
        <w:tc>
          <w:tcPr>
            <w:tcW w:w="1262" w:type="dxa"/>
          </w:tcPr>
          <w:p w14:paraId="7AC892F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Novalgina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Magnopirol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7BBBAA8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Maxiliv</w:t>
            </w:r>
            <w:proofErr w:type="spellEnd"/>
          </w:p>
        </w:tc>
      </w:tr>
      <w:tr w:rsidR="00DF62F7" w:rsidRPr="00EE2D0A" w14:paraId="780D61CC" w14:textId="77777777" w:rsidTr="00EE2D0A">
        <w:trPr>
          <w:trHeight w:val="492"/>
        </w:trPr>
        <w:tc>
          <w:tcPr>
            <w:tcW w:w="1550" w:type="dxa"/>
          </w:tcPr>
          <w:p w14:paraId="702C4FF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Paracetamol (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acetaminofen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28" w:type="dxa"/>
          </w:tcPr>
          <w:p w14:paraId="6F044AC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10-15 mg/Kg/dose VO</w:t>
            </w:r>
          </w:p>
        </w:tc>
        <w:tc>
          <w:tcPr>
            <w:tcW w:w="1132" w:type="dxa"/>
          </w:tcPr>
          <w:p w14:paraId="12B6DB1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00C16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4/4 ou 6/6h</w:t>
            </w:r>
          </w:p>
        </w:tc>
        <w:tc>
          <w:tcPr>
            <w:tcW w:w="1493" w:type="dxa"/>
          </w:tcPr>
          <w:p w14:paraId="140751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65 mg/Kg/dia ou 4g/dia</w:t>
            </w:r>
          </w:p>
        </w:tc>
        <w:tc>
          <w:tcPr>
            <w:tcW w:w="1477" w:type="dxa"/>
          </w:tcPr>
          <w:p w14:paraId="77D0413F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. de 500 e 750 mg </w:t>
            </w:r>
          </w:p>
          <w:p w14:paraId="0B64027B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Bebê 5mg/gota (100mg/ml)</w:t>
            </w:r>
          </w:p>
          <w:p w14:paraId="16BFCE1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Gotas 10mg/gota (200mg/ml)</w:t>
            </w:r>
          </w:p>
          <w:p w14:paraId="57517AE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Criança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. oral 160mg/ml</w:t>
            </w:r>
          </w:p>
        </w:tc>
        <w:tc>
          <w:tcPr>
            <w:tcW w:w="1262" w:type="dxa"/>
          </w:tcPr>
          <w:p w14:paraId="6BE3EA9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ACAA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Tylenol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Dôrico</w:t>
            </w:r>
            <w:proofErr w:type="spellEnd"/>
          </w:p>
        </w:tc>
      </w:tr>
      <w:tr w:rsidR="00DF62F7" w:rsidRPr="00EE2D0A" w14:paraId="41486146" w14:textId="77777777" w:rsidTr="00EE2D0A">
        <w:trPr>
          <w:trHeight w:val="469"/>
        </w:trPr>
        <w:tc>
          <w:tcPr>
            <w:tcW w:w="1550" w:type="dxa"/>
          </w:tcPr>
          <w:p w14:paraId="346DC0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180BB5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Cetoprofeno</w:t>
            </w:r>
          </w:p>
        </w:tc>
        <w:tc>
          <w:tcPr>
            <w:tcW w:w="1728" w:type="dxa"/>
          </w:tcPr>
          <w:p w14:paraId="72A0A5F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0,5-1,0 mg/Kg/dose, VO</w:t>
            </w:r>
          </w:p>
          <w:p w14:paraId="180BE42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De 7-11anos: 25mg, 3-4x</w:t>
            </w:r>
          </w:p>
          <w:p w14:paraId="1B3C638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&gt;11anos: 50mg, 3-4</w:t>
            </w:r>
            <w:proofErr w:type="gramStart"/>
            <w:r w:rsidRPr="00EE2D0A">
              <w:rPr>
                <w:rFonts w:ascii="Arial" w:hAnsi="Arial" w:cs="Arial"/>
                <w:sz w:val="18"/>
                <w:szCs w:val="18"/>
              </w:rPr>
              <w:t>x,VO</w:t>
            </w:r>
            <w:proofErr w:type="gramEnd"/>
          </w:p>
          <w:p w14:paraId="76C387E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640F8B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5934C7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3EE8667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AFADC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300 mg/dia</w:t>
            </w:r>
          </w:p>
        </w:tc>
        <w:tc>
          <w:tcPr>
            <w:tcW w:w="1477" w:type="dxa"/>
          </w:tcPr>
          <w:p w14:paraId="12AAC799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Cáps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. de 50 mg </w:t>
            </w:r>
          </w:p>
          <w:p w14:paraId="3CB7E87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(2ml = 100mg)</w:t>
            </w:r>
          </w:p>
          <w:p w14:paraId="765DD35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gotas 20mg/ml</w:t>
            </w:r>
          </w:p>
          <w:p w14:paraId="08811CE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Xarope 1mg/ml</w:t>
            </w:r>
          </w:p>
        </w:tc>
        <w:tc>
          <w:tcPr>
            <w:tcW w:w="1262" w:type="dxa"/>
          </w:tcPr>
          <w:p w14:paraId="5C3E863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B08E1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Profenid</w:t>
            </w:r>
            <w:proofErr w:type="spellEnd"/>
          </w:p>
        </w:tc>
      </w:tr>
      <w:tr w:rsidR="00DF62F7" w:rsidRPr="00EE2D0A" w14:paraId="6FCDD490" w14:textId="77777777" w:rsidTr="00EE2D0A">
        <w:trPr>
          <w:trHeight w:val="469"/>
        </w:trPr>
        <w:tc>
          <w:tcPr>
            <w:tcW w:w="1550" w:type="dxa"/>
          </w:tcPr>
          <w:p w14:paraId="10C88E8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0F96B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Ibuprofeno</w:t>
            </w:r>
          </w:p>
        </w:tc>
        <w:tc>
          <w:tcPr>
            <w:tcW w:w="1728" w:type="dxa"/>
          </w:tcPr>
          <w:p w14:paraId="66150E7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0D8E956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30-50mgKg/dia</w:t>
            </w:r>
          </w:p>
        </w:tc>
        <w:tc>
          <w:tcPr>
            <w:tcW w:w="1132" w:type="dxa"/>
          </w:tcPr>
          <w:p w14:paraId="2C7C569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913C51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467CC71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BEE9EF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2.400mg/dia</w:t>
            </w:r>
          </w:p>
        </w:tc>
        <w:tc>
          <w:tcPr>
            <w:tcW w:w="1477" w:type="dxa"/>
          </w:tcPr>
          <w:p w14:paraId="4C561D63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. de 200, 300, 400, 500, 600mg </w:t>
            </w:r>
          </w:p>
          <w:p w14:paraId="1EB231C3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Sol. gotas 100 ou 200mg/ml</w:t>
            </w:r>
          </w:p>
          <w:p w14:paraId="352BD4AA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Xarope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5ml/100mg</w:t>
            </w:r>
          </w:p>
        </w:tc>
        <w:tc>
          <w:tcPr>
            <w:tcW w:w="1262" w:type="dxa"/>
          </w:tcPr>
          <w:p w14:paraId="6D8A5AE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Alivium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Dalsy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Advil</w:t>
            </w:r>
            <w:proofErr w:type="spellEnd"/>
          </w:p>
        </w:tc>
      </w:tr>
      <w:tr w:rsidR="00DF62F7" w:rsidRPr="00EE2D0A" w14:paraId="0298685D" w14:textId="77777777" w:rsidTr="00EE2D0A">
        <w:trPr>
          <w:trHeight w:val="469"/>
        </w:trPr>
        <w:tc>
          <w:tcPr>
            <w:tcW w:w="1550" w:type="dxa"/>
          </w:tcPr>
          <w:p w14:paraId="46607C5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E8F025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Naproxeno</w:t>
            </w:r>
            <w:proofErr w:type="spellEnd"/>
          </w:p>
        </w:tc>
        <w:tc>
          <w:tcPr>
            <w:tcW w:w="1728" w:type="dxa"/>
          </w:tcPr>
          <w:p w14:paraId="4F59197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10-20mg/Kg/dia, VO</w:t>
            </w:r>
          </w:p>
        </w:tc>
        <w:tc>
          <w:tcPr>
            <w:tcW w:w="1132" w:type="dxa"/>
          </w:tcPr>
          <w:p w14:paraId="2833F3F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23ABA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8/8 ou 12/12h</w:t>
            </w:r>
          </w:p>
        </w:tc>
        <w:tc>
          <w:tcPr>
            <w:tcW w:w="1493" w:type="dxa"/>
          </w:tcPr>
          <w:p w14:paraId="2F7D7D8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C45D67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1.500 mg/dia</w:t>
            </w:r>
          </w:p>
        </w:tc>
        <w:tc>
          <w:tcPr>
            <w:tcW w:w="1477" w:type="dxa"/>
          </w:tcPr>
          <w:p w14:paraId="1E40BFE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Compr. de 250, 275, 500, 550 mg</w:t>
            </w:r>
          </w:p>
        </w:tc>
        <w:tc>
          <w:tcPr>
            <w:tcW w:w="1262" w:type="dxa"/>
          </w:tcPr>
          <w:p w14:paraId="350F281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8190B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Flanax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Naprosyn</w:t>
            </w:r>
            <w:proofErr w:type="spellEnd"/>
          </w:p>
        </w:tc>
      </w:tr>
      <w:tr w:rsidR="00DF62F7" w:rsidRPr="00EE2D0A" w14:paraId="20F80B94" w14:textId="77777777" w:rsidTr="00EE2D0A">
        <w:trPr>
          <w:trHeight w:val="469"/>
        </w:trPr>
        <w:tc>
          <w:tcPr>
            <w:tcW w:w="1550" w:type="dxa"/>
          </w:tcPr>
          <w:p w14:paraId="2BE862A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D1D29E4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Diclofenaco</w:t>
            </w:r>
          </w:p>
        </w:tc>
        <w:tc>
          <w:tcPr>
            <w:tcW w:w="1728" w:type="dxa"/>
          </w:tcPr>
          <w:p w14:paraId="32DCC10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2-3 mg/Kg/dia, VO  50 mg/dose, 3x, para adolescentes</w:t>
            </w:r>
          </w:p>
        </w:tc>
        <w:tc>
          <w:tcPr>
            <w:tcW w:w="1132" w:type="dxa"/>
          </w:tcPr>
          <w:p w14:paraId="59E71CE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24C1266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0B6A960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30AE650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150 mg/dia</w:t>
            </w:r>
          </w:p>
        </w:tc>
        <w:tc>
          <w:tcPr>
            <w:tcW w:w="1477" w:type="dxa"/>
          </w:tcPr>
          <w:p w14:paraId="2432350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 xml:space="preserve">Compr. de 50 mg e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. (3ml = 75mg)</w:t>
            </w:r>
          </w:p>
          <w:p w14:paraId="3528F63B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Susp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gotas 15mg/ml</w:t>
            </w:r>
          </w:p>
        </w:tc>
        <w:tc>
          <w:tcPr>
            <w:tcW w:w="1262" w:type="dxa"/>
          </w:tcPr>
          <w:p w14:paraId="7F7B011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CE67A8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Cataflan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, Voltarem</w:t>
            </w:r>
          </w:p>
        </w:tc>
      </w:tr>
      <w:tr w:rsidR="00DF62F7" w:rsidRPr="00EE2D0A" w14:paraId="6C98EF71" w14:textId="77777777" w:rsidTr="00EE2D0A">
        <w:trPr>
          <w:trHeight w:val="469"/>
        </w:trPr>
        <w:tc>
          <w:tcPr>
            <w:tcW w:w="1550" w:type="dxa"/>
          </w:tcPr>
          <w:p w14:paraId="66E0E18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C3859F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Tenoxicam</w:t>
            </w:r>
            <w:proofErr w:type="spellEnd"/>
          </w:p>
        </w:tc>
        <w:tc>
          <w:tcPr>
            <w:tcW w:w="1728" w:type="dxa"/>
          </w:tcPr>
          <w:p w14:paraId="78E16BB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Para &gt; 12 anos: 20-40 mg/dia</w:t>
            </w:r>
          </w:p>
        </w:tc>
        <w:tc>
          <w:tcPr>
            <w:tcW w:w="1132" w:type="dxa"/>
          </w:tcPr>
          <w:p w14:paraId="7AED604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12/12 ou 24/24h, IV ou VO</w:t>
            </w:r>
          </w:p>
        </w:tc>
        <w:tc>
          <w:tcPr>
            <w:tcW w:w="1493" w:type="dxa"/>
          </w:tcPr>
          <w:p w14:paraId="7F92A0A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2A67C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40 mg/dia</w:t>
            </w:r>
          </w:p>
        </w:tc>
        <w:tc>
          <w:tcPr>
            <w:tcW w:w="1477" w:type="dxa"/>
          </w:tcPr>
          <w:p w14:paraId="70DB5AC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Ampolas e Compr.  de 20mg</w:t>
            </w:r>
          </w:p>
        </w:tc>
        <w:tc>
          <w:tcPr>
            <w:tcW w:w="1262" w:type="dxa"/>
          </w:tcPr>
          <w:p w14:paraId="2A35CA2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Tilatil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Teflan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Tenoxil</w:t>
            </w:r>
            <w:proofErr w:type="spellEnd"/>
          </w:p>
        </w:tc>
      </w:tr>
      <w:tr w:rsidR="00DF62F7" w:rsidRPr="00EE2D0A" w14:paraId="217B5A2C" w14:textId="77777777" w:rsidTr="00EE2D0A">
        <w:trPr>
          <w:trHeight w:val="492"/>
        </w:trPr>
        <w:tc>
          <w:tcPr>
            <w:tcW w:w="1550" w:type="dxa"/>
          </w:tcPr>
          <w:p w14:paraId="4226A18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F0EE1F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Tramadol</w:t>
            </w:r>
            <w:proofErr w:type="spellEnd"/>
          </w:p>
        </w:tc>
        <w:tc>
          <w:tcPr>
            <w:tcW w:w="1728" w:type="dxa"/>
          </w:tcPr>
          <w:p w14:paraId="58FF0C6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8CBA0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5 mg/Kg/dia</w:t>
            </w:r>
          </w:p>
        </w:tc>
        <w:tc>
          <w:tcPr>
            <w:tcW w:w="1132" w:type="dxa"/>
          </w:tcPr>
          <w:p w14:paraId="70CA08E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1C4FFC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6/6 ou 8/8h</w:t>
            </w:r>
          </w:p>
        </w:tc>
        <w:tc>
          <w:tcPr>
            <w:tcW w:w="1493" w:type="dxa"/>
          </w:tcPr>
          <w:p w14:paraId="4D9652F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400 mg/dia ou 100 mg, 6/6h</w:t>
            </w:r>
          </w:p>
        </w:tc>
        <w:tc>
          <w:tcPr>
            <w:tcW w:w="1477" w:type="dxa"/>
          </w:tcPr>
          <w:p w14:paraId="1AFA5C86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ou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cáps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50mg</w:t>
            </w:r>
          </w:p>
          <w:p w14:paraId="11BC456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Gotas 100mg/ml</w:t>
            </w:r>
          </w:p>
          <w:p w14:paraId="7EBED674" w14:textId="77777777" w:rsidR="00DF62F7" w:rsidRPr="00EE2D0A" w:rsidRDefault="00DF62F7" w:rsidP="00283F6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Amps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 de 1 ou 2ml (50mg/ml)</w:t>
            </w:r>
          </w:p>
        </w:tc>
        <w:tc>
          <w:tcPr>
            <w:tcW w:w="1262" w:type="dxa"/>
          </w:tcPr>
          <w:p w14:paraId="7A362B2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B218F19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Tramal</w:t>
            </w:r>
            <w:proofErr w:type="spellEnd"/>
          </w:p>
        </w:tc>
      </w:tr>
      <w:tr w:rsidR="00DF62F7" w:rsidRPr="00EE2D0A" w14:paraId="3C60E5CB" w14:textId="77777777" w:rsidTr="00EE2D0A">
        <w:trPr>
          <w:trHeight w:val="469"/>
        </w:trPr>
        <w:tc>
          <w:tcPr>
            <w:tcW w:w="1550" w:type="dxa"/>
          </w:tcPr>
          <w:p w14:paraId="143F04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093FDC5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Codeína</w:t>
            </w:r>
          </w:p>
        </w:tc>
        <w:tc>
          <w:tcPr>
            <w:tcW w:w="1728" w:type="dxa"/>
          </w:tcPr>
          <w:p w14:paraId="587B5092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0,5-1,0 mg/Kg/dose, VO</w:t>
            </w:r>
          </w:p>
        </w:tc>
        <w:tc>
          <w:tcPr>
            <w:tcW w:w="1132" w:type="dxa"/>
          </w:tcPr>
          <w:p w14:paraId="0DCEE15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4A8449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4/4 ou 6/6h</w:t>
            </w:r>
          </w:p>
        </w:tc>
        <w:tc>
          <w:tcPr>
            <w:tcW w:w="1493" w:type="dxa"/>
          </w:tcPr>
          <w:p w14:paraId="565D0BB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A97F6D3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60 mg/dia</w:t>
            </w:r>
          </w:p>
        </w:tc>
        <w:tc>
          <w:tcPr>
            <w:tcW w:w="1477" w:type="dxa"/>
          </w:tcPr>
          <w:p w14:paraId="42E4DA17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Compr.7,5 mg de codeína com 500mg de paracetamol Compr.30mg de codeína com 500mg de paracetamol</w:t>
            </w:r>
          </w:p>
        </w:tc>
        <w:tc>
          <w:tcPr>
            <w:tcW w:w="1262" w:type="dxa"/>
          </w:tcPr>
          <w:p w14:paraId="608F6B3C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11D68D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Tylex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Codex</w:t>
            </w:r>
            <w:proofErr w:type="spellEnd"/>
          </w:p>
        </w:tc>
      </w:tr>
      <w:tr w:rsidR="00DF62F7" w:rsidRPr="00EE2D0A" w14:paraId="7294B3A6" w14:textId="77777777" w:rsidTr="00EE2D0A">
        <w:trPr>
          <w:trHeight w:val="469"/>
        </w:trPr>
        <w:tc>
          <w:tcPr>
            <w:tcW w:w="1550" w:type="dxa"/>
          </w:tcPr>
          <w:p w14:paraId="6C5C7F46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8B9B2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Morfina</w:t>
            </w:r>
          </w:p>
        </w:tc>
        <w:tc>
          <w:tcPr>
            <w:tcW w:w="1728" w:type="dxa"/>
          </w:tcPr>
          <w:p w14:paraId="0DCC621E" w14:textId="6F8D0FCB" w:rsidR="00DF62F7" w:rsidRPr="00EE2D0A" w:rsidRDefault="005F6DBC" w:rsidP="00BB29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0,1 a </w:t>
            </w:r>
            <w:r w:rsidR="00DF62F7" w:rsidRPr="00EE2D0A">
              <w:rPr>
                <w:rFonts w:ascii="Arial" w:hAnsi="Arial" w:cs="Arial"/>
                <w:sz w:val="18"/>
                <w:szCs w:val="18"/>
              </w:rPr>
              <w:t>0,</w:t>
            </w:r>
            <w:r w:rsidR="00BB29D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5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Máx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B29D7" w:rsidRPr="00EE2D0A">
              <w:rPr>
                <w:rFonts w:ascii="Arial" w:hAnsi="Arial" w:cs="Arial"/>
                <w:sz w:val="18"/>
                <w:szCs w:val="18"/>
              </w:rPr>
              <w:t>0,2</w:t>
            </w:r>
            <w:r>
              <w:rPr>
                <w:rFonts w:ascii="Arial" w:hAnsi="Arial" w:cs="Arial"/>
                <w:sz w:val="18"/>
                <w:szCs w:val="18"/>
              </w:rPr>
              <w:t>) m</w:t>
            </w:r>
            <w:r w:rsidR="00BB29D7" w:rsidRPr="00EE2D0A">
              <w:rPr>
                <w:rFonts w:ascii="Arial" w:hAnsi="Arial" w:cs="Arial"/>
                <w:sz w:val="18"/>
                <w:szCs w:val="18"/>
              </w:rPr>
              <w:t>g/kg/dose</w:t>
            </w:r>
            <w:r w:rsidR="00DF62F7" w:rsidRPr="00EE2D0A">
              <w:rPr>
                <w:rFonts w:ascii="Arial" w:hAnsi="Arial" w:cs="Arial"/>
                <w:sz w:val="18"/>
                <w:szCs w:val="18"/>
              </w:rPr>
              <w:t>, IV</w:t>
            </w:r>
            <w:r w:rsidR="00BB29D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DF62F7" w:rsidRPr="00BB29D7">
              <w:rPr>
                <w:rFonts w:ascii="Arial" w:hAnsi="Arial" w:cs="Arial"/>
                <w:sz w:val="18"/>
                <w:szCs w:val="18"/>
              </w:rPr>
              <w:t xml:space="preserve">Ou </w:t>
            </w:r>
            <w:r w:rsidR="00DF62F7" w:rsidRPr="00EE2D0A">
              <w:rPr>
                <w:rFonts w:ascii="Arial" w:hAnsi="Arial" w:cs="Arial"/>
                <w:sz w:val="18"/>
                <w:szCs w:val="18"/>
              </w:rPr>
              <w:t xml:space="preserve">20 </w:t>
            </w:r>
            <w:proofErr w:type="spellStart"/>
            <w:r w:rsidR="00DF62F7" w:rsidRPr="00EE2D0A">
              <w:rPr>
                <w:rFonts w:ascii="Arial" w:hAnsi="Arial" w:cs="Arial"/>
                <w:sz w:val="18"/>
                <w:szCs w:val="18"/>
              </w:rPr>
              <w:t>microg</w:t>
            </w:r>
            <w:proofErr w:type="spellEnd"/>
            <w:r w:rsidR="00DF62F7" w:rsidRPr="00EE2D0A">
              <w:rPr>
                <w:rFonts w:ascii="Arial" w:hAnsi="Arial" w:cs="Arial"/>
                <w:sz w:val="18"/>
                <w:szCs w:val="18"/>
              </w:rPr>
              <w:t xml:space="preserve">/kg/h, </w:t>
            </w:r>
            <w:proofErr w:type="spellStart"/>
            <w:r w:rsidR="00DF62F7" w:rsidRPr="00EE2D0A">
              <w:rPr>
                <w:rFonts w:ascii="Arial" w:hAnsi="Arial" w:cs="Arial"/>
                <w:sz w:val="18"/>
                <w:szCs w:val="18"/>
              </w:rPr>
              <w:t>na</w:t>
            </w:r>
            <w:proofErr w:type="spellEnd"/>
            <w:r w:rsidR="00DF62F7" w:rsidRPr="00EE2D0A">
              <w:rPr>
                <w:rFonts w:ascii="Arial" w:hAnsi="Arial" w:cs="Arial"/>
                <w:sz w:val="18"/>
                <w:szCs w:val="18"/>
              </w:rPr>
              <w:t xml:space="preserve"> BI</w:t>
            </w:r>
          </w:p>
        </w:tc>
        <w:tc>
          <w:tcPr>
            <w:tcW w:w="1132" w:type="dxa"/>
          </w:tcPr>
          <w:p w14:paraId="74DCD3CA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3/3, 4/4 ou 6/6h ou em BI contínua</w:t>
            </w:r>
          </w:p>
        </w:tc>
        <w:tc>
          <w:tcPr>
            <w:tcW w:w="1493" w:type="dxa"/>
          </w:tcPr>
          <w:p w14:paraId="56B5E3BE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AEED781" w14:textId="77777777" w:rsidR="00DF62F7" w:rsidRPr="00EE2D0A" w:rsidRDefault="00DF62F7" w:rsidP="00BB29D7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10 mg/dose</w:t>
            </w:r>
          </w:p>
        </w:tc>
        <w:tc>
          <w:tcPr>
            <w:tcW w:w="1477" w:type="dxa"/>
          </w:tcPr>
          <w:p w14:paraId="57CE1D6B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Comprs</w:t>
            </w:r>
            <w:proofErr w:type="spellEnd"/>
            <w:r w:rsidRPr="00EE2D0A">
              <w:rPr>
                <w:rFonts w:ascii="Arial" w:hAnsi="Arial" w:cs="Arial"/>
                <w:sz w:val="18"/>
                <w:szCs w:val="18"/>
              </w:rPr>
              <w:t>. de 10 e 30mg</w:t>
            </w:r>
          </w:p>
          <w:p w14:paraId="194B7C7F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2D0A">
              <w:rPr>
                <w:rFonts w:ascii="Arial" w:hAnsi="Arial" w:cs="Arial"/>
                <w:sz w:val="18"/>
                <w:szCs w:val="18"/>
              </w:rPr>
              <w:t>Ampolas de 1 ou 2 ml (1ml=10mg)</w:t>
            </w:r>
          </w:p>
        </w:tc>
        <w:tc>
          <w:tcPr>
            <w:tcW w:w="1262" w:type="dxa"/>
          </w:tcPr>
          <w:p w14:paraId="7FF3D9D1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8F82448" w14:textId="77777777" w:rsidR="00DF62F7" w:rsidRPr="00EE2D0A" w:rsidRDefault="00DF62F7" w:rsidP="00283F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E2D0A">
              <w:rPr>
                <w:rFonts w:ascii="Arial" w:hAnsi="Arial" w:cs="Arial"/>
                <w:sz w:val="18"/>
                <w:szCs w:val="18"/>
              </w:rPr>
              <w:t>Dimorf</w:t>
            </w:r>
            <w:proofErr w:type="spellEnd"/>
          </w:p>
        </w:tc>
      </w:tr>
    </w:tbl>
    <w:p w14:paraId="4DBCCACF" w14:textId="77777777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</w:p>
    <w:p w14:paraId="5EBD496E" w14:textId="76ADF34C" w:rsidR="00DF62F7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E2D0A">
        <w:rPr>
          <w:rFonts w:ascii="Arial" w:hAnsi="Arial" w:cs="Arial"/>
          <w:sz w:val="20"/>
          <w:szCs w:val="20"/>
        </w:rPr>
        <w:t>Hidroxiuréia</w:t>
      </w:r>
      <w:proofErr w:type="spellEnd"/>
      <w:r w:rsidRPr="00EE2D0A">
        <w:rPr>
          <w:rFonts w:ascii="Arial" w:hAnsi="Arial" w:cs="Arial"/>
          <w:sz w:val="20"/>
          <w:szCs w:val="20"/>
        </w:rPr>
        <w:t>(</w:t>
      </w:r>
      <w:proofErr w:type="gramEnd"/>
      <w:r w:rsidRPr="00EE2D0A">
        <w:rPr>
          <w:rFonts w:ascii="Arial" w:hAnsi="Arial" w:cs="Arial"/>
          <w:sz w:val="20"/>
          <w:szCs w:val="20"/>
        </w:rPr>
        <w:t xml:space="preserve">HU) na AF: é um agente quimioterápico citotóxico que aumenta a produção de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F em 60% das pessoas tratadas. Sua concentração elevada pode diminuir a polimerização da </w:t>
      </w:r>
      <w:proofErr w:type="spellStart"/>
      <w:r w:rsidRPr="00EE2D0A">
        <w:rPr>
          <w:rFonts w:ascii="Arial" w:hAnsi="Arial" w:cs="Arial"/>
          <w:sz w:val="20"/>
          <w:szCs w:val="20"/>
        </w:rPr>
        <w:t>Hb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S e produzir melhora do curso clínico das crises (crises álgicas, STA, AVE). Outras ações verificadas com o uso da HU é a elevação da taxa de hemoglobina e do volume corpuscular médio (VCM), assim como redução do número de reticulócitos. Há ainda a diminuição da expressão de moléculas de adesão, tais como </w:t>
      </w:r>
      <w:proofErr w:type="spellStart"/>
      <w:r w:rsidRPr="00EE2D0A">
        <w:rPr>
          <w:rFonts w:ascii="Arial" w:hAnsi="Arial" w:cs="Arial"/>
          <w:sz w:val="20"/>
          <w:szCs w:val="20"/>
        </w:rPr>
        <w:t>fosfatidilserina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da superfície eritrocitária e </w:t>
      </w:r>
      <w:proofErr w:type="spellStart"/>
      <w:r w:rsidRPr="00EE2D0A">
        <w:rPr>
          <w:rFonts w:ascii="Arial" w:hAnsi="Arial" w:cs="Arial"/>
          <w:sz w:val="20"/>
          <w:szCs w:val="20"/>
        </w:rPr>
        <w:t>plaquetária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e da </w:t>
      </w:r>
      <w:proofErr w:type="spellStart"/>
      <w:r w:rsidRPr="00EE2D0A">
        <w:rPr>
          <w:rFonts w:ascii="Arial" w:hAnsi="Arial" w:cs="Arial"/>
          <w:sz w:val="20"/>
          <w:szCs w:val="20"/>
        </w:rPr>
        <w:t>anexina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V, bem como das proteínas receptoras localizadas nas células endoteliais. Diminui a adesão vascular e contribuindo, desse modo, para a redução das crises vaso-oclusivas.  É indicado a partir dos 3 anos de vida, havendo um histórico de três ou mais episódios de crises vaso-oclusivas, com necessidade de atendimento médico; uma crise torácica aguda </w:t>
      </w:r>
      <w:proofErr w:type="spellStart"/>
      <w:r w:rsidRPr="00EE2D0A">
        <w:rPr>
          <w:rFonts w:ascii="Arial" w:hAnsi="Arial" w:cs="Arial"/>
          <w:sz w:val="20"/>
          <w:szCs w:val="20"/>
        </w:rPr>
        <w:t>recidivante</w:t>
      </w:r>
      <w:proofErr w:type="spellEnd"/>
      <w:r w:rsidRPr="00EE2D0A">
        <w:rPr>
          <w:rFonts w:ascii="Arial" w:hAnsi="Arial" w:cs="Arial"/>
          <w:sz w:val="20"/>
          <w:szCs w:val="20"/>
        </w:rPr>
        <w:t>; um ou mais acidentes vasculares encefálicos; priapismo recorrente; e anemia grave e persistente, nos últimos 12 meses. A dose de HU varia de 10 a 30 mg/kg/dia, e deve ser administrada de uma só vez. Medicação dispensada através de solicitação específica em serviço especializado.</w:t>
      </w:r>
    </w:p>
    <w:p w14:paraId="0A5BB0BC" w14:textId="09BD32C3" w:rsidR="00BF3167" w:rsidRPr="00EE2D0A" w:rsidRDefault="00BF3167" w:rsidP="00DF62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Glutamina: foi aprovada pelo FDA em 2017 e pela ANVISA em 2019 para uso em pacientes portadores de AF acima de 5 anos de idade. É um aminoácido abundante nos fluídos </w:t>
      </w:r>
      <w:proofErr w:type="spellStart"/>
      <w:r>
        <w:rPr>
          <w:rFonts w:ascii="Arial" w:hAnsi="Arial" w:cs="Arial"/>
          <w:sz w:val="20"/>
          <w:szCs w:val="20"/>
        </w:rPr>
        <w:t>intra</w:t>
      </w:r>
      <w:proofErr w:type="spellEnd"/>
      <w:r>
        <w:rPr>
          <w:rFonts w:ascii="Arial" w:hAnsi="Arial" w:cs="Arial"/>
          <w:sz w:val="20"/>
          <w:szCs w:val="20"/>
        </w:rPr>
        <w:t xml:space="preserve"> e extracelular. Sua síntese, estocagem e liberação são realizadas pelo tecido muscular esquelético. Ação: reduz os fenômenos </w:t>
      </w:r>
      <w:proofErr w:type="spellStart"/>
      <w:r>
        <w:rPr>
          <w:rFonts w:ascii="Arial" w:hAnsi="Arial" w:cs="Arial"/>
          <w:sz w:val="20"/>
          <w:szCs w:val="20"/>
        </w:rPr>
        <w:t>oxidativos</w:t>
      </w:r>
      <w:proofErr w:type="spellEnd"/>
      <w:r>
        <w:rPr>
          <w:rFonts w:ascii="Arial" w:hAnsi="Arial" w:cs="Arial"/>
          <w:sz w:val="20"/>
          <w:szCs w:val="20"/>
        </w:rPr>
        <w:t xml:space="preserve"> / inflamatórios, diminuindo os episódios de crise álgica e internações. Não há efeitos adversos importantes relatados em diversos estudos. Dose: 0,5 g/kg/dia (máx. 10 a 20 g/dia).</w:t>
      </w:r>
    </w:p>
    <w:p w14:paraId="1EB6DFD3" w14:textId="39AB2B6E" w:rsidR="00DF62F7" w:rsidRPr="00EE2D0A" w:rsidRDefault="00DF62F7" w:rsidP="00DF62F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2D0A">
        <w:rPr>
          <w:rFonts w:ascii="Arial" w:hAnsi="Arial" w:cs="Arial"/>
          <w:sz w:val="20"/>
          <w:szCs w:val="20"/>
        </w:rPr>
        <w:t>Tranfusão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na AF: está indicada a transfusão de concentrado de hemácias em qualquer situação que leve à exacerbação da anemia com descompensação hemodinâmica. </w:t>
      </w:r>
      <w:r w:rsidR="00BF3167">
        <w:rPr>
          <w:rFonts w:ascii="Arial" w:hAnsi="Arial" w:cs="Arial"/>
          <w:b/>
          <w:sz w:val="20"/>
          <w:szCs w:val="20"/>
        </w:rPr>
        <w:t xml:space="preserve">Atenção: </w:t>
      </w:r>
      <w:r w:rsidR="00BF3167">
        <w:rPr>
          <w:rFonts w:ascii="Arial" w:hAnsi="Arial" w:cs="Arial"/>
          <w:sz w:val="20"/>
          <w:szCs w:val="20"/>
        </w:rPr>
        <w:t xml:space="preserve">deve-se coletar amostra de sangue para </w:t>
      </w:r>
      <w:proofErr w:type="spellStart"/>
      <w:r w:rsidR="00BF3167">
        <w:rPr>
          <w:rFonts w:ascii="Arial" w:hAnsi="Arial" w:cs="Arial"/>
          <w:sz w:val="20"/>
          <w:szCs w:val="20"/>
        </w:rPr>
        <w:t>fenotipagem</w:t>
      </w:r>
      <w:proofErr w:type="spellEnd"/>
      <w:r w:rsidR="00BF3167">
        <w:rPr>
          <w:rFonts w:ascii="Arial" w:hAnsi="Arial" w:cs="Arial"/>
          <w:sz w:val="20"/>
          <w:szCs w:val="20"/>
        </w:rPr>
        <w:t xml:space="preserve"> antes da primeira transfusão do paciente </w:t>
      </w:r>
      <w:proofErr w:type="spellStart"/>
      <w:r w:rsidR="00BF3167">
        <w:rPr>
          <w:rFonts w:ascii="Arial" w:hAnsi="Arial" w:cs="Arial"/>
          <w:sz w:val="20"/>
          <w:szCs w:val="20"/>
        </w:rPr>
        <w:t>falcêmico</w:t>
      </w:r>
      <w:proofErr w:type="spellEnd"/>
      <w:r w:rsidR="00BF3167">
        <w:rPr>
          <w:rFonts w:ascii="Arial" w:hAnsi="Arial" w:cs="Arial"/>
          <w:sz w:val="20"/>
          <w:szCs w:val="20"/>
        </w:rPr>
        <w:t xml:space="preserve">! </w:t>
      </w:r>
      <w:r w:rsidRPr="00EE2D0A">
        <w:rPr>
          <w:rFonts w:ascii="Arial" w:hAnsi="Arial" w:cs="Arial"/>
          <w:sz w:val="20"/>
          <w:szCs w:val="20"/>
        </w:rPr>
        <w:t>Outras situações em que a transfusão também é mandatória:</w:t>
      </w:r>
    </w:p>
    <w:p w14:paraId="68B5537A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Sequestro esplênico ou hepático</w:t>
      </w:r>
    </w:p>
    <w:p w14:paraId="0F506782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STA</w:t>
      </w:r>
    </w:p>
    <w:p w14:paraId="1A9FA731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AVE</w:t>
      </w:r>
    </w:p>
    <w:p w14:paraId="79DDC8C8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Crise </w:t>
      </w:r>
      <w:proofErr w:type="spellStart"/>
      <w:r w:rsidRPr="00EE2D0A">
        <w:rPr>
          <w:rFonts w:ascii="Arial" w:hAnsi="Arial" w:cs="Arial"/>
          <w:sz w:val="20"/>
          <w:szCs w:val="20"/>
        </w:rPr>
        <w:t>aplástica</w:t>
      </w:r>
      <w:proofErr w:type="spellEnd"/>
    </w:p>
    <w:p w14:paraId="4C6C9385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Crise de </w:t>
      </w:r>
      <w:proofErr w:type="spellStart"/>
      <w:r w:rsidRPr="00EE2D0A">
        <w:rPr>
          <w:rFonts w:ascii="Arial" w:hAnsi="Arial" w:cs="Arial"/>
          <w:sz w:val="20"/>
          <w:szCs w:val="20"/>
        </w:rPr>
        <w:t>hiper-hemólise</w:t>
      </w:r>
      <w:proofErr w:type="spellEnd"/>
    </w:p>
    <w:p w14:paraId="7C6440AF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Priapismo</w:t>
      </w:r>
    </w:p>
    <w:p w14:paraId="2D1284F1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lastRenderedPageBreak/>
        <w:t>Procedimentos de alto risco: anestesia geral</w:t>
      </w:r>
    </w:p>
    <w:p w14:paraId="3A82E5B2" w14:textId="77777777" w:rsidR="00DF62F7" w:rsidRPr="00EE2D0A" w:rsidRDefault="00DF62F7" w:rsidP="00DF62F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Programa de transfusão crônica: AVE, sequestro esplênico recorrente, gravidez</w:t>
      </w:r>
    </w:p>
    <w:p w14:paraId="4AB2B6D4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</w:p>
    <w:p w14:paraId="451CC2B3" w14:textId="77777777" w:rsidR="00EE2D0A" w:rsidRDefault="00EE2D0A" w:rsidP="00DF62F7">
      <w:pPr>
        <w:rPr>
          <w:rFonts w:ascii="Arial" w:hAnsi="Arial" w:cs="Arial"/>
          <w:b/>
          <w:sz w:val="24"/>
          <w:szCs w:val="24"/>
        </w:rPr>
      </w:pPr>
    </w:p>
    <w:p w14:paraId="7B662524" w14:textId="77777777" w:rsidR="00EE2D0A" w:rsidRDefault="00EE2D0A" w:rsidP="00DF62F7">
      <w:pPr>
        <w:rPr>
          <w:rFonts w:ascii="Arial" w:hAnsi="Arial" w:cs="Arial"/>
          <w:b/>
          <w:sz w:val="24"/>
          <w:szCs w:val="24"/>
        </w:rPr>
      </w:pPr>
    </w:p>
    <w:p w14:paraId="18ABC74C" w14:textId="77777777" w:rsidR="00DF62F7" w:rsidRPr="00EE2D0A" w:rsidRDefault="00DF62F7" w:rsidP="00EE2D0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E2D0A">
        <w:rPr>
          <w:rFonts w:ascii="Arial" w:hAnsi="Arial" w:cs="Arial"/>
          <w:b/>
          <w:sz w:val="24"/>
          <w:szCs w:val="24"/>
        </w:rPr>
        <w:t>Referências bibliográficas:</w:t>
      </w:r>
    </w:p>
    <w:p w14:paraId="110973C5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1-Ministério da Saúde, Doença Falciforme. 1ª ed. Brasília, 2014.</w:t>
      </w:r>
    </w:p>
    <w:p w14:paraId="32AB1925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2-Murahovschi Jayme (coord.). Pediatria Diagnóstico e tratamento. 6.ed. São Paulo: </w:t>
      </w:r>
      <w:proofErr w:type="spellStart"/>
      <w:r w:rsidRPr="00EE2D0A">
        <w:rPr>
          <w:rFonts w:ascii="Arial" w:hAnsi="Arial" w:cs="Arial"/>
          <w:sz w:val="20"/>
          <w:szCs w:val="20"/>
        </w:rPr>
        <w:t>Sarvier</w:t>
      </w:r>
      <w:proofErr w:type="spellEnd"/>
      <w:r w:rsidRPr="00EE2D0A">
        <w:rPr>
          <w:rFonts w:ascii="Arial" w:hAnsi="Arial" w:cs="Arial"/>
          <w:sz w:val="20"/>
          <w:szCs w:val="20"/>
        </w:rPr>
        <w:t>, 2003.</w:t>
      </w:r>
    </w:p>
    <w:p w14:paraId="68F06C57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3- Anemia falciforme e suas manifestações respiratórias. </w:t>
      </w:r>
      <w:proofErr w:type="spellStart"/>
      <w:r w:rsidRPr="00EE2D0A">
        <w:rPr>
          <w:rFonts w:ascii="Arial" w:hAnsi="Arial" w:cs="Arial"/>
          <w:sz w:val="20"/>
          <w:szCs w:val="20"/>
        </w:rPr>
        <w:t>Rev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D0A">
        <w:rPr>
          <w:rFonts w:ascii="Arial" w:hAnsi="Arial" w:cs="Arial"/>
          <w:sz w:val="20"/>
          <w:szCs w:val="20"/>
        </w:rPr>
        <w:t>Med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Minas Gerais 2010; 20(4 </w:t>
      </w:r>
      <w:proofErr w:type="spellStart"/>
      <w:r w:rsidRPr="00EE2D0A">
        <w:rPr>
          <w:rFonts w:ascii="Arial" w:hAnsi="Arial" w:cs="Arial"/>
          <w:sz w:val="20"/>
          <w:szCs w:val="20"/>
        </w:rPr>
        <w:t>Supl</w:t>
      </w:r>
      <w:proofErr w:type="spellEnd"/>
      <w:r w:rsidRPr="00EE2D0A">
        <w:rPr>
          <w:rFonts w:ascii="Arial" w:hAnsi="Arial" w:cs="Arial"/>
          <w:sz w:val="20"/>
          <w:szCs w:val="20"/>
        </w:rPr>
        <w:t xml:space="preserve"> 3): S5-S11.</w:t>
      </w:r>
    </w:p>
    <w:p w14:paraId="6A7945E1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4- Ministério da Saúde, Protocolo Clínico e Diretrizes Terapêuticas Doença Falciforme, agosto, 2016.</w:t>
      </w:r>
    </w:p>
    <w:p w14:paraId="497AC7BE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>5- Barros SA et al. Anemia falciforme: uma revisão acerca da doença, novos métodos diagnósticos e tratamento. REAS, Revista Eletrônica Acervo Saúde,2017. Vol. Sup. 9, S856-S863.</w:t>
      </w:r>
    </w:p>
    <w:p w14:paraId="064D994C" w14:textId="77777777" w:rsidR="00DF62F7" w:rsidRPr="00EE2D0A" w:rsidRDefault="00DF62F7" w:rsidP="00DF62F7">
      <w:pPr>
        <w:rPr>
          <w:rFonts w:ascii="Arial" w:hAnsi="Arial" w:cs="Arial"/>
          <w:sz w:val="20"/>
          <w:szCs w:val="20"/>
        </w:rPr>
      </w:pPr>
      <w:r w:rsidRPr="00EE2D0A">
        <w:rPr>
          <w:rFonts w:ascii="Arial" w:hAnsi="Arial" w:cs="Arial"/>
          <w:sz w:val="20"/>
          <w:szCs w:val="20"/>
        </w:rPr>
        <w:t xml:space="preserve">6- Protocolos de Tratamento em Hematologia e Hemoterapia, </w:t>
      </w:r>
      <w:proofErr w:type="spellStart"/>
      <w:r w:rsidRPr="00EE2D0A">
        <w:rPr>
          <w:rFonts w:ascii="Arial" w:hAnsi="Arial" w:cs="Arial"/>
          <w:sz w:val="20"/>
          <w:szCs w:val="20"/>
        </w:rPr>
        <w:t>HemoRio</w:t>
      </w:r>
      <w:proofErr w:type="spellEnd"/>
      <w:r w:rsidRPr="00EE2D0A">
        <w:rPr>
          <w:rFonts w:ascii="Arial" w:hAnsi="Arial" w:cs="Arial"/>
          <w:sz w:val="20"/>
          <w:szCs w:val="20"/>
        </w:rPr>
        <w:t>. Secretaria Estadual de Saúde Governo do Estado do Rio de Janeiro. 2. ed. 2014.</w:t>
      </w:r>
    </w:p>
    <w:p w14:paraId="69FEA0D8" w14:textId="77777777" w:rsidR="00EE2D0A" w:rsidRPr="00EE2D0A" w:rsidRDefault="00EE2D0A" w:rsidP="00EE2D0A">
      <w:pPr>
        <w:pStyle w:val="PargrafodaLista"/>
        <w:rPr>
          <w:rFonts w:ascii="Arial" w:hAnsi="Arial" w:cs="Arial"/>
          <w:sz w:val="20"/>
          <w:szCs w:val="20"/>
        </w:rPr>
      </w:pPr>
    </w:p>
    <w:p w14:paraId="48FDDC8C" w14:textId="0E9C6362" w:rsidR="00DF62F7" w:rsidRPr="00EE2D0A" w:rsidRDefault="00562584" w:rsidP="00C96CDC">
      <w:pPr>
        <w:rPr>
          <w:rFonts w:ascii="Arial" w:hAnsi="Arial" w:cs="Arial"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is</w:t>
      </w:r>
      <w:r w:rsidRPr="004864AE">
        <w:rPr>
          <w:rFonts w:ascii="Arial" w:hAnsi="Arial" w:cs="Arial"/>
          <w:bCs/>
          <w:sz w:val="20"/>
          <w:szCs w:val="20"/>
        </w:rPr>
        <w:t xml:space="preserve"> pela elaboração da rotina</w:t>
      </w:r>
      <w:r w:rsidR="00DF62F7" w:rsidRPr="00C96CDC">
        <w:rPr>
          <w:rFonts w:ascii="Arial" w:hAnsi="Arial" w:cs="Arial"/>
          <w:sz w:val="20"/>
          <w:szCs w:val="20"/>
        </w:rPr>
        <w:t xml:space="preserve">: </w:t>
      </w:r>
      <w:r w:rsidR="00DF62F7" w:rsidRPr="00EE2D0A">
        <w:rPr>
          <w:rFonts w:ascii="Arial" w:hAnsi="Arial" w:cs="Arial"/>
          <w:sz w:val="20"/>
          <w:szCs w:val="20"/>
        </w:rPr>
        <w:t>Dr. Fabrício Pereira Madureira</w:t>
      </w:r>
      <w:r w:rsidR="00C96CDC">
        <w:rPr>
          <w:rFonts w:ascii="Arial" w:hAnsi="Arial" w:cs="Arial"/>
          <w:sz w:val="20"/>
          <w:szCs w:val="20"/>
        </w:rPr>
        <w:t xml:space="preserve"> e Dra. </w:t>
      </w:r>
      <w:proofErr w:type="spellStart"/>
      <w:r w:rsidR="00C96CDC">
        <w:rPr>
          <w:rFonts w:ascii="Arial" w:hAnsi="Arial" w:cs="Arial"/>
          <w:sz w:val="20"/>
          <w:szCs w:val="20"/>
        </w:rPr>
        <w:t>Dania</w:t>
      </w:r>
      <w:proofErr w:type="spellEnd"/>
      <w:r w:rsidR="00C96CDC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C96CDC">
        <w:rPr>
          <w:rFonts w:ascii="Arial" w:hAnsi="Arial" w:cs="Arial"/>
          <w:sz w:val="20"/>
          <w:szCs w:val="20"/>
        </w:rPr>
        <w:t>Dionízio</w:t>
      </w:r>
      <w:proofErr w:type="spellEnd"/>
    </w:p>
    <w:p w14:paraId="4E02C99D" w14:textId="77777777" w:rsidR="00DF62F7" w:rsidRPr="00EE2D0A" w:rsidRDefault="00DF62F7" w:rsidP="00A70550">
      <w:pPr>
        <w:rPr>
          <w:rFonts w:ascii="Arial" w:hAnsi="Arial" w:cs="Arial"/>
          <w:sz w:val="20"/>
          <w:szCs w:val="20"/>
        </w:rPr>
      </w:pPr>
    </w:p>
    <w:p w14:paraId="5BFD754F" w14:textId="77777777" w:rsidR="005F22E3" w:rsidRPr="00EE2D0A" w:rsidRDefault="004A68F6">
      <w:pPr>
        <w:rPr>
          <w:sz w:val="20"/>
          <w:szCs w:val="20"/>
        </w:rPr>
      </w:pPr>
    </w:p>
    <w:sectPr w:rsidR="005F22E3" w:rsidRPr="00EE2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78FF"/>
    <w:multiLevelType w:val="hybridMultilevel"/>
    <w:tmpl w:val="5EA8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0170"/>
    <w:multiLevelType w:val="hybridMultilevel"/>
    <w:tmpl w:val="F89E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10A0"/>
    <w:multiLevelType w:val="hybridMultilevel"/>
    <w:tmpl w:val="97262A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50"/>
    <w:rsid w:val="002000A8"/>
    <w:rsid w:val="002A36A8"/>
    <w:rsid w:val="004931E9"/>
    <w:rsid w:val="004A68F6"/>
    <w:rsid w:val="00562584"/>
    <w:rsid w:val="00580546"/>
    <w:rsid w:val="005F6DBC"/>
    <w:rsid w:val="006548BF"/>
    <w:rsid w:val="00664F2B"/>
    <w:rsid w:val="008728BC"/>
    <w:rsid w:val="008A3F19"/>
    <w:rsid w:val="00A70550"/>
    <w:rsid w:val="00BB29D7"/>
    <w:rsid w:val="00BF3167"/>
    <w:rsid w:val="00C96CDC"/>
    <w:rsid w:val="00CE0AA2"/>
    <w:rsid w:val="00DF62F7"/>
    <w:rsid w:val="00E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1F3A"/>
  <w15:chartTrackingRefBased/>
  <w15:docId w15:val="{D4D90C47-328C-4E18-90E9-7D747AD2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5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3525</Words>
  <Characters>19035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Samdel</cp:lastModifiedBy>
  <cp:revision>11</cp:revision>
  <dcterms:created xsi:type="dcterms:W3CDTF">2018-08-02T22:27:00Z</dcterms:created>
  <dcterms:modified xsi:type="dcterms:W3CDTF">2025-08-25T19:58:00Z</dcterms:modified>
</cp:coreProperties>
</file>