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97B5" w14:textId="7D668E73" w:rsidR="00484CD8" w:rsidRPr="00E62862" w:rsidRDefault="00E62862" w:rsidP="00E62862">
      <w:pPr>
        <w:spacing w:line="360" w:lineRule="auto"/>
        <w:jc w:val="both"/>
        <w:rPr>
          <w:rFonts w:ascii="Arial" w:hAnsi="Arial" w:cs="Arial"/>
          <w:bCs/>
          <w:sz w:val="28"/>
          <w:szCs w:val="28"/>
        </w:rPr>
      </w:pPr>
      <w:r w:rsidRPr="00E62862">
        <w:rPr>
          <w:rFonts w:ascii="Arial" w:hAnsi="Arial" w:cs="Arial"/>
          <w:bCs/>
          <w:sz w:val="28"/>
          <w:szCs w:val="28"/>
        </w:rPr>
        <w:t>ANEMIA FERROPRIVA</w:t>
      </w:r>
    </w:p>
    <w:p w14:paraId="7477E5C0" w14:textId="77777777" w:rsidR="00881A9B" w:rsidRPr="00881A9B" w:rsidRDefault="00881A9B" w:rsidP="00CF7A67">
      <w:pPr>
        <w:pStyle w:val="PargrafodaLista"/>
        <w:spacing w:line="360" w:lineRule="auto"/>
        <w:jc w:val="both"/>
        <w:rPr>
          <w:rFonts w:ascii="Arial" w:hAnsi="Arial" w:cs="Arial"/>
          <w:b/>
          <w:sz w:val="20"/>
          <w:szCs w:val="20"/>
        </w:rPr>
      </w:pPr>
    </w:p>
    <w:p w14:paraId="36B5DF47" w14:textId="77777777" w:rsidR="00275898" w:rsidRPr="00881A9B" w:rsidRDefault="00881A9B" w:rsidP="00CF7A67">
      <w:pPr>
        <w:pStyle w:val="PargrafodaLista"/>
        <w:numPr>
          <w:ilvl w:val="0"/>
          <w:numId w:val="11"/>
        </w:numPr>
        <w:spacing w:line="360" w:lineRule="auto"/>
        <w:jc w:val="both"/>
        <w:rPr>
          <w:rFonts w:ascii="Arial" w:hAnsi="Arial" w:cs="Arial"/>
          <w:b/>
          <w:sz w:val="20"/>
          <w:szCs w:val="20"/>
        </w:rPr>
      </w:pPr>
      <w:r w:rsidRPr="00881A9B">
        <w:rPr>
          <w:rFonts w:ascii="Arial" w:hAnsi="Arial" w:cs="Arial"/>
          <w:b/>
          <w:sz w:val="24"/>
          <w:szCs w:val="24"/>
        </w:rPr>
        <w:t>Definição</w:t>
      </w:r>
      <w:r w:rsidR="00275898" w:rsidRPr="00881A9B">
        <w:rPr>
          <w:rFonts w:ascii="Arial" w:hAnsi="Arial" w:cs="Arial"/>
          <w:b/>
          <w:sz w:val="20"/>
          <w:szCs w:val="20"/>
        </w:rPr>
        <w:t>:</w:t>
      </w:r>
    </w:p>
    <w:p w14:paraId="7A436940" w14:textId="77777777" w:rsidR="00275898"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Anemia é, segundo a Organização Mundial da Saúde (OMS), a condição na qual a concentração sanguínea de hemoglobina se encontra abaixo dos valores esperados (inferior a -2DP), tornando-se insuficiente para atender as necessidades fisiológicas exigidas de acordo com idade, sexo, gestação e altitude. De origem multifatorial, pode ser ocasionada pela deficiência de ferro e/ ou diversos outros micronutrientes, por perdas sanguíneas, processos</w:t>
      </w:r>
      <w:r w:rsidR="00596F83" w:rsidRPr="00881A9B">
        <w:rPr>
          <w:rFonts w:ascii="Arial" w:hAnsi="Arial" w:cs="Arial"/>
          <w:sz w:val="20"/>
          <w:szCs w:val="20"/>
        </w:rPr>
        <w:t xml:space="preserve"> </w:t>
      </w:r>
      <w:r w:rsidRPr="00881A9B">
        <w:rPr>
          <w:rFonts w:ascii="Arial" w:hAnsi="Arial" w:cs="Arial"/>
          <w:sz w:val="20"/>
          <w:szCs w:val="20"/>
        </w:rPr>
        <w:t>infecciosos e patológicos concomitantes, uso de medicações específicas que impeçam ou prejudiquem a absorção do ferro. A principal causa de anemia é a deficiência de ferro, estando associada a mais de 60% dos casos em todo o mundo.</w:t>
      </w:r>
    </w:p>
    <w:p w14:paraId="0729C0E0" w14:textId="77777777" w:rsidR="00484CD8" w:rsidRPr="00881A9B" w:rsidRDefault="00881A9B" w:rsidP="00CF7A67">
      <w:pPr>
        <w:pStyle w:val="PargrafodaLista"/>
        <w:numPr>
          <w:ilvl w:val="0"/>
          <w:numId w:val="12"/>
        </w:numPr>
        <w:spacing w:line="360" w:lineRule="auto"/>
        <w:jc w:val="both"/>
        <w:rPr>
          <w:rFonts w:ascii="Arial" w:hAnsi="Arial" w:cs="Arial"/>
          <w:b/>
          <w:sz w:val="24"/>
          <w:szCs w:val="24"/>
        </w:rPr>
      </w:pPr>
      <w:r w:rsidRPr="00881A9B">
        <w:rPr>
          <w:rFonts w:ascii="Arial" w:hAnsi="Arial" w:cs="Arial"/>
          <w:b/>
          <w:sz w:val="24"/>
          <w:szCs w:val="24"/>
        </w:rPr>
        <w:t>Diagnóstico Clínico E Laboratorial:</w:t>
      </w:r>
    </w:p>
    <w:p w14:paraId="67D91854" w14:textId="77777777" w:rsidR="00A21750" w:rsidRPr="00881A9B" w:rsidRDefault="00484CD8" w:rsidP="00CF7A67">
      <w:pPr>
        <w:spacing w:line="360" w:lineRule="auto"/>
        <w:jc w:val="both"/>
        <w:rPr>
          <w:rFonts w:ascii="Arial" w:hAnsi="Arial" w:cs="Arial"/>
          <w:sz w:val="20"/>
          <w:szCs w:val="20"/>
        </w:rPr>
      </w:pPr>
      <w:r w:rsidRPr="00881A9B">
        <w:rPr>
          <w:rFonts w:ascii="Arial" w:hAnsi="Arial" w:cs="Arial"/>
          <w:sz w:val="20"/>
          <w:szCs w:val="20"/>
        </w:rPr>
        <w:t>As manifestações clínicas da deficiência de ferro são determinadas pelos estágios de depleção, deficiência de ferro e anemia propriamente dita, quando as repercussões clínicas e fisiológicas são aparentes, como apatia, cansaço, irritabilidade, taquicardia e outros</w:t>
      </w:r>
      <w:r w:rsidR="009E49B9" w:rsidRPr="00881A9B">
        <w:rPr>
          <w:rFonts w:ascii="Arial" w:hAnsi="Arial" w:cs="Arial"/>
          <w:sz w:val="20"/>
          <w:szCs w:val="20"/>
        </w:rPr>
        <w:t xml:space="preserve">. </w:t>
      </w:r>
    </w:p>
    <w:p w14:paraId="0E874F3F" w14:textId="77777777" w:rsidR="009E49B9" w:rsidRPr="00881A9B" w:rsidRDefault="009E49B9" w:rsidP="00CF7A67">
      <w:pPr>
        <w:pStyle w:val="PargrafodaLista"/>
        <w:numPr>
          <w:ilvl w:val="0"/>
          <w:numId w:val="8"/>
        </w:numPr>
        <w:spacing w:line="360" w:lineRule="auto"/>
        <w:jc w:val="both"/>
        <w:rPr>
          <w:rFonts w:ascii="Arial" w:hAnsi="Arial" w:cs="Arial"/>
          <w:b/>
          <w:sz w:val="24"/>
          <w:szCs w:val="24"/>
        </w:rPr>
      </w:pPr>
      <w:r w:rsidRPr="00881A9B">
        <w:rPr>
          <w:rFonts w:ascii="Arial" w:hAnsi="Arial" w:cs="Arial"/>
          <w:b/>
          <w:sz w:val="24"/>
          <w:szCs w:val="24"/>
        </w:rPr>
        <w:t>Estágios da Anemia Ferropriva:</w:t>
      </w:r>
    </w:p>
    <w:p w14:paraId="77F7D99B" w14:textId="77777777" w:rsidR="00484CD8" w:rsidRPr="00881A9B" w:rsidRDefault="00484CD8" w:rsidP="00CF7A67">
      <w:pPr>
        <w:spacing w:line="360" w:lineRule="auto"/>
        <w:jc w:val="both"/>
        <w:rPr>
          <w:rFonts w:ascii="Arial" w:hAnsi="Arial" w:cs="Arial"/>
          <w:sz w:val="20"/>
          <w:szCs w:val="20"/>
        </w:rPr>
      </w:pPr>
      <w:r w:rsidRPr="00881A9B">
        <w:rPr>
          <w:rFonts w:ascii="Arial" w:hAnsi="Arial" w:cs="Arial"/>
          <w:b/>
          <w:sz w:val="20"/>
          <w:szCs w:val="20"/>
        </w:rPr>
        <w:t>1º estágio (depleção de ferro):</w:t>
      </w:r>
      <w:r w:rsidRPr="00881A9B">
        <w:rPr>
          <w:rFonts w:ascii="Arial" w:hAnsi="Arial" w:cs="Arial"/>
          <w:sz w:val="20"/>
          <w:szCs w:val="20"/>
        </w:rPr>
        <w:t xml:space="preserve"> diminuição dos depósitos de ferro no fígado, baço e medula óssea e pode ser diagnosticada a partir da ferritina sérica, principal parâmetro utilizado para avaliar as reservas de ferro, por apresentar forte correlação com o ferro armazenado nos tecidos.</w:t>
      </w:r>
    </w:p>
    <w:p w14:paraId="7A641893" w14:textId="77777777" w:rsidR="00484CD8" w:rsidRPr="00881A9B" w:rsidRDefault="00484CD8" w:rsidP="00CF7A67">
      <w:pPr>
        <w:pStyle w:val="PargrafodaLista"/>
        <w:spacing w:line="360" w:lineRule="auto"/>
        <w:jc w:val="both"/>
        <w:rPr>
          <w:rFonts w:ascii="Arial" w:hAnsi="Arial" w:cs="Arial"/>
          <w:sz w:val="20"/>
          <w:szCs w:val="20"/>
        </w:rPr>
      </w:pPr>
      <w:r w:rsidRPr="00881A9B">
        <w:rPr>
          <w:rFonts w:ascii="Arial" w:hAnsi="Arial" w:cs="Arial"/>
          <w:sz w:val="20"/>
          <w:szCs w:val="20"/>
        </w:rPr>
        <w:t xml:space="preserve">Crianças &lt; 5 anos: Ferritina &lt; 12 </w:t>
      </w:r>
      <w:proofErr w:type="spellStart"/>
      <w:r w:rsidRPr="00881A9B">
        <w:rPr>
          <w:rFonts w:ascii="Arial" w:hAnsi="Arial" w:cs="Arial"/>
          <w:sz w:val="20"/>
          <w:szCs w:val="20"/>
        </w:rPr>
        <w:t>μg</w:t>
      </w:r>
      <w:proofErr w:type="spellEnd"/>
      <w:r w:rsidRPr="00881A9B">
        <w:rPr>
          <w:rFonts w:ascii="Arial" w:hAnsi="Arial" w:cs="Arial"/>
          <w:sz w:val="20"/>
          <w:szCs w:val="20"/>
        </w:rPr>
        <w:t>/L</w:t>
      </w:r>
    </w:p>
    <w:p w14:paraId="6D0FB69C" w14:textId="77777777" w:rsidR="00484CD8" w:rsidRPr="00881A9B" w:rsidRDefault="00484CD8" w:rsidP="00CF7A67">
      <w:pPr>
        <w:pStyle w:val="PargrafodaLista"/>
        <w:spacing w:line="360" w:lineRule="auto"/>
        <w:jc w:val="both"/>
        <w:rPr>
          <w:rFonts w:ascii="Arial" w:hAnsi="Arial" w:cs="Arial"/>
          <w:sz w:val="20"/>
          <w:szCs w:val="20"/>
        </w:rPr>
      </w:pPr>
      <w:r w:rsidRPr="00881A9B">
        <w:rPr>
          <w:rFonts w:ascii="Arial" w:hAnsi="Arial" w:cs="Arial"/>
          <w:sz w:val="20"/>
          <w:szCs w:val="20"/>
        </w:rPr>
        <w:t xml:space="preserve">Crianças entre 5 e 12 anos: Ferritina &lt; 15 </w:t>
      </w:r>
      <w:proofErr w:type="spellStart"/>
      <w:r w:rsidRPr="00881A9B">
        <w:rPr>
          <w:rFonts w:ascii="Arial" w:hAnsi="Arial" w:cs="Arial"/>
          <w:sz w:val="20"/>
          <w:szCs w:val="20"/>
        </w:rPr>
        <w:t>μg</w:t>
      </w:r>
      <w:proofErr w:type="spellEnd"/>
      <w:r w:rsidRPr="00881A9B">
        <w:rPr>
          <w:rFonts w:ascii="Arial" w:hAnsi="Arial" w:cs="Arial"/>
          <w:sz w:val="20"/>
          <w:szCs w:val="20"/>
        </w:rPr>
        <w:t xml:space="preserve">/L </w:t>
      </w:r>
    </w:p>
    <w:p w14:paraId="0EDD7E94" w14:textId="77777777" w:rsidR="00484CD8" w:rsidRPr="00881A9B" w:rsidRDefault="00484CD8" w:rsidP="00CF7A67">
      <w:pPr>
        <w:spacing w:line="360" w:lineRule="auto"/>
        <w:jc w:val="both"/>
        <w:rPr>
          <w:rFonts w:ascii="Arial" w:hAnsi="Arial" w:cs="Arial"/>
          <w:sz w:val="20"/>
          <w:szCs w:val="20"/>
        </w:rPr>
      </w:pPr>
      <w:r w:rsidRPr="00881A9B">
        <w:rPr>
          <w:rFonts w:ascii="Arial" w:hAnsi="Arial" w:cs="Arial"/>
          <w:sz w:val="20"/>
          <w:szCs w:val="20"/>
        </w:rPr>
        <w:t xml:space="preserve">OBS: Lembrar que a concentração de ferritina é influenciada pela presença de doenças hepáticas e processos infecciosos e inflamatórios, devendo ser interpretada com cautela. </w:t>
      </w:r>
    </w:p>
    <w:p w14:paraId="624DA9A3" w14:textId="77777777" w:rsidR="00484CD8" w:rsidRPr="00881A9B" w:rsidRDefault="00E06B2E" w:rsidP="00CF7A67">
      <w:pPr>
        <w:spacing w:line="360" w:lineRule="auto"/>
        <w:jc w:val="both"/>
        <w:rPr>
          <w:rFonts w:ascii="Arial" w:hAnsi="Arial" w:cs="Arial"/>
          <w:b/>
          <w:sz w:val="20"/>
          <w:szCs w:val="20"/>
        </w:rPr>
      </w:pPr>
      <w:r w:rsidRPr="00881A9B">
        <w:rPr>
          <w:rFonts w:ascii="Arial" w:hAnsi="Arial" w:cs="Arial"/>
          <w:b/>
          <w:sz w:val="20"/>
          <w:szCs w:val="20"/>
        </w:rPr>
        <w:t xml:space="preserve">2ª estágio (deficiência de ferro): </w:t>
      </w:r>
    </w:p>
    <w:p w14:paraId="5871C30E"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F</w:t>
      </w:r>
      <w:r w:rsidR="00E06B2E" w:rsidRPr="00881A9B">
        <w:rPr>
          <w:rFonts w:ascii="Arial" w:hAnsi="Arial" w:cs="Arial"/>
          <w:sz w:val="20"/>
          <w:szCs w:val="20"/>
        </w:rPr>
        <w:t>erro sérico</w:t>
      </w:r>
      <w:r w:rsidRPr="00881A9B">
        <w:rPr>
          <w:rFonts w:ascii="Arial" w:hAnsi="Arial" w:cs="Arial"/>
          <w:sz w:val="20"/>
          <w:szCs w:val="20"/>
        </w:rPr>
        <w:t xml:space="preserve"> &lt; 30mg/dl</w:t>
      </w:r>
    </w:p>
    <w:p w14:paraId="1F54DF0F"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A</w:t>
      </w:r>
      <w:r w:rsidR="00E06B2E" w:rsidRPr="00881A9B">
        <w:rPr>
          <w:rFonts w:ascii="Arial" w:hAnsi="Arial" w:cs="Arial"/>
          <w:sz w:val="20"/>
          <w:szCs w:val="20"/>
        </w:rPr>
        <w:t>umento da capacidade</w:t>
      </w:r>
      <w:r w:rsidRPr="00881A9B">
        <w:rPr>
          <w:rFonts w:ascii="Arial" w:hAnsi="Arial" w:cs="Arial"/>
          <w:sz w:val="20"/>
          <w:szCs w:val="20"/>
        </w:rPr>
        <w:t xml:space="preserve"> </w:t>
      </w:r>
      <w:r w:rsidR="00E06B2E" w:rsidRPr="00881A9B">
        <w:rPr>
          <w:rFonts w:ascii="Arial" w:hAnsi="Arial" w:cs="Arial"/>
          <w:sz w:val="20"/>
          <w:szCs w:val="20"/>
        </w:rPr>
        <w:t xml:space="preserve">total de ligação da </w:t>
      </w:r>
      <w:proofErr w:type="spellStart"/>
      <w:r w:rsidR="00E06B2E" w:rsidRPr="00881A9B">
        <w:rPr>
          <w:rFonts w:ascii="Arial" w:hAnsi="Arial" w:cs="Arial"/>
          <w:sz w:val="20"/>
          <w:szCs w:val="20"/>
        </w:rPr>
        <w:t>transferrina</w:t>
      </w:r>
      <w:proofErr w:type="spellEnd"/>
      <w:r w:rsidR="00E06B2E" w:rsidRPr="00881A9B">
        <w:rPr>
          <w:rFonts w:ascii="Arial" w:hAnsi="Arial" w:cs="Arial"/>
          <w:sz w:val="20"/>
          <w:szCs w:val="20"/>
        </w:rPr>
        <w:t xml:space="preserve"> (&gt;250-</w:t>
      </w:r>
      <w:r w:rsidRPr="00881A9B">
        <w:rPr>
          <w:rFonts w:ascii="Arial" w:hAnsi="Arial" w:cs="Arial"/>
          <w:sz w:val="20"/>
          <w:szCs w:val="20"/>
        </w:rPr>
        <w:t xml:space="preserve"> 390μg/dl)</w:t>
      </w:r>
    </w:p>
    <w:p w14:paraId="15FDF64D" w14:textId="77777777" w:rsidR="00E06B2E"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D</w:t>
      </w:r>
      <w:r w:rsidR="00E06B2E" w:rsidRPr="00881A9B">
        <w:rPr>
          <w:rFonts w:ascii="Arial" w:hAnsi="Arial" w:cs="Arial"/>
          <w:sz w:val="20"/>
          <w:szCs w:val="20"/>
        </w:rPr>
        <w:t xml:space="preserve">iminuição da saturação da </w:t>
      </w:r>
      <w:proofErr w:type="spellStart"/>
      <w:r w:rsidR="00E06B2E" w:rsidRPr="00881A9B">
        <w:rPr>
          <w:rFonts w:ascii="Arial" w:hAnsi="Arial" w:cs="Arial"/>
          <w:sz w:val="20"/>
          <w:szCs w:val="20"/>
        </w:rPr>
        <w:t>transferrina</w:t>
      </w:r>
      <w:proofErr w:type="spellEnd"/>
      <w:r w:rsidRPr="00881A9B">
        <w:rPr>
          <w:rFonts w:ascii="Arial" w:hAnsi="Arial" w:cs="Arial"/>
          <w:sz w:val="20"/>
          <w:szCs w:val="20"/>
        </w:rPr>
        <w:t xml:space="preserve"> </w:t>
      </w:r>
      <w:r w:rsidR="00E06B2E" w:rsidRPr="00881A9B">
        <w:rPr>
          <w:rFonts w:ascii="Arial" w:hAnsi="Arial" w:cs="Arial"/>
          <w:sz w:val="20"/>
          <w:szCs w:val="20"/>
        </w:rPr>
        <w:t>(&lt;16%).</w:t>
      </w:r>
    </w:p>
    <w:p w14:paraId="4ADEB61F" w14:textId="77777777" w:rsidR="00111299" w:rsidRPr="00881A9B" w:rsidRDefault="00111299" w:rsidP="00CF7A67">
      <w:pPr>
        <w:spacing w:line="360" w:lineRule="auto"/>
        <w:jc w:val="both"/>
        <w:rPr>
          <w:rFonts w:ascii="Arial" w:hAnsi="Arial" w:cs="Arial"/>
          <w:b/>
          <w:sz w:val="20"/>
          <w:szCs w:val="20"/>
        </w:rPr>
      </w:pPr>
      <w:r w:rsidRPr="00881A9B">
        <w:rPr>
          <w:rFonts w:ascii="Arial" w:hAnsi="Arial" w:cs="Arial"/>
          <w:b/>
          <w:sz w:val="20"/>
          <w:szCs w:val="20"/>
        </w:rPr>
        <w:t>3º estágio (anemia ferropriva):</w:t>
      </w:r>
    </w:p>
    <w:p w14:paraId="5CFDAE68"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 xml:space="preserve">Diminuição sanguínea da hemoglobina e hematócrito e alterações </w:t>
      </w:r>
      <w:proofErr w:type="spellStart"/>
      <w:r w:rsidRPr="00881A9B">
        <w:rPr>
          <w:rFonts w:ascii="Arial" w:hAnsi="Arial" w:cs="Arial"/>
          <w:sz w:val="20"/>
          <w:szCs w:val="20"/>
        </w:rPr>
        <w:t>hematimétricas</w:t>
      </w:r>
      <w:proofErr w:type="spellEnd"/>
    </w:p>
    <w:p w14:paraId="0B18C23F"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Para hemoglobina:</w:t>
      </w:r>
    </w:p>
    <w:p w14:paraId="4FE0A508"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lastRenderedPageBreak/>
        <w:t xml:space="preserve">Crianças de 6 a 60 meses: </w:t>
      </w:r>
      <w:proofErr w:type="spellStart"/>
      <w:r w:rsidRPr="00881A9B">
        <w:rPr>
          <w:rFonts w:ascii="Arial" w:hAnsi="Arial" w:cs="Arial"/>
          <w:sz w:val="20"/>
          <w:szCs w:val="20"/>
        </w:rPr>
        <w:t>Hb</w:t>
      </w:r>
      <w:proofErr w:type="spellEnd"/>
      <w:r w:rsidRPr="00881A9B">
        <w:rPr>
          <w:rFonts w:ascii="Arial" w:hAnsi="Arial" w:cs="Arial"/>
          <w:sz w:val="20"/>
          <w:szCs w:val="20"/>
        </w:rPr>
        <w:t xml:space="preserve"> &lt; 11g/dl </w:t>
      </w:r>
    </w:p>
    <w:p w14:paraId="7827FBF2"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 xml:space="preserve">Crianças de 5 a 11 anos: </w:t>
      </w:r>
      <w:proofErr w:type="spellStart"/>
      <w:r w:rsidRPr="00881A9B">
        <w:rPr>
          <w:rFonts w:ascii="Arial" w:hAnsi="Arial" w:cs="Arial"/>
          <w:sz w:val="20"/>
          <w:szCs w:val="20"/>
        </w:rPr>
        <w:t>Hb</w:t>
      </w:r>
      <w:proofErr w:type="spellEnd"/>
      <w:r w:rsidRPr="00881A9B">
        <w:rPr>
          <w:rFonts w:ascii="Arial" w:hAnsi="Arial" w:cs="Arial"/>
          <w:sz w:val="20"/>
          <w:szCs w:val="20"/>
        </w:rPr>
        <w:t xml:space="preserve"> &lt; 11,5g/dl </w:t>
      </w:r>
    </w:p>
    <w:p w14:paraId="30F95D2A"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Para o hematócrito:</w:t>
      </w:r>
    </w:p>
    <w:p w14:paraId="6977DD9C"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 xml:space="preserve">Crianças de 6 a 60 meses: </w:t>
      </w:r>
      <w:proofErr w:type="spellStart"/>
      <w:r w:rsidRPr="00881A9B">
        <w:rPr>
          <w:rFonts w:ascii="Arial" w:hAnsi="Arial" w:cs="Arial"/>
          <w:sz w:val="20"/>
          <w:szCs w:val="20"/>
        </w:rPr>
        <w:t>Ht</w:t>
      </w:r>
      <w:proofErr w:type="spellEnd"/>
      <w:r w:rsidRPr="00881A9B">
        <w:rPr>
          <w:rFonts w:ascii="Arial" w:hAnsi="Arial" w:cs="Arial"/>
          <w:sz w:val="20"/>
          <w:szCs w:val="20"/>
        </w:rPr>
        <w:t xml:space="preserve"> &lt; 33% </w:t>
      </w:r>
    </w:p>
    <w:p w14:paraId="367DA335" w14:textId="77777777" w:rsidR="00111299" w:rsidRPr="00881A9B" w:rsidRDefault="00111299" w:rsidP="00CF7A67">
      <w:pPr>
        <w:spacing w:line="360" w:lineRule="auto"/>
        <w:jc w:val="both"/>
        <w:rPr>
          <w:rFonts w:ascii="Arial" w:hAnsi="Arial" w:cs="Arial"/>
          <w:sz w:val="20"/>
          <w:szCs w:val="20"/>
        </w:rPr>
      </w:pPr>
      <w:r w:rsidRPr="00881A9B">
        <w:rPr>
          <w:rFonts w:ascii="Arial" w:hAnsi="Arial" w:cs="Arial"/>
          <w:sz w:val="20"/>
          <w:szCs w:val="20"/>
        </w:rPr>
        <w:t xml:space="preserve">Crianças de 5 a 11 anos: </w:t>
      </w:r>
      <w:proofErr w:type="spellStart"/>
      <w:r w:rsidRPr="00881A9B">
        <w:rPr>
          <w:rFonts w:ascii="Arial" w:hAnsi="Arial" w:cs="Arial"/>
          <w:sz w:val="20"/>
          <w:szCs w:val="20"/>
        </w:rPr>
        <w:t>Ht</w:t>
      </w:r>
      <w:proofErr w:type="spellEnd"/>
      <w:r w:rsidRPr="00881A9B">
        <w:rPr>
          <w:rFonts w:ascii="Arial" w:hAnsi="Arial" w:cs="Arial"/>
          <w:sz w:val="20"/>
          <w:szCs w:val="20"/>
        </w:rPr>
        <w:t xml:space="preserve"> &lt; 34%</w:t>
      </w:r>
    </w:p>
    <w:p w14:paraId="0CEAF38F" w14:textId="77777777" w:rsidR="00111299" w:rsidRPr="00881A9B" w:rsidRDefault="003D164F" w:rsidP="00CF7A67">
      <w:pPr>
        <w:spacing w:line="360" w:lineRule="auto"/>
        <w:jc w:val="both"/>
        <w:rPr>
          <w:rFonts w:ascii="Arial" w:hAnsi="Arial" w:cs="Arial"/>
          <w:sz w:val="20"/>
          <w:szCs w:val="20"/>
        </w:rPr>
      </w:pPr>
      <w:r w:rsidRPr="00881A9B">
        <w:rPr>
          <w:rFonts w:ascii="Arial" w:hAnsi="Arial" w:cs="Arial"/>
          <w:sz w:val="20"/>
          <w:szCs w:val="20"/>
        </w:rPr>
        <w:t xml:space="preserve">OBS: </w:t>
      </w:r>
      <w:r w:rsidR="00111299" w:rsidRPr="00881A9B">
        <w:rPr>
          <w:rFonts w:ascii="Arial" w:hAnsi="Arial" w:cs="Arial"/>
          <w:sz w:val="20"/>
          <w:szCs w:val="20"/>
        </w:rPr>
        <w:t xml:space="preserve">Outros sinais indicativos de anemia ferropriva: Leucopenia e </w:t>
      </w:r>
      <w:proofErr w:type="spellStart"/>
      <w:r w:rsidR="00111299" w:rsidRPr="00881A9B">
        <w:rPr>
          <w:rFonts w:ascii="Arial" w:hAnsi="Arial" w:cs="Arial"/>
          <w:sz w:val="20"/>
          <w:szCs w:val="20"/>
        </w:rPr>
        <w:t>plaquetose</w:t>
      </w:r>
      <w:proofErr w:type="spellEnd"/>
      <w:r w:rsidR="00111299" w:rsidRPr="00881A9B">
        <w:rPr>
          <w:rFonts w:ascii="Arial" w:hAnsi="Arial" w:cs="Arial"/>
          <w:sz w:val="20"/>
          <w:szCs w:val="20"/>
        </w:rPr>
        <w:t xml:space="preserve">; Contagem dos reticulócitos (indicador precoce) </w:t>
      </w:r>
      <w:r w:rsidR="00111299" w:rsidRPr="00881A9B">
        <w:rPr>
          <w:rFonts w:ascii="Arial" w:hAnsi="Arial" w:cs="Arial"/>
          <w:sz w:val="20"/>
          <w:szCs w:val="20"/>
        </w:rPr>
        <w:sym w:font="Wingdings" w:char="F0E0"/>
      </w:r>
      <w:r w:rsidR="00111299" w:rsidRPr="00881A9B">
        <w:rPr>
          <w:rFonts w:ascii="Arial" w:hAnsi="Arial" w:cs="Arial"/>
          <w:sz w:val="20"/>
          <w:szCs w:val="20"/>
        </w:rPr>
        <w:t xml:space="preserve"> referência do valor relativo é de 0,5% a 2%, e do valor</w:t>
      </w:r>
      <w:r w:rsidR="00526582" w:rsidRPr="00881A9B">
        <w:rPr>
          <w:rFonts w:ascii="Arial" w:hAnsi="Arial" w:cs="Arial"/>
          <w:sz w:val="20"/>
          <w:szCs w:val="20"/>
        </w:rPr>
        <w:t xml:space="preserve"> absoluto de 25000-85000/mm. </w:t>
      </w:r>
    </w:p>
    <w:p w14:paraId="2C8E7D7B" w14:textId="77777777" w:rsidR="00881A9B" w:rsidRDefault="00881A9B" w:rsidP="00CF7A67">
      <w:pPr>
        <w:pStyle w:val="PargrafodaLista"/>
        <w:spacing w:line="360" w:lineRule="auto"/>
        <w:jc w:val="both"/>
        <w:rPr>
          <w:rFonts w:ascii="Arial" w:hAnsi="Arial" w:cs="Arial"/>
          <w:b/>
          <w:sz w:val="20"/>
          <w:szCs w:val="20"/>
        </w:rPr>
      </w:pPr>
    </w:p>
    <w:p w14:paraId="7170AAED" w14:textId="77777777" w:rsidR="00275898" w:rsidRPr="00881A9B" w:rsidRDefault="009E49B9" w:rsidP="00CF7A67">
      <w:pPr>
        <w:pStyle w:val="PargrafodaLista"/>
        <w:numPr>
          <w:ilvl w:val="0"/>
          <w:numId w:val="9"/>
        </w:numPr>
        <w:spacing w:line="360" w:lineRule="auto"/>
        <w:jc w:val="both"/>
        <w:rPr>
          <w:rFonts w:ascii="Arial" w:hAnsi="Arial" w:cs="Arial"/>
          <w:b/>
          <w:sz w:val="24"/>
          <w:szCs w:val="24"/>
        </w:rPr>
      </w:pPr>
      <w:r w:rsidRPr="00881A9B">
        <w:rPr>
          <w:rFonts w:ascii="Arial" w:hAnsi="Arial" w:cs="Arial"/>
          <w:b/>
          <w:sz w:val="24"/>
          <w:szCs w:val="24"/>
        </w:rPr>
        <w:t>Sinais e sintomas frequentes:</w:t>
      </w:r>
    </w:p>
    <w:p w14:paraId="0A5A3EBC" w14:textId="77777777" w:rsidR="0037079F" w:rsidRPr="00881A9B" w:rsidRDefault="0037079F" w:rsidP="00CF7A67">
      <w:pPr>
        <w:spacing w:line="360" w:lineRule="auto"/>
        <w:jc w:val="both"/>
        <w:rPr>
          <w:rFonts w:ascii="Arial" w:hAnsi="Arial" w:cs="Arial"/>
          <w:sz w:val="20"/>
          <w:szCs w:val="20"/>
        </w:rPr>
      </w:pPr>
      <w:r w:rsidRPr="00881A9B">
        <w:rPr>
          <w:rFonts w:ascii="Arial" w:hAnsi="Arial" w:cs="Arial"/>
          <w:sz w:val="20"/>
          <w:szCs w:val="20"/>
        </w:rPr>
        <w:t xml:space="preserve">Para o diagnóstico da anemia ferropriva também é necessário considerar os sinais clínicos da deficiência de ferro, que podem ser utilizados em conjunto com parâmetros bioquímicos e laboratoriais, tais como: </w:t>
      </w:r>
    </w:p>
    <w:p w14:paraId="432576DB" w14:textId="77777777" w:rsidR="00A21750" w:rsidRPr="00881A9B" w:rsidRDefault="00A21750" w:rsidP="00CF7A67">
      <w:pPr>
        <w:spacing w:line="360" w:lineRule="auto"/>
        <w:jc w:val="both"/>
        <w:rPr>
          <w:rFonts w:ascii="Arial" w:hAnsi="Arial" w:cs="Arial"/>
          <w:sz w:val="20"/>
          <w:szCs w:val="20"/>
        </w:rPr>
      </w:pPr>
      <w:r w:rsidRPr="00881A9B">
        <w:rPr>
          <w:rFonts w:ascii="Arial" w:hAnsi="Arial" w:cs="Arial"/>
          <w:sz w:val="20"/>
          <w:szCs w:val="20"/>
        </w:rPr>
        <w:t xml:space="preserve">Redução da acidez gástrica, </w:t>
      </w:r>
      <w:r w:rsidR="00275898" w:rsidRPr="00881A9B">
        <w:rPr>
          <w:rFonts w:ascii="Arial" w:hAnsi="Arial" w:cs="Arial"/>
          <w:sz w:val="20"/>
          <w:szCs w:val="20"/>
        </w:rPr>
        <w:t>gastrite atrófi</w:t>
      </w:r>
      <w:r w:rsidRPr="00881A9B">
        <w:rPr>
          <w:rFonts w:ascii="Arial" w:hAnsi="Arial" w:cs="Arial"/>
          <w:sz w:val="20"/>
          <w:szCs w:val="20"/>
        </w:rPr>
        <w:t xml:space="preserve">ca, sangramento da mucosa intestinal, irritabilidade, distúrbios de conduta e percepção, distúrbio psicomotor, inibição da capacidade bactericida dos </w:t>
      </w:r>
      <w:r w:rsidR="00275898" w:rsidRPr="00881A9B">
        <w:rPr>
          <w:rFonts w:ascii="Arial" w:hAnsi="Arial" w:cs="Arial"/>
          <w:sz w:val="20"/>
          <w:szCs w:val="20"/>
        </w:rPr>
        <w:t>neutrófi</w:t>
      </w:r>
      <w:r w:rsidRPr="00881A9B">
        <w:rPr>
          <w:rFonts w:ascii="Arial" w:hAnsi="Arial" w:cs="Arial"/>
          <w:sz w:val="20"/>
          <w:szCs w:val="20"/>
        </w:rPr>
        <w:t xml:space="preserve">los, diminuição de linfócitos T, diminuição da capacidade de trabalho e da tolerância a exercícios, palidez da face, das palmas das mãos e das mucosas conjuntival e oral, respiração ofegante, astenia e </w:t>
      </w:r>
      <w:proofErr w:type="spellStart"/>
      <w:r w:rsidRPr="00881A9B">
        <w:rPr>
          <w:rFonts w:ascii="Arial" w:hAnsi="Arial" w:cs="Arial"/>
          <w:sz w:val="20"/>
          <w:szCs w:val="20"/>
        </w:rPr>
        <w:t>algia</w:t>
      </w:r>
      <w:proofErr w:type="spellEnd"/>
      <w:r w:rsidRPr="00881A9B">
        <w:rPr>
          <w:rFonts w:ascii="Arial" w:hAnsi="Arial" w:cs="Arial"/>
          <w:sz w:val="20"/>
          <w:szCs w:val="20"/>
        </w:rPr>
        <w:t xml:space="preserve"> em membros inferiores, unhas quebradiças e rugosas e estomatite angular. </w:t>
      </w:r>
    </w:p>
    <w:p w14:paraId="0F4D911E" w14:textId="77777777" w:rsidR="00275898" w:rsidRDefault="00881A9B" w:rsidP="00CF7A67">
      <w:pPr>
        <w:pStyle w:val="PargrafodaLista"/>
        <w:numPr>
          <w:ilvl w:val="0"/>
          <w:numId w:val="9"/>
        </w:numPr>
        <w:spacing w:line="360" w:lineRule="auto"/>
        <w:jc w:val="both"/>
        <w:rPr>
          <w:rFonts w:ascii="Arial" w:hAnsi="Arial" w:cs="Arial"/>
          <w:b/>
          <w:sz w:val="24"/>
          <w:szCs w:val="24"/>
        </w:rPr>
      </w:pPr>
      <w:r w:rsidRPr="00881A9B">
        <w:rPr>
          <w:rFonts w:ascii="Arial" w:hAnsi="Arial" w:cs="Arial"/>
          <w:b/>
          <w:sz w:val="24"/>
          <w:szCs w:val="24"/>
        </w:rPr>
        <w:t>Repercussões Da Anemia</w:t>
      </w:r>
      <w:r>
        <w:rPr>
          <w:rFonts w:ascii="Arial" w:hAnsi="Arial" w:cs="Arial"/>
          <w:b/>
          <w:sz w:val="24"/>
          <w:szCs w:val="24"/>
        </w:rPr>
        <w:t>:</w:t>
      </w:r>
    </w:p>
    <w:p w14:paraId="2DC4F268" w14:textId="77777777" w:rsidR="00881A9B" w:rsidRPr="00881A9B" w:rsidRDefault="00881A9B" w:rsidP="00CF7A67">
      <w:pPr>
        <w:pStyle w:val="PargrafodaLista"/>
        <w:spacing w:line="360" w:lineRule="auto"/>
        <w:jc w:val="both"/>
        <w:rPr>
          <w:rFonts w:ascii="Arial" w:hAnsi="Arial" w:cs="Arial"/>
          <w:b/>
          <w:sz w:val="24"/>
          <w:szCs w:val="24"/>
        </w:rPr>
      </w:pPr>
    </w:p>
    <w:p w14:paraId="779456B2" w14:textId="77777777" w:rsidR="00275898"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Efeito no crescimento e desenvolvimento - pode comprometer o desenvolvimento cerebral (o possível impacto negativo permanece mesmo após o tratamento precoce por décadas, especialmente em crianças pouco estimuladas ou de baixo nível social e econômico).</w:t>
      </w:r>
    </w:p>
    <w:p w14:paraId="10CEDF7B" w14:textId="77777777" w:rsidR="00275898"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Predisposição a cáries dentárias</w:t>
      </w:r>
      <w:r w:rsidR="00881A9B" w:rsidRPr="00881A9B">
        <w:rPr>
          <w:rFonts w:ascii="Arial" w:hAnsi="Arial" w:cs="Arial"/>
          <w:sz w:val="20"/>
          <w:szCs w:val="20"/>
        </w:rPr>
        <w:t>.</w:t>
      </w:r>
    </w:p>
    <w:p w14:paraId="6B602C0D" w14:textId="77777777" w:rsidR="00275898"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Menor discriminação e identificação de odores</w:t>
      </w:r>
      <w:r w:rsidR="00881A9B" w:rsidRPr="00881A9B">
        <w:rPr>
          <w:rFonts w:ascii="Arial" w:hAnsi="Arial" w:cs="Arial"/>
          <w:sz w:val="20"/>
          <w:szCs w:val="20"/>
        </w:rPr>
        <w:t>.</w:t>
      </w:r>
      <w:r w:rsidRPr="00881A9B">
        <w:rPr>
          <w:rFonts w:ascii="Arial" w:hAnsi="Arial" w:cs="Arial"/>
          <w:sz w:val="20"/>
          <w:szCs w:val="20"/>
        </w:rPr>
        <w:t xml:space="preserve"> </w:t>
      </w:r>
    </w:p>
    <w:p w14:paraId="6386DBAB" w14:textId="77777777" w:rsidR="00275898"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Alterações na imunidade não específica, paladar e apetite (com associação a quadros de pica - alterações do sabor e apetite)</w:t>
      </w:r>
      <w:r w:rsidR="00881A9B" w:rsidRPr="00881A9B">
        <w:rPr>
          <w:rFonts w:ascii="Arial" w:hAnsi="Arial" w:cs="Arial"/>
          <w:sz w:val="20"/>
          <w:szCs w:val="20"/>
        </w:rPr>
        <w:t>.</w:t>
      </w:r>
    </w:p>
    <w:p w14:paraId="47A60D28" w14:textId="77777777" w:rsidR="007A0BB9" w:rsidRPr="00881A9B" w:rsidRDefault="00275898" w:rsidP="00CF7A67">
      <w:pPr>
        <w:spacing w:line="360" w:lineRule="auto"/>
        <w:jc w:val="both"/>
        <w:rPr>
          <w:rFonts w:ascii="Arial" w:hAnsi="Arial" w:cs="Arial"/>
          <w:sz w:val="20"/>
          <w:szCs w:val="20"/>
        </w:rPr>
      </w:pPr>
      <w:r w:rsidRPr="00881A9B">
        <w:rPr>
          <w:rFonts w:ascii="Arial" w:hAnsi="Arial" w:cs="Arial"/>
          <w:sz w:val="20"/>
          <w:szCs w:val="20"/>
        </w:rPr>
        <w:t>Resposta alterada ao estresse metabólico e desenvolvimento audiovisual</w:t>
      </w:r>
      <w:r w:rsidR="00881A9B" w:rsidRPr="00881A9B">
        <w:rPr>
          <w:rFonts w:ascii="Arial" w:hAnsi="Arial" w:cs="Arial"/>
          <w:sz w:val="20"/>
          <w:szCs w:val="20"/>
        </w:rPr>
        <w:t>.</w:t>
      </w:r>
    </w:p>
    <w:p w14:paraId="48538FCC" w14:textId="77777777" w:rsidR="007A0BB9" w:rsidRPr="00881A9B" w:rsidRDefault="007A0BB9" w:rsidP="00CF7A67">
      <w:pPr>
        <w:spacing w:line="360" w:lineRule="auto"/>
        <w:jc w:val="both"/>
        <w:rPr>
          <w:rFonts w:ascii="Arial" w:hAnsi="Arial" w:cs="Arial"/>
          <w:sz w:val="20"/>
          <w:szCs w:val="20"/>
        </w:rPr>
      </w:pPr>
      <w:r w:rsidRPr="00881A9B">
        <w:rPr>
          <w:rFonts w:ascii="Arial" w:hAnsi="Arial" w:cs="Arial"/>
          <w:sz w:val="20"/>
          <w:szCs w:val="20"/>
        </w:rPr>
        <w:lastRenderedPageBreak/>
        <w:t xml:space="preserve">Durante a gestação a anemia (especialmente no primeiro e segundo trimestres) associa-se a desfechos obstétricos desfavoráveis, como prematuridade, baixo peso ao nascer e aumento da mortalidade perinatal e neonatal. </w:t>
      </w:r>
    </w:p>
    <w:p w14:paraId="48C05DE6" w14:textId="77777777" w:rsidR="007A0BB9" w:rsidRPr="00881A9B" w:rsidRDefault="007A0BB9" w:rsidP="00CF7A67">
      <w:pPr>
        <w:spacing w:line="360" w:lineRule="auto"/>
        <w:jc w:val="both"/>
        <w:rPr>
          <w:rFonts w:ascii="Arial" w:hAnsi="Arial" w:cs="Arial"/>
          <w:sz w:val="20"/>
          <w:szCs w:val="20"/>
        </w:rPr>
      </w:pPr>
      <w:r w:rsidRPr="00881A9B">
        <w:rPr>
          <w:rFonts w:ascii="Arial" w:hAnsi="Arial" w:cs="Arial"/>
          <w:sz w:val="20"/>
          <w:szCs w:val="20"/>
        </w:rPr>
        <w:t xml:space="preserve">No período pós-parto se associa à redução da qualidade de vida e aumento nos níveis de depressão, o que pode implicar diretamente no cuidado com o recém-nascido e seu desenvolvimento, desfavorecendo o aleitamento materno. </w:t>
      </w:r>
    </w:p>
    <w:p w14:paraId="16DF23C3" w14:textId="77777777" w:rsidR="00881A9B" w:rsidRDefault="00881A9B" w:rsidP="00CF7A67">
      <w:pPr>
        <w:pStyle w:val="PargrafodaLista"/>
        <w:spacing w:line="360" w:lineRule="auto"/>
        <w:jc w:val="both"/>
        <w:rPr>
          <w:rFonts w:ascii="Arial" w:hAnsi="Arial" w:cs="Arial"/>
          <w:b/>
          <w:sz w:val="24"/>
          <w:szCs w:val="24"/>
        </w:rPr>
      </w:pPr>
    </w:p>
    <w:p w14:paraId="096BB633" w14:textId="77777777" w:rsidR="00275898" w:rsidRDefault="00881A9B" w:rsidP="00CF7A67">
      <w:pPr>
        <w:pStyle w:val="PargrafodaLista"/>
        <w:numPr>
          <w:ilvl w:val="0"/>
          <w:numId w:val="1"/>
        </w:numPr>
        <w:spacing w:line="360" w:lineRule="auto"/>
        <w:jc w:val="both"/>
        <w:rPr>
          <w:rFonts w:ascii="Arial" w:hAnsi="Arial" w:cs="Arial"/>
          <w:b/>
          <w:sz w:val="24"/>
          <w:szCs w:val="24"/>
        </w:rPr>
      </w:pPr>
      <w:r w:rsidRPr="00881A9B">
        <w:rPr>
          <w:rFonts w:ascii="Arial" w:hAnsi="Arial" w:cs="Arial"/>
          <w:b/>
          <w:sz w:val="24"/>
          <w:szCs w:val="24"/>
        </w:rPr>
        <w:t xml:space="preserve">Tratamento: </w:t>
      </w:r>
    </w:p>
    <w:p w14:paraId="04398B83" w14:textId="77777777" w:rsidR="00881A9B" w:rsidRPr="00881A9B" w:rsidRDefault="00881A9B" w:rsidP="00CF7A67">
      <w:pPr>
        <w:pStyle w:val="PargrafodaLista"/>
        <w:spacing w:line="360" w:lineRule="auto"/>
        <w:jc w:val="both"/>
        <w:rPr>
          <w:rFonts w:ascii="Arial" w:hAnsi="Arial" w:cs="Arial"/>
          <w:b/>
          <w:sz w:val="24"/>
          <w:szCs w:val="24"/>
        </w:rPr>
      </w:pPr>
    </w:p>
    <w:p w14:paraId="2EA9D0EC" w14:textId="77777777" w:rsidR="00B928C0" w:rsidRPr="00881A9B" w:rsidRDefault="00B928C0" w:rsidP="00CF7A67">
      <w:pPr>
        <w:spacing w:line="360" w:lineRule="auto"/>
        <w:jc w:val="both"/>
        <w:rPr>
          <w:rFonts w:ascii="Arial" w:hAnsi="Arial" w:cs="Arial"/>
          <w:sz w:val="20"/>
          <w:szCs w:val="20"/>
        </w:rPr>
      </w:pPr>
      <w:r w:rsidRPr="00881A9B">
        <w:rPr>
          <w:rFonts w:ascii="Arial" w:hAnsi="Arial" w:cs="Arial"/>
          <w:sz w:val="20"/>
          <w:szCs w:val="20"/>
        </w:rPr>
        <w:t>Orientação nutricional para o consumo de alimentos fonte</w:t>
      </w:r>
      <w:r w:rsidR="00881A9B" w:rsidRPr="00881A9B">
        <w:rPr>
          <w:rFonts w:ascii="Arial" w:hAnsi="Arial" w:cs="Arial"/>
          <w:sz w:val="20"/>
          <w:szCs w:val="20"/>
        </w:rPr>
        <w:t>.</w:t>
      </w:r>
    </w:p>
    <w:p w14:paraId="43C0A748" w14:textId="77777777" w:rsidR="00B928C0" w:rsidRPr="00881A9B" w:rsidRDefault="00B928C0" w:rsidP="00CF7A67">
      <w:pPr>
        <w:spacing w:line="360" w:lineRule="auto"/>
        <w:jc w:val="both"/>
        <w:rPr>
          <w:rFonts w:ascii="Arial" w:hAnsi="Arial" w:cs="Arial"/>
          <w:sz w:val="20"/>
          <w:szCs w:val="20"/>
        </w:rPr>
      </w:pPr>
      <w:r w:rsidRPr="00881A9B">
        <w:rPr>
          <w:rFonts w:ascii="Arial" w:hAnsi="Arial" w:cs="Arial"/>
          <w:sz w:val="20"/>
          <w:szCs w:val="20"/>
        </w:rPr>
        <w:t xml:space="preserve">Reposição de ferro - por via oral - com dose terapêutica de </w:t>
      </w:r>
      <w:r w:rsidRPr="00881A9B">
        <w:rPr>
          <w:rFonts w:ascii="Arial" w:hAnsi="Arial" w:cs="Arial"/>
          <w:b/>
          <w:sz w:val="20"/>
          <w:szCs w:val="20"/>
        </w:rPr>
        <w:t>3 a 5 mg/kg/dia de ferro elementar</w:t>
      </w:r>
      <w:r w:rsidR="000D0A7C" w:rsidRPr="00881A9B">
        <w:rPr>
          <w:rFonts w:ascii="Arial" w:hAnsi="Arial" w:cs="Arial"/>
          <w:b/>
          <w:sz w:val="20"/>
          <w:szCs w:val="20"/>
        </w:rPr>
        <w:t xml:space="preserve"> (fracionado ou em dose única)</w:t>
      </w:r>
      <w:r w:rsidRPr="00881A9B">
        <w:rPr>
          <w:rFonts w:ascii="Arial" w:hAnsi="Arial" w:cs="Arial"/>
          <w:sz w:val="20"/>
          <w:szCs w:val="20"/>
        </w:rPr>
        <w:t xml:space="preserve"> para crianças por </w:t>
      </w:r>
      <w:r w:rsidRPr="00881A9B">
        <w:rPr>
          <w:rFonts w:ascii="Arial" w:hAnsi="Arial" w:cs="Arial"/>
          <w:b/>
          <w:sz w:val="20"/>
          <w:szCs w:val="20"/>
        </w:rPr>
        <w:t xml:space="preserve">mínimo de oito </w:t>
      </w:r>
      <w:proofErr w:type="spellStart"/>
      <w:r w:rsidRPr="00881A9B">
        <w:rPr>
          <w:rFonts w:ascii="Arial" w:hAnsi="Arial" w:cs="Arial"/>
          <w:b/>
          <w:sz w:val="20"/>
          <w:szCs w:val="20"/>
        </w:rPr>
        <w:t>semanas</w:t>
      </w:r>
      <w:r w:rsidR="00881A9B" w:rsidRPr="00881A9B">
        <w:rPr>
          <w:rFonts w:ascii="Arial" w:hAnsi="Arial" w:cs="Arial"/>
          <w:sz w:val="20"/>
          <w:szCs w:val="20"/>
        </w:rPr>
        <w:t>.</w:t>
      </w:r>
      <w:r w:rsidRPr="00881A9B">
        <w:rPr>
          <w:rFonts w:ascii="Arial" w:hAnsi="Arial" w:cs="Arial"/>
          <w:b/>
          <w:sz w:val="20"/>
          <w:szCs w:val="20"/>
        </w:rPr>
        <w:t>A</w:t>
      </w:r>
      <w:proofErr w:type="spellEnd"/>
      <w:r w:rsidRPr="00881A9B">
        <w:rPr>
          <w:rFonts w:ascii="Arial" w:hAnsi="Arial" w:cs="Arial"/>
          <w:b/>
          <w:sz w:val="20"/>
          <w:szCs w:val="20"/>
        </w:rPr>
        <w:t xml:space="preserve"> suplementação deve ser continuada visando a reposição dos estoques de ferro</w:t>
      </w:r>
      <w:r w:rsidRPr="00881A9B">
        <w:rPr>
          <w:rFonts w:ascii="Arial" w:hAnsi="Arial" w:cs="Arial"/>
          <w:sz w:val="20"/>
          <w:szCs w:val="20"/>
        </w:rPr>
        <w:t xml:space="preserve">, o que </w:t>
      </w:r>
      <w:r w:rsidRPr="00881A9B">
        <w:rPr>
          <w:rFonts w:ascii="Arial" w:hAnsi="Arial" w:cs="Arial"/>
          <w:b/>
          <w:sz w:val="20"/>
          <w:szCs w:val="20"/>
        </w:rPr>
        <w:t>varia entre 2 a 6 meses ou até obtenção de ferritina sérica &gt; 15μg/</w:t>
      </w:r>
      <w:proofErr w:type="spellStart"/>
      <w:r w:rsidRPr="00881A9B">
        <w:rPr>
          <w:rFonts w:ascii="Arial" w:hAnsi="Arial" w:cs="Arial"/>
          <w:b/>
          <w:sz w:val="20"/>
          <w:szCs w:val="20"/>
        </w:rPr>
        <w:t>dL</w:t>
      </w:r>
      <w:proofErr w:type="spellEnd"/>
      <w:r w:rsidRPr="00881A9B">
        <w:rPr>
          <w:rFonts w:ascii="Arial" w:hAnsi="Arial" w:cs="Arial"/>
          <w:sz w:val="20"/>
          <w:szCs w:val="20"/>
        </w:rPr>
        <w:t xml:space="preserve"> (ressalvando a importância de que o valor alcance os valores esperados entre 30 e 300μg/</w:t>
      </w:r>
      <w:proofErr w:type="spellStart"/>
      <w:r w:rsidRPr="00881A9B">
        <w:rPr>
          <w:rFonts w:ascii="Arial" w:hAnsi="Arial" w:cs="Arial"/>
          <w:sz w:val="20"/>
          <w:szCs w:val="20"/>
        </w:rPr>
        <w:t>dL</w:t>
      </w:r>
      <w:proofErr w:type="spellEnd"/>
      <w:r w:rsidRPr="00881A9B">
        <w:rPr>
          <w:rFonts w:ascii="Arial" w:hAnsi="Arial" w:cs="Arial"/>
          <w:sz w:val="20"/>
          <w:szCs w:val="20"/>
        </w:rPr>
        <w:t xml:space="preserve">). </w:t>
      </w:r>
    </w:p>
    <w:p w14:paraId="50DE3BD0" w14:textId="77777777" w:rsidR="000D0A7C" w:rsidRPr="00881A9B" w:rsidRDefault="00B928C0" w:rsidP="00CF7A67">
      <w:pPr>
        <w:spacing w:line="360" w:lineRule="auto"/>
        <w:jc w:val="both"/>
        <w:rPr>
          <w:rFonts w:ascii="Arial" w:hAnsi="Arial" w:cs="Arial"/>
          <w:sz w:val="20"/>
          <w:szCs w:val="20"/>
        </w:rPr>
      </w:pPr>
      <w:r w:rsidRPr="00881A9B">
        <w:rPr>
          <w:rFonts w:ascii="Arial" w:hAnsi="Arial" w:cs="Arial"/>
          <w:sz w:val="20"/>
          <w:szCs w:val="20"/>
        </w:rPr>
        <w:t xml:space="preserve">Dentre os diversos tipos de sais de ferro disponíveis para a suplementação destacam-se o sulfato ferroso, o </w:t>
      </w:r>
      <w:proofErr w:type="spellStart"/>
      <w:r w:rsidRPr="00881A9B">
        <w:rPr>
          <w:rFonts w:ascii="Arial" w:hAnsi="Arial" w:cs="Arial"/>
          <w:sz w:val="20"/>
          <w:szCs w:val="20"/>
        </w:rPr>
        <w:t>fumarato</w:t>
      </w:r>
      <w:proofErr w:type="spellEnd"/>
      <w:r w:rsidRPr="00881A9B">
        <w:rPr>
          <w:rFonts w:ascii="Arial" w:hAnsi="Arial" w:cs="Arial"/>
          <w:sz w:val="20"/>
          <w:szCs w:val="20"/>
        </w:rPr>
        <w:t xml:space="preserve"> ferroso e o </w:t>
      </w:r>
      <w:proofErr w:type="spellStart"/>
      <w:r w:rsidRPr="00881A9B">
        <w:rPr>
          <w:rFonts w:ascii="Arial" w:hAnsi="Arial" w:cs="Arial"/>
          <w:sz w:val="20"/>
          <w:szCs w:val="20"/>
        </w:rPr>
        <w:t>gluconato</w:t>
      </w:r>
      <w:proofErr w:type="spellEnd"/>
      <w:r w:rsidRPr="00881A9B">
        <w:rPr>
          <w:rFonts w:ascii="Arial" w:hAnsi="Arial" w:cs="Arial"/>
          <w:sz w:val="20"/>
          <w:szCs w:val="20"/>
        </w:rPr>
        <w:t xml:space="preserve"> ferroso. Por sofrer influência dos componentes dietéticos, a suplementação com sais de ferro deve ser realizada </w:t>
      </w:r>
      <w:r w:rsidRPr="00881A9B">
        <w:rPr>
          <w:rFonts w:ascii="Arial" w:hAnsi="Arial" w:cs="Arial"/>
          <w:b/>
          <w:sz w:val="20"/>
          <w:szCs w:val="20"/>
        </w:rPr>
        <w:t>longe das refeições, recomendando-se a tomada em jejum, 1h antes das refeições ou antes de dormir.</w:t>
      </w:r>
      <w:r w:rsidRPr="00881A9B">
        <w:rPr>
          <w:rFonts w:ascii="Arial" w:hAnsi="Arial" w:cs="Arial"/>
          <w:sz w:val="20"/>
          <w:szCs w:val="20"/>
        </w:rPr>
        <w:t xml:space="preserve"> </w:t>
      </w:r>
      <w:r w:rsidRPr="00881A9B">
        <w:rPr>
          <w:rFonts w:ascii="Arial" w:hAnsi="Arial" w:cs="Arial"/>
          <w:sz w:val="20"/>
          <w:szCs w:val="20"/>
        </w:rPr>
        <w:cr/>
      </w:r>
    </w:p>
    <w:p w14:paraId="78A97F6A" w14:textId="77777777" w:rsidR="000D0A7C" w:rsidRPr="00881A9B" w:rsidRDefault="00881A9B" w:rsidP="00CF7A67">
      <w:pPr>
        <w:pStyle w:val="PargrafodaLista"/>
        <w:numPr>
          <w:ilvl w:val="0"/>
          <w:numId w:val="1"/>
        </w:numPr>
        <w:spacing w:line="360" w:lineRule="auto"/>
        <w:jc w:val="both"/>
        <w:rPr>
          <w:rFonts w:ascii="Arial" w:hAnsi="Arial" w:cs="Arial"/>
          <w:b/>
          <w:sz w:val="24"/>
          <w:szCs w:val="24"/>
        </w:rPr>
      </w:pPr>
      <w:r w:rsidRPr="00881A9B">
        <w:rPr>
          <w:rFonts w:ascii="Arial" w:hAnsi="Arial" w:cs="Arial"/>
          <w:b/>
          <w:sz w:val="24"/>
          <w:szCs w:val="24"/>
        </w:rPr>
        <w:t>Seguimento Clínico:</w:t>
      </w:r>
    </w:p>
    <w:p w14:paraId="1989F215" w14:textId="77777777" w:rsidR="000D0A7C" w:rsidRPr="00881A9B" w:rsidRDefault="000D0A7C" w:rsidP="00CF7A67">
      <w:pPr>
        <w:spacing w:line="360" w:lineRule="auto"/>
        <w:jc w:val="both"/>
        <w:rPr>
          <w:rFonts w:ascii="Arial" w:hAnsi="Arial" w:cs="Arial"/>
          <w:sz w:val="20"/>
          <w:szCs w:val="20"/>
        </w:rPr>
      </w:pPr>
      <w:r w:rsidRPr="00881A9B">
        <w:rPr>
          <w:rFonts w:ascii="Arial" w:hAnsi="Arial" w:cs="Arial"/>
          <w:sz w:val="20"/>
          <w:szCs w:val="20"/>
        </w:rPr>
        <w:t xml:space="preserve">A monitorização do quadro deve ser realizada pelos parâmetros laboratoriais de reticulócitos, hemograma completo a cada 30 a 60 dias, e dosagem de marcadores do estoque de </w:t>
      </w:r>
      <w:r w:rsidR="00A36600" w:rsidRPr="00881A9B">
        <w:rPr>
          <w:rFonts w:ascii="Arial" w:hAnsi="Arial" w:cs="Arial"/>
          <w:sz w:val="20"/>
          <w:szCs w:val="20"/>
        </w:rPr>
        <w:t xml:space="preserve">ferro e </w:t>
      </w:r>
      <w:r w:rsidRPr="00881A9B">
        <w:rPr>
          <w:rFonts w:ascii="Arial" w:hAnsi="Arial" w:cs="Arial"/>
          <w:sz w:val="20"/>
          <w:szCs w:val="20"/>
        </w:rPr>
        <w:t>ferritina, com 30 e 90 dias</w:t>
      </w:r>
      <w:r w:rsidR="00A36600" w:rsidRPr="00881A9B">
        <w:rPr>
          <w:rFonts w:ascii="Arial" w:hAnsi="Arial" w:cs="Arial"/>
          <w:sz w:val="20"/>
          <w:szCs w:val="20"/>
        </w:rPr>
        <w:t>. O</w:t>
      </w:r>
      <w:r w:rsidRPr="00881A9B">
        <w:rPr>
          <w:rFonts w:ascii="Arial" w:hAnsi="Arial" w:cs="Arial"/>
          <w:sz w:val="20"/>
          <w:szCs w:val="20"/>
        </w:rPr>
        <w:t xml:space="preserve"> tratamento deve durar até a reposição dos estoques de ferro, quase sempre por volta dos </w:t>
      </w:r>
      <w:r w:rsidR="00E3581C" w:rsidRPr="00881A9B">
        <w:rPr>
          <w:rFonts w:ascii="Arial" w:hAnsi="Arial" w:cs="Arial"/>
          <w:sz w:val="20"/>
          <w:szCs w:val="20"/>
        </w:rPr>
        <w:t>6</w:t>
      </w:r>
      <w:r w:rsidRPr="00881A9B">
        <w:rPr>
          <w:rFonts w:ascii="Arial" w:hAnsi="Arial" w:cs="Arial"/>
          <w:sz w:val="20"/>
          <w:szCs w:val="20"/>
        </w:rPr>
        <w:t xml:space="preserve"> meses de tratamento.</w:t>
      </w:r>
    </w:p>
    <w:p w14:paraId="5C18CABF" w14:textId="77777777" w:rsidR="00A36600" w:rsidRPr="00881A9B" w:rsidRDefault="00A36600" w:rsidP="00CF7A67">
      <w:pPr>
        <w:spacing w:line="360" w:lineRule="auto"/>
        <w:jc w:val="both"/>
        <w:rPr>
          <w:rFonts w:ascii="Arial" w:hAnsi="Arial" w:cs="Arial"/>
          <w:sz w:val="20"/>
          <w:szCs w:val="20"/>
        </w:rPr>
      </w:pPr>
    </w:p>
    <w:p w14:paraId="3E26E74A" w14:textId="77777777" w:rsidR="000D0A7C" w:rsidRPr="00881A9B" w:rsidRDefault="00881A9B" w:rsidP="00CF7A67">
      <w:pPr>
        <w:pStyle w:val="PargrafodaLista"/>
        <w:numPr>
          <w:ilvl w:val="0"/>
          <w:numId w:val="1"/>
        </w:numPr>
        <w:spacing w:line="360" w:lineRule="auto"/>
        <w:jc w:val="both"/>
        <w:rPr>
          <w:rFonts w:ascii="Arial" w:hAnsi="Arial" w:cs="Arial"/>
          <w:b/>
          <w:sz w:val="24"/>
          <w:szCs w:val="24"/>
        </w:rPr>
      </w:pPr>
      <w:r w:rsidRPr="00881A9B">
        <w:rPr>
          <w:rFonts w:ascii="Arial" w:hAnsi="Arial" w:cs="Arial"/>
          <w:b/>
          <w:sz w:val="24"/>
          <w:szCs w:val="24"/>
        </w:rPr>
        <w:t>Indicação De Reposição Parenteral De Ferro:</w:t>
      </w:r>
    </w:p>
    <w:p w14:paraId="7583DCEB" w14:textId="77777777" w:rsidR="00B928C0" w:rsidRPr="00881A9B" w:rsidRDefault="000D0A7C" w:rsidP="00CF7A67">
      <w:pPr>
        <w:spacing w:line="360" w:lineRule="auto"/>
        <w:jc w:val="both"/>
        <w:rPr>
          <w:rFonts w:ascii="Arial" w:hAnsi="Arial" w:cs="Arial"/>
          <w:sz w:val="20"/>
          <w:szCs w:val="20"/>
        </w:rPr>
      </w:pPr>
      <w:r w:rsidRPr="00881A9B">
        <w:rPr>
          <w:rFonts w:ascii="Arial" w:hAnsi="Arial" w:cs="Arial"/>
          <w:sz w:val="20"/>
          <w:szCs w:val="20"/>
        </w:rPr>
        <w:t>Além da suplementação de ferro via oral, a reposição parenteral de ferro é recomendada em casos excepcionais como os de hospitalização por anemia grave após falha terapêutica do tratamento oral, necessidade de reposição de ferro por perdas sanguíneas, doenças inflamatórias intestinais, quimioterapia ou diálise ou após cirurgias gástricas com acometimento do intestino delgado.</w:t>
      </w:r>
    </w:p>
    <w:p w14:paraId="5EBF17CF" w14:textId="77777777" w:rsidR="009E49B9" w:rsidRPr="00881A9B" w:rsidRDefault="00881A9B" w:rsidP="00CF7A67">
      <w:pPr>
        <w:pStyle w:val="PargrafodaLista"/>
        <w:numPr>
          <w:ilvl w:val="0"/>
          <w:numId w:val="1"/>
        </w:numPr>
        <w:spacing w:line="360" w:lineRule="auto"/>
        <w:jc w:val="both"/>
        <w:rPr>
          <w:rFonts w:ascii="Arial" w:hAnsi="Arial" w:cs="Arial"/>
          <w:b/>
          <w:sz w:val="24"/>
          <w:szCs w:val="24"/>
        </w:rPr>
      </w:pPr>
      <w:r w:rsidRPr="00881A9B">
        <w:rPr>
          <w:rFonts w:ascii="Arial" w:hAnsi="Arial" w:cs="Arial"/>
          <w:b/>
          <w:sz w:val="24"/>
          <w:szCs w:val="24"/>
        </w:rPr>
        <w:t>Prevenção</w:t>
      </w:r>
      <w:r w:rsidR="00CF7A67">
        <w:rPr>
          <w:rFonts w:ascii="Arial" w:hAnsi="Arial" w:cs="Arial"/>
          <w:b/>
          <w:sz w:val="24"/>
          <w:szCs w:val="24"/>
        </w:rPr>
        <w:t>:</w:t>
      </w:r>
    </w:p>
    <w:p w14:paraId="64014487"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lastRenderedPageBreak/>
        <w:t>Estímulo ao acesso universal à alimentação adequada, ao aleitamento materno exclusivo e prolongado, de forma a aumentar o consumo de alimentos fontes de ferro, bem como de alimentos que aumentam a biodisponibilidade e a absorção do ferro na introdução de alimentos complementares.</w:t>
      </w:r>
    </w:p>
    <w:p w14:paraId="1FAED134"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 xml:space="preserve">Incentivar a contraindicação de uso de leite de vaca in natura, não processado, em pó ou fluido antes dos 12 meses (limitação de consumo de 500ml/dia após os 12 meses) </w:t>
      </w:r>
    </w:p>
    <w:p w14:paraId="109C696C"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 xml:space="preserve">Acompanhamento nutricional adequado, com apoio de nutricionistas especialistas em caso de estilos de vida optantes por regimes de alimentação restritos para o uso de carnes e alimentos fontes de ferro </w:t>
      </w:r>
      <w:proofErr w:type="spellStart"/>
      <w:r w:rsidRPr="00881A9B">
        <w:rPr>
          <w:rFonts w:ascii="Arial" w:hAnsi="Arial" w:cs="Arial"/>
          <w:sz w:val="20"/>
          <w:szCs w:val="20"/>
        </w:rPr>
        <w:t>hemínico</w:t>
      </w:r>
      <w:proofErr w:type="spellEnd"/>
      <w:r w:rsidRPr="00881A9B">
        <w:rPr>
          <w:rFonts w:ascii="Arial" w:hAnsi="Arial" w:cs="Arial"/>
          <w:sz w:val="20"/>
          <w:szCs w:val="20"/>
        </w:rPr>
        <w:t xml:space="preserve">, para garantir o consumo adequado de ferro e ou suplementação profilática sempre que necessário. </w:t>
      </w:r>
    </w:p>
    <w:p w14:paraId="5B850A2E"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 xml:space="preserve">Política nacional de fortificação de alimentos, prevendo atualmente a </w:t>
      </w:r>
      <w:proofErr w:type="spellStart"/>
      <w:r w:rsidRPr="00881A9B">
        <w:rPr>
          <w:rFonts w:ascii="Arial" w:hAnsi="Arial" w:cs="Arial"/>
          <w:sz w:val="20"/>
          <w:szCs w:val="20"/>
        </w:rPr>
        <w:t>fortifi</w:t>
      </w:r>
      <w:proofErr w:type="spellEnd"/>
      <w:r w:rsidRPr="00881A9B">
        <w:rPr>
          <w:rFonts w:ascii="Arial" w:hAnsi="Arial" w:cs="Arial"/>
          <w:sz w:val="20"/>
          <w:szCs w:val="20"/>
        </w:rPr>
        <w:t xml:space="preserve"> cação das farinhas de trigo e milho com </w:t>
      </w:r>
      <w:proofErr w:type="spellStart"/>
      <w:r w:rsidRPr="00881A9B">
        <w:rPr>
          <w:rFonts w:ascii="Arial" w:hAnsi="Arial" w:cs="Arial"/>
          <w:sz w:val="20"/>
          <w:szCs w:val="20"/>
        </w:rPr>
        <w:t>fumarato</w:t>
      </w:r>
      <w:proofErr w:type="spellEnd"/>
      <w:r w:rsidRPr="00881A9B">
        <w:rPr>
          <w:rFonts w:ascii="Arial" w:hAnsi="Arial" w:cs="Arial"/>
          <w:sz w:val="20"/>
          <w:szCs w:val="20"/>
        </w:rPr>
        <w:t xml:space="preserve"> ferroso e sulfato ferroso (de boa disponibilidade) em 4 a 9 mg para cada 100g de farinha. </w:t>
      </w:r>
    </w:p>
    <w:p w14:paraId="19E47E86"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 xml:space="preserve">Suplementação profilática com sulfato ferroso via oral, conforme tabela abaixo: </w:t>
      </w:r>
    </w:p>
    <w:p w14:paraId="6DD69F29" w14:textId="77777777" w:rsidR="009E49B9" w:rsidRPr="00881A9B" w:rsidRDefault="009E49B9" w:rsidP="00CF7A67">
      <w:pPr>
        <w:pStyle w:val="PargrafodaLista"/>
        <w:spacing w:line="360" w:lineRule="auto"/>
        <w:jc w:val="both"/>
        <w:rPr>
          <w:rFonts w:ascii="Arial" w:hAnsi="Arial" w:cs="Arial"/>
          <w:sz w:val="20"/>
          <w:szCs w:val="20"/>
        </w:rPr>
      </w:pPr>
    </w:p>
    <w:tbl>
      <w:tblPr>
        <w:tblStyle w:val="SombreamentoClaro-nfase1"/>
        <w:tblW w:w="8127" w:type="dxa"/>
        <w:tblInd w:w="388" w:type="dxa"/>
        <w:tblLayout w:type="fixed"/>
        <w:tblLook w:val="04A0" w:firstRow="1" w:lastRow="0" w:firstColumn="1" w:lastColumn="0" w:noHBand="0" w:noVBand="1"/>
      </w:tblPr>
      <w:tblGrid>
        <w:gridCol w:w="4364"/>
        <w:gridCol w:w="3763"/>
      </w:tblGrid>
      <w:tr w:rsidR="009E49B9" w:rsidRPr="00881A9B" w14:paraId="12134048" w14:textId="77777777" w:rsidTr="0066074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364" w:type="dxa"/>
            <w:shd w:val="clear" w:color="auto" w:fill="DDD9C3" w:themeFill="background2" w:themeFillShade="E6"/>
          </w:tcPr>
          <w:p w14:paraId="5DA4E8D8" w14:textId="77777777" w:rsidR="009E49B9" w:rsidRPr="00881A9B" w:rsidRDefault="009E49B9" w:rsidP="00CF7A67">
            <w:pPr>
              <w:spacing w:line="360" w:lineRule="auto"/>
              <w:jc w:val="both"/>
              <w:rPr>
                <w:rFonts w:ascii="Arial" w:hAnsi="Arial" w:cs="Arial"/>
                <w:color w:val="auto"/>
                <w:sz w:val="20"/>
                <w:szCs w:val="20"/>
              </w:rPr>
            </w:pPr>
            <w:r w:rsidRPr="00881A9B">
              <w:rPr>
                <w:rFonts w:ascii="Arial" w:hAnsi="Arial" w:cs="Arial"/>
                <w:color w:val="auto"/>
                <w:sz w:val="20"/>
                <w:szCs w:val="20"/>
              </w:rPr>
              <w:t>Situação</w:t>
            </w:r>
          </w:p>
        </w:tc>
        <w:tc>
          <w:tcPr>
            <w:tcW w:w="3763" w:type="dxa"/>
            <w:shd w:val="clear" w:color="auto" w:fill="DDD9C3" w:themeFill="background2" w:themeFillShade="E6"/>
          </w:tcPr>
          <w:p w14:paraId="1A85978A" w14:textId="77777777" w:rsidR="009E49B9" w:rsidRPr="00881A9B" w:rsidRDefault="009E49B9" w:rsidP="00CF7A6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881A9B">
              <w:rPr>
                <w:rFonts w:ascii="Arial" w:hAnsi="Arial" w:cs="Arial"/>
                <w:color w:val="auto"/>
                <w:sz w:val="20"/>
                <w:szCs w:val="20"/>
              </w:rPr>
              <w:t>Recomendação</w:t>
            </w:r>
          </w:p>
        </w:tc>
      </w:tr>
      <w:tr w:rsidR="009E49B9" w:rsidRPr="00881A9B" w14:paraId="65B4C723" w14:textId="77777777" w:rsidTr="00E5586A">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364" w:type="dxa"/>
            <w:shd w:val="clear" w:color="auto" w:fill="auto"/>
          </w:tcPr>
          <w:p w14:paraId="0795D803" w14:textId="77777777" w:rsidR="009E49B9" w:rsidRPr="00881A9B" w:rsidRDefault="009E49B9" w:rsidP="00CF7A67">
            <w:pPr>
              <w:spacing w:line="360" w:lineRule="auto"/>
              <w:jc w:val="both"/>
              <w:rPr>
                <w:rFonts w:ascii="Arial" w:hAnsi="Arial" w:cs="Arial"/>
                <w:color w:val="auto"/>
                <w:sz w:val="20"/>
                <w:szCs w:val="20"/>
              </w:rPr>
            </w:pPr>
          </w:p>
          <w:p w14:paraId="1A8C9401" w14:textId="77777777" w:rsidR="009E49B9" w:rsidRPr="00881A9B" w:rsidRDefault="009E49B9" w:rsidP="00CF7A67">
            <w:pPr>
              <w:spacing w:line="360" w:lineRule="auto"/>
              <w:jc w:val="both"/>
              <w:rPr>
                <w:rFonts w:ascii="Arial" w:hAnsi="Arial" w:cs="Arial"/>
                <w:color w:val="auto"/>
                <w:sz w:val="20"/>
                <w:szCs w:val="20"/>
              </w:rPr>
            </w:pPr>
            <w:r w:rsidRPr="00881A9B">
              <w:rPr>
                <w:rFonts w:ascii="Arial" w:hAnsi="Arial" w:cs="Arial"/>
                <w:b w:val="0"/>
                <w:color w:val="auto"/>
                <w:sz w:val="20"/>
                <w:szCs w:val="20"/>
              </w:rPr>
              <w:t>Recém-nascidos a termo, de peso adequado para a idade gestacional em aleitamento materno</w:t>
            </w:r>
          </w:p>
        </w:tc>
        <w:tc>
          <w:tcPr>
            <w:tcW w:w="3763" w:type="dxa"/>
            <w:shd w:val="clear" w:color="auto" w:fill="auto"/>
          </w:tcPr>
          <w:p w14:paraId="1E16A496" w14:textId="77777777" w:rsidR="009E49B9" w:rsidRPr="00881A9B" w:rsidRDefault="009E49B9" w:rsidP="00CF7A6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881A9B">
              <w:rPr>
                <w:rFonts w:ascii="Arial" w:hAnsi="Arial" w:cs="Arial"/>
                <w:b/>
                <w:color w:val="auto"/>
                <w:sz w:val="20"/>
                <w:szCs w:val="20"/>
              </w:rPr>
              <w:t>1 mg de Fe elementar/ kg peso/dia</w:t>
            </w:r>
            <w:r w:rsidRPr="00881A9B">
              <w:rPr>
                <w:rFonts w:ascii="Arial" w:hAnsi="Arial" w:cs="Arial"/>
                <w:color w:val="auto"/>
                <w:sz w:val="20"/>
                <w:szCs w:val="20"/>
              </w:rPr>
              <w:t xml:space="preserve"> a partir do 3º mês, até o 24º mês de vida.</w:t>
            </w:r>
          </w:p>
        </w:tc>
      </w:tr>
      <w:tr w:rsidR="009E49B9" w:rsidRPr="00881A9B" w14:paraId="16489017" w14:textId="77777777" w:rsidTr="00660743">
        <w:trPr>
          <w:trHeight w:val="1693"/>
        </w:trPr>
        <w:tc>
          <w:tcPr>
            <w:cnfStyle w:val="001000000000" w:firstRow="0" w:lastRow="0" w:firstColumn="1" w:lastColumn="0" w:oddVBand="0" w:evenVBand="0" w:oddHBand="0" w:evenHBand="0" w:firstRowFirstColumn="0" w:firstRowLastColumn="0" w:lastRowFirstColumn="0" w:lastRowLastColumn="0"/>
            <w:tcW w:w="4364" w:type="dxa"/>
            <w:shd w:val="clear" w:color="auto" w:fill="DDD9C3" w:themeFill="background2" w:themeFillShade="E6"/>
          </w:tcPr>
          <w:p w14:paraId="63486FD7" w14:textId="77777777" w:rsidR="009E49B9" w:rsidRPr="00881A9B" w:rsidRDefault="009E49B9" w:rsidP="00CF7A67">
            <w:pPr>
              <w:spacing w:line="360" w:lineRule="auto"/>
              <w:jc w:val="both"/>
              <w:rPr>
                <w:rFonts w:ascii="Arial" w:hAnsi="Arial" w:cs="Arial"/>
                <w:b w:val="0"/>
                <w:color w:val="auto"/>
                <w:sz w:val="20"/>
                <w:szCs w:val="20"/>
              </w:rPr>
            </w:pPr>
            <w:r w:rsidRPr="00881A9B">
              <w:rPr>
                <w:rFonts w:ascii="Arial" w:hAnsi="Arial" w:cs="Arial"/>
                <w:b w:val="0"/>
                <w:color w:val="auto"/>
                <w:sz w:val="20"/>
                <w:szCs w:val="20"/>
              </w:rPr>
              <w:t>Recém-nascidos a termo ou pré-termo de peso</w:t>
            </w:r>
          </w:p>
          <w:p w14:paraId="6CF77B0C" w14:textId="77777777" w:rsidR="009E49B9" w:rsidRPr="00881A9B" w:rsidRDefault="009E49B9" w:rsidP="00CF7A67">
            <w:pPr>
              <w:spacing w:line="360" w:lineRule="auto"/>
              <w:jc w:val="both"/>
              <w:rPr>
                <w:rFonts w:ascii="Arial" w:hAnsi="Arial" w:cs="Arial"/>
                <w:color w:val="auto"/>
                <w:sz w:val="20"/>
                <w:szCs w:val="20"/>
              </w:rPr>
            </w:pPr>
            <w:r w:rsidRPr="00881A9B">
              <w:rPr>
                <w:rFonts w:ascii="Arial" w:hAnsi="Arial" w:cs="Arial"/>
                <w:b w:val="0"/>
                <w:color w:val="auto"/>
                <w:sz w:val="20"/>
                <w:szCs w:val="20"/>
              </w:rPr>
              <w:t>adequado para a idade gestacional ou com peso acima de 2500g</w:t>
            </w:r>
          </w:p>
        </w:tc>
        <w:tc>
          <w:tcPr>
            <w:tcW w:w="3763" w:type="dxa"/>
            <w:shd w:val="clear" w:color="auto" w:fill="DDD9C3" w:themeFill="background2" w:themeFillShade="E6"/>
          </w:tcPr>
          <w:p w14:paraId="6D38636F" w14:textId="77777777" w:rsidR="009E49B9" w:rsidRPr="00881A9B" w:rsidRDefault="009E49B9" w:rsidP="00CF7A6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881A9B">
              <w:rPr>
                <w:rFonts w:ascii="Arial" w:hAnsi="Arial" w:cs="Arial"/>
                <w:b/>
                <w:color w:val="auto"/>
                <w:sz w:val="20"/>
                <w:szCs w:val="20"/>
              </w:rPr>
              <w:t>1 mg Fe elementar/kg peso/dia</w:t>
            </w:r>
            <w:r w:rsidRPr="00881A9B">
              <w:rPr>
                <w:rFonts w:ascii="Arial" w:hAnsi="Arial" w:cs="Arial"/>
                <w:color w:val="auto"/>
                <w:sz w:val="20"/>
                <w:szCs w:val="20"/>
              </w:rPr>
              <w:t xml:space="preserve"> a partir do</w:t>
            </w:r>
          </w:p>
          <w:p w14:paraId="274B7EB4" w14:textId="77777777" w:rsidR="009E49B9" w:rsidRPr="00881A9B" w:rsidRDefault="009E49B9" w:rsidP="00CF7A6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881A9B">
              <w:rPr>
                <w:rFonts w:ascii="Arial" w:hAnsi="Arial" w:cs="Arial"/>
                <w:color w:val="auto"/>
                <w:sz w:val="20"/>
                <w:szCs w:val="20"/>
              </w:rPr>
              <w:t>3º mês, até o 24º mês de vida.</w:t>
            </w:r>
          </w:p>
        </w:tc>
      </w:tr>
      <w:tr w:rsidR="009E49B9" w:rsidRPr="00881A9B" w14:paraId="7A911916" w14:textId="77777777" w:rsidTr="00E5586A">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4364" w:type="dxa"/>
            <w:shd w:val="clear" w:color="auto" w:fill="auto"/>
          </w:tcPr>
          <w:p w14:paraId="78CC8DE1" w14:textId="77777777" w:rsidR="009E49B9" w:rsidRPr="00881A9B" w:rsidRDefault="009E49B9" w:rsidP="00CF7A67">
            <w:pPr>
              <w:spacing w:line="360" w:lineRule="auto"/>
              <w:jc w:val="both"/>
              <w:rPr>
                <w:rFonts w:ascii="Arial" w:hAnsi="Arial" w:cs="Arial"/>
                <w:b w:val="0"/>
                <w:color w:val="auto"/>
                <w:sz w:val="20"/>
                <w:szCs w:val="20"/>
              </w:rPr>
            </w:pPr>
            <w:r w:rsidRPr="00881A9B">
              <w:rPr>
                <w:rFonts w:ascii="Arial" w:hAnsi="Arial" w:cs="Arial"/>
                <w:b w:val="0"/>
                <w:color w:val="auto"/>
                <w:sz w:val="20"/>
                <w:szCs w:val="20"/>
              </w:rPr>
              <w:t>Recém-nascidos pré-termo e a termo, entre 1500-2500g, a partir do 30º dia de vida</w:t>
            </w:r>
          </w:p>
        </w:tc>
        <w:tc>
          <w:tcPr>
            <w:tcW w:w="3763" w:type="dxa"/>
            <w:shd w:val="clear" w:color="auto" w:fill="auto"/>
          </w:tcPr>
          <w:p w14:paraId="5A6BF489" w14:textId="77777777" w:rsidR="009E49B9" w:rsidRPr="00881A9B" w:rsidRDefault="009E49B9" w:rsidP="00CF7A6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881A9B">
              <w:rPr>
                <w:rFonts w:ascii="Arial" w:hAnsi="Arial" w:cs="Arial"/>
                <w:b/>
                <w:color w:val="auto"/>
                <w:sz w:val="20"/>
                <w:szCs w:val="20"/>
              </w:rPr>
              <w:t>2 mg Fe elementar/kg de peso/dia</w:t>
            </w:r>
            <w:r w:rsidRPr="00881A9B">
              <w:rPr>
                <w:rFonts w:ascii="Arial" w:hAnsi="Arial" w:cs="Arial"/>
                <w:color w:val="auto"/>
                <w:sz w:val="20"/>
                <w:szCs w:val="20"/>
              </w:rPr>
              <w:t>, durante um ano. Após este prazo, 1mg/kg/dia mais um ano.</w:t>
            </w:r>
          </w:p>
        </w:tc>
      </w:tr>
      <w:tr w:rsidR="009E49B9" w:rsidRPr="00881A9B" w14:paraId="50394A82" w14:textId="77777777" w:rsidTr="00660743">
        <w:trPr>
          <w:trHeight w:val="222"/>
        </w:trPr>
        <w:tc>
          <w:tcPr>
            <w:cnfStyle w:val="001000000000" w:firstRow="0" w:lastRow="0" w:firstColumn="1" w:lastColumn="0" w:oddVBand="0" w:evenVBand="0" w:oddHBand="0" w:evenHBand="0" w:firstRowFirstColumn="0" w:firstRowLastColumn="0" w:lastRowFirstColumn="0" w:lastRowLastColumn="0"/>
            <w:tcW w:w="4364" w:type="dxa"/>
            <w:shd w:val="clear" w:color="auto" w:fill="DDD9C3" w:themeFill="background2" w:themeFillShade="E6"/>
          </w:tcPr>
          <w:p w14:paraId="2B7C61B8" w14:textId="77777777" w:rsidR="009E49B9" w:rsidRPr="00881A9B" w:rsidRDefault="009E49B9" w:rsidP="00CF7A67">
            <w:pPr>
              <w:spacing w:line="360" w:lineRule="auto"/>
              <w:jc w:val="both"/>
              <w:rPr>
                <w:rFonts w:ascii="Arial" w:hAnsi="Arial" w:cs="Arial"/>
                <w:b w:val="0"/>
                <w:color w:val="auto"/>
                <w:sz w:val="20"/>
                <w:szCs w:val="20"/>
              </w:rPr>
            </w:pPr>
            <w:r w:rsidRPr="00881A9B">
              <w:rPr>
                <w:rFonts w:ascii="Arial" w:hAnsi="Arial" w:cs="Arial"/>
                <w:b w:val="0"/>
                <w:color w:val="auto"/>
                <w:sz w:val="20"/>
                <w:szCs w:val="20"/>
              </w:rPr>
              <w:t>Recém-nascidos pré-termo com peso entre 1500 e 1000g</w:t>
            </w:r>
          </w:p>
          <w:p w14:paraId="5DBDAC14" w14:textId="77777777" w:rsidR="009E49B9" w:rsidRPr="00881A9B" w:rsidRDefault="009E49B9" w:rsidP="00CF7A67">
            <w:pPr>
              <w:spacing w:line="360" w:lineRule="auto"/>
              <w:jc w:val="both"/>
              <w:rPr>
                <w:rFonts w:ascii="Arial" w:hAnsi="Arial" w:cs="Arial"/>
                <w:b w:val="0"/>
                <w:color w:val="auto"/>
                <w:sz w:val="20"/>
                <w:szCs w:val="20"/>
              </w:rPr>
            </w:pPr>
          </w:p>
        </w:tc>
        <w:tc>
          <w:tcPr>
            <w:tcW w:w="3763" w:type="dxa"/>
            <w:shd w:val="clear" w:color="auto" w:fill="DDD9C3" w:themeFill="background2" w:themeFillShade="E6"/>
          </w:tcPr>
          <w:p w14:paraId="507F6C1B" w14:textId="77777777" w:rsidR="009E49B9" w:rsidRPr="00881A9B" w:rsidRDefault="009E49B9" w:rsidP="00CF7A6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881A9B">
              <w:rPr>
                <w:rFonts w:ascii="Arial" w:hAnsi="Arial" w:cs="Arial"/>
                <w:b/>
                <w:color w:val="auto"/>
                <w:sz w:val="20"/>
                <w:szCs w:val="20"/>
              </w:rPr>
              <w:t>3 mg Fe elementar/kg de peso/dia</w:t>
            </w:r>
            <w:r w:rsidRPr="00881A9B">
              <w:rPr>
                <w:rFonts w:ascii="Arial" w:hAnsi="Arial" w:cs="Arial"/>
                <w:color w:val="auto"/>
                <w:sz w:val="20"/>
                <w:szCs w:val="20"/>
              </w:rPr>
              <w:t>, durante um ano. Após este prazo, 1mg/kg/dia mais um ano.</w:t>
            </w:r>
          </w:p>
          <w:p w14:paraId="436336C7" w14:textId="77777777" w:rsidR="009E49B9" w:rsidRPr="00881A9B" w:rsidRDefault="009E49B9" w:rsidP="00CF7A6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r>
      <w:tr w:rsidR="009E49B9" w:rsidRPr="00881A9B" w14:paraId="5251B74D" w14:textId="77777777" w:rsidTr="0066074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64" w:type="dxa"/>
            <w:tcBorders>
              <w:bottom w:val="single" w:sz="8" w:space="0" w:color="4F81BD" w:themeColor="accent1"/>
            </w:tcBorders>
            <w:shd w:val="clear" w:color="auto" w:fill="FFFFFF" w:themeFill="background1"/>
          </w:tcPr>
          <w:p w14:paraId="40EC2B61" w14:textId="77777777" w:rsidR="009E49B9" w:rsidRPr="00881A9B" w:rsidRDefault="009E49B9" w:rsidP="00CF7A67">
            <w:pPr>
              <w:spacing w:line="360" w:lineRule="auto"/>
              <w:jc w:val="both"/>
              <w:rPr>
                <w:rFonts w:ascii="Arial" w:hAnsi="Arial" w:cs="Arial"/>
                <w:b w:val="0"/>
                <w:color w:val="auto"/>
                <w:sz w:val="20"/>
                <w:szCs w:val="20"/>
              </w:rPr>
            </w:pPr>
            <w:r w:rsidRPr="00881A9B">
              <w:rPr>
                <w:rFonts w:ascii="Arial" w:hAnsi="Arial" w:cs="Arial"/>
                <w:b w:val="0"/>
                <w:color w:val="auto"/>
                <w:sz w:val="20"/>
                <w:szCs w:val="20"/>
              </w:rPr>
              <w:t>Recém-nascidos pré-termo com peso menor que 1000g</w:t>
            </w:r>
          </w:p>
          <w:p w14:paraId="3F48ED06" w14:textId="77777777" w:rsidR="009E49B9" w:rsidRPr="00881A9B" w:rsidRDefault="009E49B9" w:rsidP="00CF7A67">
            <w:pPr>
              <w:spacing w:line="360" w:lineRule="auto"/>
              <w:jc w:val="both"/>
              <w:rPr>
                <w:rFonts w:ascii="Arial" w:hAnsi="Arial" w:cs="Arial"/>
                <w:color w:val="auto"/>
                <w:sz w:val="20"/>
                <w:szCs w:val="20"/>
              </w:rPr>
            </w:pPr>
          </w:p>
        </w:tc>
        <w:tc>
          <w:tcPr>
            <w:tcW w:w="3763" w:type="dxa"/>
            <w:tcBorders>
              <w:bottom w:val="single" w:sz="8" w:space="0" w:color="4F81BD" w:themeColor="accent1"/>
            </w:tcBorders>
            <w:shd w:val="clear" w:color="auto" w:fill="FFFFFF" w:themeFill="background1"/>
          </w:tcPr>
          <w:p w14:paraId="6BB9CF47" w14:textId="77777777" w:rsidR="009E49B9" w:rsidRPr="00881A9B" w:rsidRDefault="009E49B9" w:rsidP="00CF7A6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881A9B">
              <w:rPr>
                <w:rFonts w:ascii="Arial" w:hAnsi="Arial" w:cs="Arial"/>
                <w:b/>
                <w:color w:val="auto"/>
                <w:sz w:val="20"/>
                <w:szCs w:val="20"/>
              </w:rPr>
              <w:t>4 mg Fe elementar/kg de peso/dia</w:t>
            </w:r>
            <w:r w:rsidRPr="00881A9B">
              <w:rPr>
                <w:rFonts w:ascii="Arial" w:hAnsi="Arial" w:cs="Arial"/>
                <w:color w:val="auto"/>
                <w:sz w:val="20"/>
                <w:szCs w:val="20"/>
              </w:rPr>
              <w:t>, durante um ano. Após este prazo, 1mg/kg/dia mais um ano.</w:t>
            </w:r>
          </w:p>
        </w:tc>
      </w:tr>
    </w:tbl>
    <w:p w14:paraId="23F1DD04" w14:textId="77777777" w:rsidR="009E49B9" w:rsidRPr="00881A9B" w:rsidRDefault="009E49B9" w:rsidP="00CF7A67">
      <w:pPr>
        <w:pStyle w:val="PargrafodaLista"/>
        <w:spacing w:line="360" w:lineRule="auto"/>
        <w:jc w:val="both"/>
        <w:rPr>
          <w:rFonts w:ascii="Arial" w:hAnsi="Arial" w:cs="Arial"/>
          <w:sz w:val="20"/>
          <w:szCs w:val="20"/>
        </w:rPr>
      </w:pPr>
    </w:p>
    <w:p w14:paraId="10B8A657" w14:textId="77777777" w:rsidR="009E49B9" w:rsidRPr="00881A9B" w:rsidRDefault="009E49B9" w:rsidP="00CF7A67">
      <w:pPr>
        <w:pStyle w:val="PargrafodaLista"/>
        <w:spacing w:line="360" w:lineRule="auto"/>
        <w:jc w:val="both"/>
        <w:rPr>
          <w:rFonts w:ascii="Arial" w:hAnsi="Arial" w:cs="Arial"/>
          <w:sz w:val="20"/>
          <w:szCs w:val="20"/>
        </w:rPr>
      </w:pPr>
    </w:p>
    <w:p w14:paraId="16D220D0"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 xml:space="preserve">Ações em atenção básica à saúde, como o controle de doenças infecciosas e parasitárias, ampliação da rede de saneamento básico e higiene pessoal, bem como acesso a água tratada. </w:t>
      </w:r>
    </w:p>
    <w:p w14:paraId="164190CD" w14:textId="77777777" w:rsidR="009E49B9" w:rsidRPr="00881A9B" w:rsidRDefault="009E49B9" w:rsidP="00CF7A67">
      <w:pPr>
        <w:spacing w:line="360" w:lineRule="auto"/>
        <w:jc w:val="both"/>
        <w:rPr>
          <w:rFonts w:ascii="Arial" w:hAnsi="Arial" w:cs="Arial"/>
          <w:sz w:val="20"/>
          <w:szCs w:val="20"/>
        </w:rPr>
      </w:pPr>
      <w:r w:rsidRPr="00881A9B">
        <w:rPr>
          <w:rFonts w:ascii="Arial" w:hAnsi="Arial" w:cs="Arial"/>
          <w:sz w:val="20"/>
          <w:szCs w:val="20"/>
        </w:rPr>
        <w:t>Ações voltadas para a saúde reprodutiva da mulher, como a prevenção da gravidez na adolescência, planejamento familiar, estímulo ao acompanhamento nutricional no pré-natal precoce, acesso a cuidados perinatais e pós-natal (</w:t>
      </w:r>
      <w:proofErr w:type="spellStart"/>
      <w:r w:rsidRPr="00881A9B">
        <w:rPr>
          <w:rFonts w:ascii="Arial" w:hAnsi="Arial" w:cs="Arial"/>
          <w:sz w:val="20"/>
          <w:szCs w:val="20"/>
        </w:rPr>
        <w:t>clampeamento</w:t>
      </w:r>
      <w:proofErr w:type="spellEnd"/>
      <w:r w:rsidRPr="00881A9B">
        <w:rPr>
          <w:rFonts w:ascii="Arial" w:hAnsi="Arial" w:cs="Arial"/>
          <w:sz w:val="20"/>
          <w:szCs w:val="20"/>
        </w:rPr>
        <w:t xml:space="preserve"> adequado do</w:t>
      </w:r>
      <w:r w:rsidR="00E5586A" w:rsidRPr="00881A9B">
        <w:rPr>
          <w:rFonts w:ascii="Arial" w:hAnsi="Arial" w:cs="Arial"/>
          <w:sz w:val="20"/>
          <w:szCs w:val="20"/>
        </w:rPr>
        <w:t xml:space="preserve"> </w:t>
      </w:r>
      <w:r w:rsidRPr="00881A9B">
        <w:rPr>
          <w:rFonts w:ascii="Arial" w:hAnsi="Arial" w:cs="Arial"/>
          <w:sz w:val="20"/>
          <w:szCs w:val="20"/>
        </w:rPr>
        <w:t>cordão umbilical, prevenção de hemorra</w:t>
      </w:r>
      <w:r w:rsidR="00EF10A1" w:rsidRPr="00881A9B">
        <w:rPr>
          <w:rFonts w:ascii="Arial" w:hAnsi="Arial" w:cs="Arial"/>
          <w:sz w:val="20"/>
          <w:szCs w:val="20"/>
        </w:rPr>
        <w:t xml:space="preserve">gia pós-parto e intervalo </w:t>
      </w:r>
      <w:proofErr w:type="spellStart"/>
      <w:r w:rsidR="00EF10A1" w:rsidRPr="00881A9B">
        <w:rPr>
          <w:rFonts w:ascii="Arial" w:hAnsi="Arial" w:cs="Arial"/>
          <w:sz w:val="20"/>
          <w:szCs w:val="20"/>
        </w:rPr>
        <w:t>inter</w:t>
      </w:r>
      <w:r w:rsidRPr="00881A9B">
        <w:rPr>
          <w:rFonts w:ascii="Arial" w:hAnsi="Arial" w:cs="Arial"/>
          <w:sz w:val="20"/>
          <w:szCs w:val="20"/>
        </w:rPr>
        <w:t>gestacional</w:t>
      </w:r>
      <w:proofErr w:type="spellEnd"/>
      <w:r w:rsidRPr="00881A9B">
        <w:rPr>
          <w:rFonts w:ascii="Arial" w:hAnsi="Arial" w:cs="Arial"/>
          <w:sz w:val="20"/>
          <w:szCs w:val="20"/>
        </w:rPr>
        <w:t xml:space="preserve"> </w:t>
      </w:r>
      <w:r w:rsidR="00EF10A1" w:rsidRPr="00881A9B">
        <w:rPr>
          <w:rFonts w:ascii="Arial" w:hAnsi="Arial" w:cs="Arial"/>
          <w:sz w:val="20"/>
          <w:szCs w:val="20"/>
        </w:rPr>
        <w:t>&gt;</w:t>
      </w:r>
      <w:r w:rsidRPr="00881A9B">
        <w:rPr>
          <w:rFonts w:ascii="Arial" w:hAnsi="Arial" w:cs="Arial"/>
          <w:sz w:val="20"/>
          <w:szCs w:val="20"/>
        </w:rPr>
        <w:t xml:space="preserve"> 18 meses. </w:t>
      </w:r>
    </w:p>
    <w:p w14:paraId="6C5CB5A7" w14:textId="77777777" w:rsidR="000D0A7C" w:rsidRPr="00881A9B" w:rsidRDefault="000D0A7C" w:rsidP="00CF7A67">
      <w:pPr>
        <w:spacing w:line="360" w:lineRule="auto"/>
        <w:jc w:val="both"/>
        <w:rPr>
          <w:rFonts w:ascii="Arial" w:hAnsi="Arial" w:cs="Arial"/>
          <w:sz w:val="20"/>
          <w:szCs w:val="20"/>
        </w:rPr>
      </w:pPr>
    </w:p>
    <w:p w14:paraId="3BB1B5D0" w14:textId="77777777" w:rsidR="00484CD8" w:rsidRPr="00881A9B" w:rsidRDefault="00881A9B" w:rsidP="00CF7A67">
      <w:pPr>
        <w:pStyle w:val="PargrafodaLista"/>
        <w:numPr>
          <w:ilvl w:val="0"/>
          <w:numId w:val="1"/>
        </w:numPr>
        <w:spacing w:line="360" w:lineRule="auto"/>
        <w:jc w:val="both"/>
        <w:rPr>
          <w:rFonts w:ascii="Arial" w:hAnsi="Arial" w:cs="Arial"/>
          <w:b/>
          <w:sz w:val="24"/>
          <w:szCs w:val="24"/>
        </w:rPr>
      </w:pPr>
      <w:r w:rsidRPr="00881A9B">
        <w:rPr>
          <w:rFonts w:ascii="Arial" w:hAnsi="Arial" w:cs="Arial"/>
          <w:b/>
          <w:sz w:val="24"/>
          <w:szCs w:val="24"/>
        </w:rPr>
        <w:t>Referências:</w:t>
      </w:r>
    </w:p>
    <w:p w14:paraId="2B98C701" w14:textId="77777777" w:rsidR="00F54BF8" w:rsidRPr="00881A9B" w:rsidRDefault="00F54BF8" w:rsidP="00CF7A67">
      <w:pPr>
        <w:spacing w:line="360" w:lineRule="auto"/>
        <w:jc w:val="both"/>
        <w:rPr>
          <w:rFonts w:ascii="Arial" w:hAnsi="Arial" w:cs="Arial"/>
          <w:sz w:val="20"/>
          <w:szCs w:val="20"/>
        </w:rPr>
      </w:pPr>
      <w:r w:rsidRPr="00881A9B">
        <w:rPr>
          <w:rFonts w:ascii="Arial" w:hAnsi="Arial" w:cs="Arial"/>
          <w:sz w:val="20"/>
          <w:szCs w:val="20"/>
        </w:rPr>
        <w:t xml:space="preserve">1. </w:t>
      </w:r>
      <w:r w:rsidR="00EF10A1" w:rsidRPr="00881A9B">
        <w:rPr>
          <w:rFonts w:ascii="Arial" w:hAnsi="Arial" w:cs="Arial"/>
          <w:sz w:val="20"/>
          <w:szCs w:val="20"/>
        </w:rPr>
        <w:t xml:space="preserve">Consenso Sobre Anemia Ferropriva: mais que uma doença, uma urgência médica! Sociedade Brasileira de Pediatria. Departamentos de </w:t>
      </w:r>
      <w:proofErr w:type="spellStart"/>
      <w:r w:rsidR="00EF10A1" w:rsidRPr="00881A9B">
        <w:rPr>
          <w:rFonts w:ascii="Arial" w:hAnsi="Arial" w:cs="Arial"/>
          <w:sz w:val="20"/>
          <w:szCs w:val="20"/>
        </w:rPr>
        <w:t>Nutrologia</w:t>
      </w:r>
      <w:proofErr w:type="spellEnd"/>
      <w:r w:rsidR="00EF10A1" w:rsidRPr="00881A9B">
        <w:rPr>
          <w:rFonts w:ascii="Arial" w:hAnsi="Arial" w:cs="Arial"/>
          <w:sz w:val="20"/>
          <w:szCs w:val="20"/>
        </w:rPr>
        <w:t xml:space="preserve"> e Hematologia-Hemoterapia.  (2): 1-12. Rio de Janeiro, RJ: SBP. Junho, 2018. </w:t>
      </w:r>
    </w:p>
    <w:p w14:paraId="1F172E0F" w14:textId="77777777" w:rsidR="00EF10A1" w:rsidRPr="00881A9B" w:rsidRDefault="00EF10A1" w:rsidP="00CF7A67">
      <w:pPr>
        <w:spacing w:line="360" w:lineRule="auto"/>
        <w:jc w:val="both"/>
        <w:rPr>
          <w:rFonts w:ascii="Arial" w:hAnsi="Arial" w:cs="Arial"/>
          <w:b/>
          <w:sz w:val="20"/>
          <w:szCs w:val="20"/>
        </w:rPr>
      </w:pPr>
      <w:r w:rsidRPr="00881A9B">
        <w:rPr>
          <w:rFonts w:ascii="Arial" w:hAnsi="Arial" w:cs="Arial"/>
          <w:sz w:val="20"/>
          <w:szCs w:val="20"/>
        </w:rPr>
        <w:t xml:space="preserve">2. Manual de orientação para a alimentação do lactente, do pré-escolar, do escolar, do adolescente e na escola/Sociedade Brasileira de Pediatria. Departamento de </w:t>
      </w:r>
      <w:proofErr w:type="spellStart"/>
      <w:r w:rsidRPr="00881A9B">
        <w:rPr>
          <w:rFonts w:ascii="Arial" w:hAnsi="Arial" w:cs="Arial"/>
          <w:sz w:val="20"/>
          <w:szCs w:val="20"/>
        </w:rPr>
        <w:t>Nutrologia</w:t>
      </w:r>
      <w:proofErr w:type="spellEnd"/>
      <w:r w:rsidRPr="00881A9B">
        <w:rPr>
          <w:rFonts w:ascii="Arial" w:hAnsi="Arial" w:cs="Arial"/>
          <w:sz w:val="20"/>
          <w:szCs w:val="20"/>
        </w:rPr>
        <w:t xml:space="preserve">, 3ª. ed. Rio de Janeiro, RJ: SBP, 2012. </w:t>
      </w:r>
      <w:r w:rsidRPr="00881A9B">
        <w:rPr>
          <w:rFonts w:ascii="Arial" w:hAnsi="Arial" w:cs="Arial"/>
          <w:b/>
          <w:sz w:val="20"/>
          <w:szCs w:val="20"/>
        </w:rPr>
        <w:t xml:space="preserve"> </w:t>
      </w:r>
    </w:p>
    <w:p w14:paraId="0071153D" w14:textId="158349D4" w:rsidR="00F54BF8" w:rsidRPr="00881A9B" w:rsidRDefault="00881A9B" w:rsidP="00CF7A67">
      <w:pPr>
        <w:spacing w:line="360" w:lineRule="auto"/>
        <w:jc w:val="both"/>
        <w:rPr>
          <w:rFonts w:ascii="Arial" w:hAnsi="Arial" w:cs="Arial"/>
          <w:sz w:val="20"/>
          <w:szCs w:val="20"/>
        </w:rPr>
      </w:pPr>
      <w:r w:rsidRPr="004864AE">
        <w:rPr>
          <w:rFonts w:ascii="Arial" w:hAnsi="Arial" w:cs="Arial"/>
          <w:bCs/>
          <w:sz w:val="20"/>
          <w:szCs w:val="20"/>
        </w:rPr>
        <w:t>Responsáve</w:t>
      </w:r>
      <w:r w:rsidR="004864AE" w:rsidRPr="004864AE">
        <w:rPr>
          <w:rFonts w:ascii="Arial" w:hAnsi="Arial" w:cs="Arial"/>
          <w:bCs/>
          <w:sz w:val="20"/>
          <w:szCs w:val="20"/>
        </w:rPr>
        <w:t>l</w:t>
      </w:r>
      <w:r w:rsidRPr="004864AE">
        <w:rPr>
          <w:rFonts w:ascii="Arial" w:hAnsi="Arial" w:cs="Arial"/>
          <w:bCs/>
          <w:sz w:val="20"/>
          <w:szCs w:val="20"/>
        </w:rPr>
        <w:t xml:space="preserve"> </w:t>
      </w:r>
      <w:r w:rsidR="004864AE" w:rsidRPr="004864AE">
        <w:rPr>
          <w:rFonts w:ascii="Arial" w:hAnsi="Arial" w:cs="Arial"/>
          <w:bCs/>
          <w:sz w:val="20"/>
          <w:szCs w:val="20"/>
        </w:rPr>
        <w:t>p</w:t>
      </w:r>
      <w:r w:rsidRPr="004864AE">
        <w:rPr>
          <w:rFonts w:ascii="Arial" w:hAnsi="Arial" w:cs="Arial"/>
          <w:bCs/>
          <w:sz w:val="20"/>
          <w:szCs w:val="20"/>
        </w:rPr>
        <w:t xml:space="preserve">ela </w:t>
      </w:r>
      <w:r w:rsidR="004864AE" w:rsidRPr="004864AE">
        <w:rPr>
          <w:rFonts w:ascii="Arial" w:hAnsi="Arial" w:cs="Arial"/>
          <w:bCs/>
          <w:sz w:val="20"/>
          <w:szCs w:val="20"/>
        </w:rPr>
        <w:t>e</w:t>
      </w:r>
      <w:r w:rsidRPr="004864AE">
        <w:rPr>
          <w:rFonts w:ascii="Arial" w:hAnsi="Arial" w:cs="Arial"/>
          <w:bCs/>
          <w:sz w:val="20"/>
          <w:szCs w:val="20"/>
        </w:rPr>
        <w:t xml:space="preserve">laboração </w:t>
      </w:r>
      <w:r w:rsidR="004864AE" w:rsidRPr="004864AE">
        <w:rPr>
          <w:rFonts w:ascii="Arial" w:hAnsi="Arial" w:cs="Arial"/>
          <w:bCs/>
          <w:sz w:val="20"/>
          <w:szCs w:val="20"/>
        </w:rPr>
        <w:t>d</w:t>
      </w:r>
      <w:r w:rsidRPr="004864AE">
        <w:rPr>
          <w:rFonts w:ascii="Arial" w:hAnsi="Arial" w:cs="Arial"/>
          <w:bCs/>
          <w:sz w:val="20"/>
          <w:szCs w:val="20"/>
        </w:rPr>
        <w:t xml:space="preserve">a </w:t>
      </w:r>
      <w:r w:rsidR="004864AE" w:rsidRPr="004864AE">
        <w:rPr>
          <w:rFonts w:ascii="Arial" w:hAnsi="Arial" w:cs="Arial"/>
          <w:bCs/>
          <w:sz w:val="20"/>
          <w:szCs w:val="20"/>
        </w:rPr>
        <w:t>r</w:t>
      </w:r>
      <w:r w:rsidRPr="004864AE">
        <w:rPr>
          <w:rFonts w:ascii="Arial" w:hAnsi="Arial" w:cs="Arial"/>
          <w:bCs/>
          <w:sz w:val="20"/>
          <w:szCs w:val="20"/>
        </w:rPr>
        <w:t>otina:</w:t>
      </w:r>
      <w:r w:rsidR="004864AE">
        <w:rPr>
          <w:rFonts w:ascii="Arial" w:hAnsi="Arial" w:cs="Arial"/>
          <w:b/>
          <w:sz w:val="20"/>
          <w:szCs w:val="20"/>
        </w:rPr>
        <w:t xml:space="preserve"> </w:t>
      </w:r>
      <w:r w:rsidR="004864AE" w:rsidRPr="004864AE">
        <w:rPr>
          <w:rFonts w:ascii="Arial" w:hAnsi="Arial" w:cs="Arial"/>
          <w:bCs/>
          <w:sz w:val="20"/>
          <w:szCs w:val="20"/>
        </w:rPr>
        <w:t>Dra.</w:t>
      </w:r>
      <w:r w:rsidR="004864AE">
        <w:rPr>
          <w:rFonts w:ascii="Arial" w:hAnsi="Arial" w:cs="Arial"/>
          <w:b/>
          <w:sz w:val="20"/>
          <w:szCs w:val="20"/>
        </w:rPr>
        <w:t xml:space="preserve"> </w:t>
      </w:r>
      <w:r>
        <w:rPr>
          <w:rFonts w:ascii="Arial" w:hAnsi="Arial" w:cs="Arial"/>
          <w:sz w:val="20"/>
          <w:szCs w:val="20"/>
        </w:rPr>
        <w:t>Ana Luiza Melo dos Santos</w:t>
      </w:r>
    </w:p>
    <w:sectPr w:rsidR="00F54BF8" w:rsidRPr="00881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17D74"/>
    <w:multiLevelType w:val="hybridMultilevel"/>
    <w:tmpl w:val="41A6F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714AD0"/>
    <w:multiLevelType w:val="hybridMultilevel"/>
    <w:tmpl w:val="82929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C50A61"/>
    <w:multiLevelType w:val="hybridMultilevel"/>
    <w:tmpl w:val="930A5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952495"/>
    <w:multiLevelType w:val="hybridMultilevel"/>
    <w:tmpl w:val="01E86A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C37939"/>
    <w:multiLevelType w:val="hybridMultilevel"/>
    <w:tmpl w:val="A1BAE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A723A8"/>
    <w:multiLevelType w:val="hybridMultilevel"/>
    <w:tmpl w:val="42BA5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D75330"/>
    <w:multiLevelType w:val="hybridMultilevel"/>
    <w:tmpl w:val="E2FA1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400035"/>
    <w:multiLevelType w:val="hybridMultilevel"/>
    <w:tmpl w:val="21CC0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86D0D49"/>
    <w:multiLevelType w:val="hybridMultilevel"/>
    <w:tmpl w:val="92E623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042B21"/>
    <w:multiLevelType w:val="hybridMultilevel"/>
    <w:tmpl w:val="0ECE62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21C7420"/>
    <w:multiLevelType w:val="hybridMultilevel"/>
    <w:tmpl w:val="9B082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F0E21D7"/>
    <w:multiLevelType w:val="hybridMultilevel"/>
    <w:tmpl w:val="D45A04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10"/>
  </w:num>
  <w:num w:numId="7">
    <w:abstractNumId w:val="2"/>
  </w:num>
  <w:num w:numId="8">
    <w:abstractNumId w:val="11"/>
  </w:num>
  <w:num w:numId="9">
    <w:abstractNumId w:val="7"/>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D8"/>
    <w:rsid w:val="000D0A7C"/>
    <w:rsid w:val="000E7825"/>
    <w:rsid w:val="00111299"/>
    <w:rsid w:val="00173705"/>
    <w:rsid w:val="00275898"/>
    <w:rsid w:val="0037079F"/>
    <w:rsid w:val="003D164F"/>
    <w:rsid w:val="00484CD8"/>
    <w:rsid w:val="004864AE"/>
    <w:rsid w:val="00526582"/>
    <w:rsid w:val="00596F83"/>
    <w:rsid w:val="00660743"/>
    <w:rsid w:val="006E5CDD"/>
    <w:rsid w:val="00793727"/>
    <w:rsid w:val="007A0BB9"/>
    <w:rsid w:val="00874092"/>
    <w:rsid w:val="00881A9B"/>
    <w:rsid w:val="00950AED"/>
    <w:rsid w:val="009E49B9"/>
    <w:rsid w:val="00A21750"/>
    <w:rsid w:val="00A36600"/>
    <w:rsid w:val="00AC3C24"/>
    <w:rsid w:val="00B928C0"/>
    <w:rsid w:val="00BC4C67"/>
    <w:rsid w:val="00CF7A67"/>
    <w:rsid w:val="00D54DAB"/>
    <w:rsid w:val="00DA18F2"/>
    <w:rsid w:val="00E06B2E"/>
    <w:rsid w:val="00E255A3"/>
    <w:rsid w:val="00E3581C"/>
    <w:rsid w:val="00E5586A"/>
    <w:rsid w:val="00E62862"/>
    <w:rsid w:val="00EF10A1"/>
    <w:rsid w:val="00F54BF8"/>
    <w:rsid w:val="00FF3C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5D9D"/>
  <w15:docId w15:val="{BD2AF59F-B70F-4329-9BED-A673EBC9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0BB9"/>
    <w:pPr>
      <w:ind w:left="720"/>
      <w:contextualSpacing/>
    </w:pPr>
  </w:style>
  <w:style w:type="table" w:styleId="SombreamentoClaro-nfase1">
    <w:name w:val="Light Shading Accent 1"/>
    <w:basedOn w:val="Tabelanormal"/>
    <w:uiPriority w:val="60"/>
    <w:rsid w:val="00D54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Fontepargpadro"/>
    <w:uiPriority w:val="99"/>
    <w:unhideWhenUsed/>
    <w:rsid w:val="00EF10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1335</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RODOLFO ROCHANETO</cp:lastModifiedBy>
  <cp:revision>8</cp:revision>
  <dcterms:created xsi:type="dcterms:W3CDTF">2018-07-31T00:20:00Z</dcterms:created>
  <dcterms:modified xsi:type="dcterms:W3CDTF">2020-05-18T00:18:00Z</dcterms:modified>
</cp:coreProperties>
</file>