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4A27" w14:textId="1C362EF1" w:rsidR="004339FE" w:rsidRPr="00E9453B" w:rsidRDefault="00E9453B" w:rsidP="00E9453B">
      <w:pPr>
        <w:rPr>
          <w:rFonts w:ascii="Arial" w:hAnsi="Arial" w:cs="Arial"/>
          <w:bCs/>
          <w:sz w:val="28"/>
          <w:szCs w:val="28"/>
        </w:rPr>
      </w:pPr>
      <w:r w:rsidRPr="00E9453B">
        <w:rPr>
          <w:rFonts w:ascii="Arial" w:hAnsi="Arial" w:cs="Arial"/>
          <w:bCs/>
          <w:sz w:val="28"/>
          <w:szCs w:val="28"/>
        </w:rPr>
        <w:t>ARTRITE SÉPTICA (AS)</w:t>
      </w:r>
    </w:p>
    <w:p w14:paraId="46A17BF4" w14:textId="77777777" w:rsidR="00B64175" w:rsidRPr="00B64175" w:rsidRDefault="00B64175" w:rsidP="00B64175">
      <w:pPr>
        <w:pStyle w:val="PargrafodaLista"/>
        <w:rPr>
          <w:rFonts w:ascii="Arial" w:hAnsi="Arial" w:cs="Arial"/>
          <w:b/>
          <w:sz w:val="24"/>
          <w:szCs w:val="24"/>
        </w:rPr>
      </w:pPr>
    </w:p>
    <w:p w14:paraId="3C1D2BEA" w14:textId="77777777" w:rsidR="00B64175" w:rsidRPr="00B64175" w:rsidRDefault="004339FE" w:rsidP="00B64175">
      <w:pPr>
        <w:pStyle w:val="PargrafodaLista"/>
        <w:numPr>
          <w:ilvl w:val="0"/>
          <w:numId w:val="1"/>
        </w:numPr>
        <w:rPr>
          <w:rFonts w:ascii="Arial" w:hAnsi="Arial" w:cs="Arial"/>
          <w:sz w:val="24"/>
          <w:szCs w:val="24"/>
        </w:rPr>
      </w:pPr>
      <w:r w:rsidRPr="00B64175">
        <w:rPr>
          <w:rFonts w:ascii="Arial" w:hAnsi="Arial" w:cs="Arial"/>
          <w:b/>
          <w:sz w:val="24"/>
          <w:szCs w:val="24"/>
        </w:rPr>
        <w:t>Definição:</w:t>
      </w:r>
      <w:r w:rsidRPr="00B64175">
        <w:rPr>
          <w:rFonts w:ascii="Arial" w:hAnsi="Arial" w:cs="Arial"/>
          <w:sz w:val="24"/>
          <w:szCs w:val="24"/>
        </w:rPr>
        <w:t xml:space="preserve"> </w:t>
      </w:r>
    </w:p>
    <w:p w14:paraId="462A758B" w14:textId="77777777" w:rsidR="00B64175" w:rsidRPr="00B64175" w:rsidRDefault="00B64175" w:rsidP="00B64175">
      <w:pPr>
        <w:pStyle w:val="PargrafodaLista"/>
        <w:rPr>
          <w:rFonts w:ascii="Arial" w:hAnsi="Arial" w:cs="Arial"/>
          <w:sz w:val="20"/>
          <w:szCs w:val="20"/>
        </w:rPr>
      </w:pPr>
    </w:p>
    <w:p w14:paraId="65EC1E8D" w14:textId="77777777" w:rsidR="004339FE" w:rsidRPr="00B64175" w:rsidRDefault="004339FE" w:rsidP="00B64175">
      <w:pPr>
        <w:rPr>
          <w:rFonts w:ascii="Arial" w:hAnsi="Arial" w:cs="Arial"/>
          <w:sz w:val="20"/>
          <w:szCs w:val="20"/>
        </w:rPr>
      </w:pPr>
      <w:r w:rsidRPr="00B64175">
        <w:rPr>
          <w:rFonts w:ascii="Arial" w:hAnsi="Arial" w:cs="Arial"/>
          <w:sz w:val="20"/>
          <w:szCs w:val="20"/>
        </w:rPr>
        <w:t>A artrite séptica (AS) pode ser definida como uma reação inflamatória resultante da invasão do espaço articular por micro-organismos.</w:t>
      </w:r>
    </w:p>
    <w:p w14:paraId="2E5CE4E2" w14:textId="77777777" w:rsid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 xml:space="preserve">Aspectos </w:t>
      </w:r>
      <w:r w:rsidR="00B64175" w:rsidRPr="00B64175">
        <w:rPr>
          <w:rFonts w:ascii="Arial" w:hAnsi="Arial" w:cs="Arial"/>
          <w:b/>
          <w:sz w:val="24"/>
          <w:szCs w:val="24"/>
        </w:rPr>
        <w:t>Gerais:</w:t>
      </w:r>
      <w:r w:rsidR="00B64175" w:rsidRPr="00B64175">
        <w:rPr>
          <w:rFonts w:ascii="Arial" w:hAnsi="Arial" w:cs="Arial"/>
          <w:b/>
          <w:sz w:val="20"/>
          <w:szCs w:val="20"/>
        </w:rPr>
        <w:t xml:space="preserve"> </w:t>
      </w:r>
    </w:p>
    <w:p w14:paraId="3CC58DE4" w14:textId="77777777" w:rsidR="004339FE" w:rsidRPr="00B64175" w:rsidRDefault="004339FE" w:rsidP="00B64175">
      <w:pPr>
        <w:jc w:val="both"/>
        <w:rPr>
          <w:rFonts w:ascii="Arial" w:hAnsi="Arial" w:cs="Arial"/>
          <w:sz w:val="20"/>
          <w:szCs w:val="20"/>
        </w:rPr>
      </w:pPr>
      <w:r w:rsidRPr="00B64175">
        <w:rPr>
          <w:rFonts w:ascii="Arial" w:hAnsi="Arial" w:cs="Arial"/>
          <w:sz w:val="20"/>
          <w:szCs w:val="20"/>
        </w:rPr>
        <w:t>Pode ocorrer em qualquer faixa etária, mas é mais prevalente em crianças. Seu início é geralmente agudo, manifestando-se clinicamente com dor, edema, limitação de movimento e, se não tratada, há destruição da articulação, com déficit motor permanente.</w:t>
      </w:r>
    </w:p>
    <w:p w14:paraId="01E12ADD" w14:textId="77777777" w:rsid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Importância</w:t>
      </w:r>
      <w:r w:rsidR="00B64175" w:rsidRPr="00B64175">
        <w:rPr>
          <w:rFonts w:ascii="Arial" w:hAnsi="Arial" w:cs="Arial"/>
          <w:b/>
          <w:sz w:val="24"/>
          <w:szCs w:val="24"/>
        </w:rPr>
        <w:t>:</w:t>
      </w:r>
      <w:r w:rsidR="00B64175" w:rsidRPr="00B64175">
        <w:rPr>
          <w:rFonts w:ascii="Arial" w:hAnsi="Arial" w:cs="Arial"/>
          <w:sz w:val="20"/>
          <w:szCs w:val="20"/>
        </w:rPr>
        <w:t xml:space="preserve"> </w:t>
      </w:r>
    </w:p>
    <w:p w14:paraId="36361B41" w14:textId="77777777" w:rsidR="004339FE" w:rsidRPr="00B64175" w:rsidRDefault="004339FE" w:rsidP="00B64175">
      <w:pPr>
        <w:jc w:val="both"/>
        <w:rPr>
          <w:rFonts w:ascii="Arial" w:hAnsi="Arial" w:cs="Arial"/>
          <w:sz w:val="20"/>
          <w:szCs w:val="20"/>
        </w:rPr>
      </w:pPr>
      <w:r w:rsidRPr="00B64175">
        <w:rPr>
          <w:rFonts w:ascii="Arial" w:hAnsi="Arial" w:cs="Arial"/>
          <w:sz w:val="20"/>
          <w:szCs w:val="20"/>
        </w:rPr>
        <w:t>Apesar da baixa incidência da doença, os avanços nos métodos diagnósticos e na terapêutica não foram suficientes para reduzir sua elevada morbimortalidade. Dessa maneira, o tema continua relevante para a prática médica, uma vez que um elevado índice de suspeição clínica é a chave para um diagnóstico precoce e consequente sucesso terapêutico.</w:t>
      </w:r>
    </w:p>
    <w:p w14:paraId="54C06495" w14:textId="77777777" w:rsidR="00B64175" w:rsidRP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Epidemiologia</w:t>
      </w:r>
      <w:r w:rsidR="00B64175" w:rsidRPr="00B64175">
        <w:rPr>
          <w:rFonts w:ascii="Arial" w:hAnsi="Arial" w:cs="Arial"/>
          <w:b/>
          <w:sz w:val="24"/>
          <w:szCs w:val="24"/>
        </w:rPr>
        <w:t>:</w:t>
      </w:r>
    </w:p>
    <w:p w14:paraId="73DF7C0C" w14:textId="77777777" w:rsidR="004339FE" w:rsidRPr="00B64175" w:rsidRDefault="00B64175" w:rsidP="00B64175">
      <w:pPr>
        <w:jc w:val="both"/>
        <w:rPr>
          <w:rFonts w:ascii="Arial" w:hAnsi="Arial" w:cs="Arial"/>
          <w:sz w:val="20"/>
          <w:szCs w:val="20"/>
        </w:rPr>
      </w:pPr>
      <w:r w:rsidRPr="00B64175">
        <w:rPr>
          <w:rFonts w:ascii="Arial" w:hAnsi="Arial" w:cs="Arial"/>
          <w:sz w:val="20"/>
          <w:szCs w:val="20"/>
        </w:rPr>
        <w:t xml:space="preserve"> </w:t>
      </w:r>
      <w:r w:rsidR="004339FE" w:rsidRPr="00B64175">
        <w:rPr>
          <w:rFonts w:ascii="Arial" w:hAnsi="Arial" w:cs="Arial"/>
          <w:sz w:val="20"/>
          <w:szCs w:val="20"/>
        </w:rPr>
        <w:t xml:space="preserve">Predomina na faixa etária </w:t>
      </w:r>
      <w:proofErr w:type="spellStart"/>
      <w:r w:rsidR="004339FE" w:rsidRPr="00B64175">
        <w:rPr>
          <w:rFonts w:ascii="Arial" w:hAnsi="Arial" w:cs="Arial"/>
          <w:sz w:val="20"/>
          <w:szCs w:val="20"/>
        </w:rPr>
        <w:t>infantojuvenil</w:t>
      </w:r>
      <w:proofErr w:type="spellEnd"/>
      <w:r w:rsidR="004339FE" w:rsidRPr="00B64175">
        <w:rPr>
          <w:rFonts w:ascii="Arial" w:hAnsi="Arial" w:cs="Arial"/>
          <w:sz w:val="20"/>
          <w:szCs w:val="20"/>
        </w:rPr>
        <w:t>, sendo que aproximadamente metade dos casos ocorre antes dos 20 anos de idade (com predomínio nos menores de 3 anos). Sua incidência oscila de 5,5 a 12 casos em cada 100.000 crianças, e o sexo masculino é 2 a 3 vezes mais atingido do que o feminino. Os joelhos e os quadris são as articulações mais acometidas.</w:t>
      </w:r>
    </w:p>
    <w:p w14:paraId="5FA6C2FB" w14:textId="77777777" w:rsidR="00B64175" w:rsidRP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 xml:space="preserve">Fatores </w:t>
      </w:r>
      <w:r w:rsidR="00B64175" w:rsidRPr="00B64175">
        <w:rPr>
          <w:rFonts w:ascii="Arial" w:hAnsi="Arial" w:cs="Arial"/>
          <w:b/>
          <w:sz w:val="24"/>
          <w:szCs w:val="24"/>
        </w:rPr>
        <w:t>De Risco:</w:t>
      </w:r>
    </w:p>
    <w:p w14:paraId="1B93034F" w14:textId="77777777" w:rsidR="004339FE" w:rsidRPr="00B64175" w:rsidRDefault="00B64175" w:rsidP="00B64175">
      <w:pPr>
        <w:jc w:val="both"/>
        <w:rPr>
          <w:rFonts w:ascii="Arial" w:hAnsi="Arial" w:cs="Arial"/>
          <w:sz w:val="20"/>
          <w:szCs w:val="20"/>
        </w:rPr>
      </w:pPr>
      <w:r w:rsidRPr="00B64175">
        <w:rPr>
          <w:rFonts w:ascii="Arial" w:hAnsi="Arial" w:cs="Arial"/>
          <w:sz w:val="20"/>
          <w:szCs w:val="20"/>
        </w:rPr>
        <w:t xml:space="preserve"> </w:t>
      </w:r>
      <w:r>
        <w:rPr>
          <w:rFonts w:ascii="Arial" w:hAnsi="Arial" w:cs="Arial"/>
          <w:sz w:val="20"/>
          <w:szCs w:val="20"/>
        </w:rPr>
        <w:t>T</w:t>
      </w:r>
      <w:r w:rsidR="004339FE" w:rsidRPr="00B64175">
        <w:rPr>
          <w:rFonts w:ascii="Arial" w:hAnsi="Arial" w:cs="Arial"/>
          <w:sz w:val="20"/>
          <w:szCs w:val="20"/>
        </w:rPr>
        <w:t>rauma, doença falciforme, hemofilia, imunodeficiências primária e secundária, artrite reumatoide, artrites crônicas, próteses articulares, uso de drogas venosas, história de cirurgias recentes, diabetes mellitus, hemodiálise e presença de infecções cutâneas.</w:t>
      </w:r>
    </w:p>
    <w:p w14:paraId="71F2A54B" w14:textId="77777777" w:rsidR="00B64175" w:rsidRP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Etiologia</w:t>
      </w:r>
      <w:r w:rsidR="00B64175" w:rsidRPr="00B64175">
        <w:rPr>
          <w:rFonts w:ascii="Arial" w:hAnsi="Arial" w:cs="Arial"/>
          <w:b/>
          <w:sz w:val="24"/>
          <w:szCs w:val="24"/>
        </w:rPr>
        <w:t>:</w:t>
      </w:r>
    </w:p>
    <w:p w14:paraId="04BC25E9" w14:textId="77777777" w:rsidR="004339FE" w:rsidRPr="00B64175" w:rsidRDefault="00B64175" w:rsidP="00B64175">
      <w:pPr>
        <w:jc w:val="both"/>
        <w:rPr>
          <w:rFonts w:ascii="Arial" w:hAnsi="Arial" w:cs="Arial"/>
          <w:sz w:val="20"/>
          <w:szCs w:val="20"/>
        </w:rPr>
      </w:pPr>
      <w:r w:rsidRPr="00B64175">
        <w:rPr>
          <w:rFonts w:ascii="Arial" w:hAnsi="Arial" w:cs="Arial"/>
          <w:sz w:val="20"/>
          <w:szCs w:val="20"/>
        </w:rPr>
        <w:t xml:space="preserve"> </w:t>
      </w:r>
      <w:r w:rsidR="004339FE" w:rsidRPr="00B64175">
        <w:rPr>
          <w:rFonts w:ascii="Arial" w:hAnsi="Arial" w:cs="Arial"/>
          <w:sz w:val="20"/>
          <w:szCs w:val="20"/>
        </w:rPr>
        <w:t xml:space="preserve">O estafilococo aureus é o </w:t>
      </w:r>
      <w:proofErr w:type="spellStart"/>
      <w:r w:rsidR="004339FE" w:rsidRPr="00B64175">
        <w:rPr>
          <w:rFonts w:ascii="Arial" w:hAnsi="Arial" w:cs="Arial"/>
          <w:sz w:val="20"/>
          <w:szCs w:val="20"/>
        </w:rPr>
        <w:t>microorganismo</w:t>
      </w:r>
      <w:proofErr w:type="spellEnd"/>
      <w:r w:rsidR="004339FE" w:rsidRPr="00B64175">
        <w:rPr>
          <w:rFonts w:ascii="Arial" w:hAnsi="Arial" w:cs="Arial"/>
          <w:sz w:val="20"/>
          <w:szCs w:val="20"/>
        </w:rPr>
        <w:t xml:space="preserve"> mais frequente em todas as faixas etárias, exceto no período neonatal, no qual há predomínio do estreptococo do grupo B, seguido pelo S. aureus. Outros agentes comumente isolados são os estreptococos beta-hemolíticos do grupo A, pneumococo e </w:t>
      </w:r>
      <w:proofErr w:type="spellStart"/>
      <w:r w:rsidR="004339FE" w:rsidRPr="00B64175">
        <w:rPr>
          <w:rFonts w:ascii="Arial" w:hAnsi="Arial" w:cs="Arial"/>
          <w:sz w:val="20"/>
          <w:szCs w:val="20"/>
        </w:rPr>
        <w:t>hemofilo</w:t>
      </w:r>
      <w:proofErr w:type="spellEnd"/>
      <w:r w:rsidR="004339FE" w:rsidRPr="00B64175">
        <w:rPr>
          <w:rFonts w:ascii="Arial" w:hAnsi="Arial" w:cs="Arial"/>
          <w:sz w:val="20"/>
          <w:szCs w:val="20"/>
        </w:rPr>
        <w:t xml:space="preserve"> (atualmente menos frequente, após inclusão da vacinação de rotina no primeiro ano de vida). A salmonela deve ser considerada em crianças com doença de pele, portadores de anemia falciforme e </w:t>
      </w:r>
      <w:proofErr w:type="spellStart"/>
      <w:r w:rsidR="004339FE" w:rsidRPr="00B64175">
        <w:rPr>
          <w:rFonts w:ascii="Arial" w:hAnsi="Arial" w:cs="Arial"/>
          <w:sz w:val="20"/>
          <w:szCs w:val="20"/>
        </w:rPr>
        <w:t>lupus</w:t>
      </w:r>
      <w:proofErr w:type="spellEnd"/>
      <w:r w:rsidR="004339FE" w:rsidRPr="00B64175">
        <w:rPr>
          <w:rFonts w:ascii="Arial" w:hAnsi="Arial" w:cs="Arial"/>
          <w:sz w:val="20"/>
          <w:szCs w:val="20"/>
        </w:rPr>
        <w:t xml:space="preserve"> eritematoso sistêmico. A </w:t>
      </w:r>
      <w:proofErr w:type="spellStart"/>
      <w:r w:rsidR="004339FE" w:rsidRPr="00B64175">
        <w:rPr>
          <w:rFonts w:ascii="Arial" w:hAnsi="Arial" w:cs="Arial"/>
          <w:sz w:val="20"/>
          <w:szCs w:val="20"/>
        </w:rPr>
        <w:t>Kingella</w:t>
      </w:r>
      <w:proofErr w:type="spellEnd"/>
      <w:r w:rsidR="004339FE" w:rsidRPr="00B64175">
        <w:rPr>
          <w:rFonts w:ascii="Arial" w:hAnsi="Arial" w:cs="Arial"/>
          <w:sz w:val="20"/>
          <w:szCs w:val="20"/>
        </w:rPr>
        <w:t xml:space="preserve"> </w:t>
      </w:r>
      <w:proofErr w:type="spellStart"/>
      <w:r w:rsidR="004339FE" w:rsidRPr="00B64175">
        <w:rPr>
          <w:rFonts w:ascii="Arial" w:hAnsi="Arial" w:cs="Arial"/>
          <w:sz w:val="20"/>
          <w:szCs w:val="20"/>
        </w:rPr>
        <w:t>kingae</w:t>
      </w:r>
      <w:proofErr w:type="spellEnd"/>
      <w:r w:rsidR="004339FE" w:rsidRPr="00B64175">
        <w:rPr>
          <w:rFonts w:ascii="Arial" w:hAnsi="Arial" w:cs="Arial"/>
          <w:sz w:val="20"/>
          <w:szCs w:val="20"/>
        </w:rPr>
        <w:t xml:space="preserve"> tem sido considerada importante bactéria em pacientes com menos de dois anos de idade, sobretudo nas infecções ósseas e articulares de etiologia indefinida precedidas por estomatite e infecção das vias aéreas superiores.</w:t>
      </w:r>
    </w:p>
    <w:p w14:paraId="41071244" w14:textId="77777777" w:rsidR="00B64175" w:rsidRDefault="004339FE" w:rsidP="00B64175">
      <w:pPr>
        <w:pStyle w:val="PargrafodaLista"/>
        <w:numPr>
          <w:ilvl w:val="0"/>
          <w:numId w:val="2"/>
        </w:numPr>
        <w:jc w:val="both"/>
        <w:rPr>
          <w:rFonts w:ascii="Arial" w:hAnsi="Arial" w:cs="Arial"/>
          <w:sz w:val="20"/>
          <w:szCs w:val="20"/>
        </w:rPr>
      </w:pPr>
      <w:proofErr w:type="spellStart"/>
      <w:r w:rsidRPr="00B64175">
        <w:rPr>
          <w:rFonts w:ascii="Arial" w:hAnsi="Arial" w:cs="Arial"/>
          <w:b/>
          <w:sz w:val="24"/>
          <w:szCs w:val="24"/>
        </w:rPr>
        <w:t>Fisiopatogenia</w:t>
      </w:r>
      <w:proofErr w:type="spellEnd"/>
      <w:r w:rsidR="00B64175" w:rsidRPr="00B64175">
        <w:rPr>
          <w:rFonts w:ascii="Arial" w:hAnsi="Arial" w:cs="Arial"/>
          <w:b/>
          <w:sz w:val="24"/>
          <w:szCs w:val="24"/>
        </w:rPr>
        <w:t>:</w:t>
      </w:r>
      <w:r w:rsidR="00B64175" w:rsidRPr="00B64175">
        <w:rPr>
          <w:rFonts w:ascii="Arial" w:hAnsi="Arial" w:cs="Arial"/>
          <w:sz w:val="20"/>
          <w:szCs w:val="20"/>
        </w:rPr>
        <w:t xml:space="preserve"> </w:t>
      </w:r>
    </w:p>
    <w:p w14:paraId="4754A480" w14:textId="77777777" w:rsidR="004339FE" w:rsidRPr="00B64175" w:rsidRDefault="00B64175" w:rsidP="00B64175">
      <w:pPr>
        <w:jc w:val="both"/>
        <w:rPr>
          <w:rFonts w:ascii="Arial" w:hAnsi="Arial" w:cs="Arial"/>
          <w:sz w:val="20"/>
          <w:szCs w:val="20"/>
        </w:rPr>
      </w:pPr>
      <w:r>
        <w:rPr>
          <w:rFonts w:ascii="Arial" w:hAnsi="Arial" w:cs="Arial"/>
          <w:sz w:val="20"/>
          <w:szCs w:val="20"/>
        </w:rPr>
        <w:t>A</w:t>
      </w:r>
      <w:r w:rsidR="004339FE" w:rsidRPr="00B64175">
        <w:rPr>
          <w:rFonts w:ascii="Arial" w:hAnsi="Arial" w:cs="Arial"/>
          <w:sz w:val="20"/>
          <w:szCs w:val="20"/>
        </w:rPr>
        <w:t xml:space="preserve"> penetração da bactéria no líquido sinovial pode ser por via hematogênica associada à bacteremia persistente ou transitória, como ocorre na presença de </w:t>
      </w:r>
      <w:proofErr w:type="spellStart"/>
      <w:r w:rsidR="004339FE" w:rsidRPr="00B64175">
        <w:rPr>
          <w:rFonts w:ascii="Arial" w:hAnsi="Arial" w:cs="Arial"/>
          <w:sz w:val="20"/>
          <w:szCs w:val="20"/>
        </w:rPr>
        <w:t>catéteres</w:t>
      </w:r>
      <w:proofErr w:type="spellEnd"/>
      <w:r w:rsidR="004339FE" w:rsidRPr="00B64175">
        <w:rPr>
          <w:rFonts w:ascii="Arial" w:hAnsi="Arial" w:cs="Arial"/>
          <w:sz w:val="20"/>
          <w:szCs w:val="20"/>
        </w:rPr>
        <w:t xml:space="preserve">, em caso de uso de drogas endovenosas ou na endocardite bacteriana. Ocorre também associada com a contiguidade de outro foco infeccioso, como ocorre na osteomielite, celulite ou abscesso e inoculação direta devido a procedimento cirúrgico (punção da veia femoral, injeção intra-articular, trauma penetrante). Na criança, há predomínio da via hematogênica, o que é favorecido pela grande vascularização da </w:t>
      </w:r>
      <w:proofErr w:type="spellStart"/>
      <w:r w:rsidR="004339FE" w:rsidRPr="00B64175">
        <w:rPr>
          <w:rFonts w:ascii="Arial" w:hAnsi="Arial" w:cs="Arial"/>
          <w:sz w:val="20"/>
          <w:szCs w:val="20"/>
        </w:rPr>
        <w:t>sinóvia</w:t>
      </w:r>
      <w:proofErr w:type="spellEnd"/>
      <w:r w:rsidR="004339FE" w:rsidRPr="00B64175">
        <w:rPr>
          <w:rFonts w:ascii="Arial" w:hAnsi="Arial" w:cs="Arial"/>
          <w:sz w:val="20"/>
          <w:szCs w:val="20"/>
        </w:rPr>
        <w:t xml:space="preserve"> e pela comunicação da epífise com a metáfise por vasos sanguíneos.</w:t>
      </w:r>
    </w:p>
    <w:p w14:paraId="1537AEA0" w14:textId="77777777" w:rsidR="004339FE" w:rsidRPr="00B64175" w:rsidRDefault="004339FE" w:rsidP="004339FE">
      <w:pPr>
        <w:jc w:val="both"/>
        <w:rPr>
          <w:rFonts w:ascii="Arial" w:hAnsi="Arial" w:cs="Arial"/>
          <w:sz w:val="20"/>
          <w:szCs w:val="20"/>
        </w:rPr>
      </w:pPr>
      <w:r w:rsidRPr="00B64175">
        <w:rPr>
          <w:rFonts w:ascii="Arial" w:hAnsi="Arial" w:cs="Arial"/>
          <w:sz w:val="20"/>
          <w:szCs w:val="20"/>
        </w:rPr>
        <w:lastRenderedPageBreak/>
        <w:t xml:space="preserve">Necessidade de urgência diagnóstica: a invasão do espaço articular por bactérias segue-se pela liberação de endotoxinas e consequente estímulo à produção de citocinas, como o fator de necrose tumoral e interleucina-1, que por sua vez incitam a migração de leucócitos e a liberação de enzimas proteolíticas. Esses fatores combinados proporcionam a destruição da </w:t>
      </w:r>
      <w:proofErr w:type="spellStart"/>
      <w:r w:rsidRPr="00B64175">
        <w:rPr>
          <w:rFonts w:ascii="Arial" w:hAnsi="Arial" w:cs="Arial"/>
          <w:sz w:val="20"/>
          <w:szCs w:val="20"/>
        </w:rPr>
        <w:t>sinóvia</w:t>
      </w:r>
      <w:proofErr w:type="spellEnd"/>
      <w:r w:rsidRPr="00B64175">
        <w:rPr>
          <w:rFonts w:ascii="Arial" w:hAnsi="Arial" w:cs="Arial"/>
          <w:sz w:val="20"/>
          <w:szCs w:val="20"/>
        </w:rPr>
        <w:t xml:space="preserve"> e da matriz cartilaginosa, que se inicia logo nas primeiras 24 a 48 horas.</w:t>
      </w:r>
    </w:p>
    <w:p w14:paraId="1432E7BA" w14:textId="77777777" w:rsid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 xml:space="preserve">Quadro </w:t>
      </w:r>
      <w:r w:rsidR="00B64175" w:rsidRPr="00B64175">
        <w:rPr>
          <w:rFonts w:ascii="Arial" w:hAnsi="Arial" w:cs="Arial"/>
          <w:b/>
          <w:sz w:val="24"/>
          <w:szCs w:val="24"/>
        </w:rPr>
        <w:t>Clínico:</w:t>
      </w:r>
      <w:r w:rsidR="00B64175" w:rsidRPr="00B64175">
        <w:rPr>
          <w:rFonts w:ascii="Arial" w:hAnsi="Arial" w:cs="Arial"/>
          <w:sz w:val="20"/>
          <w:szCs w:val="20"/>
        </w:rPr>
        <w:t xml:space="preserve"> </w:t>
      </w:r>
    </w:p>
    <w:p w14:paraId="7FF07580" w14:textId="77777777" w:rsidR="004339FE" w:rsidRPr="00B64175" w:rsidRDefault="00B64175" w:rsidP="00B64175">
      <w:pPr>
        <w:jc w:val="both"/>
        <w:rPr>
          <w:rFonts w:ascii="Arial" w:hAnsi="Arial" w:cs="Arial"/>
          <w:sz w:val="20"/>
          <w:szCs w:val="20"/>
        </w:rPr>
      </w:pPr>
      <w:r w:rsidRPr="00B64175">
        <w:rPr>
          <w:rFonts w:ascii="Arial" w:hAnsi="Arial" w:cs="Arial"/>
          <w:sz w:val="20"/>
          <w:szCs w:val="20"/>
        </w:rPr>
        <w:t>A</w:t>
      </w:r>
      <w:r w:rsidR="004339FE" w:rsidRPr="00B64175">
        <w:rPr>
          <w:rFonts w:ascii="Arial" w:hAnsi="Arial" w:cs="Arial"/>
          <w:sz w:val="20"/>
          <w:szCs w:val="20"/>
        </w:rPr>
        <w:t xml:space="preserve">s manifestações clínicas geralmente precedem a internação hospitalar por quatro a sete dias e dependem da faixa etária do paciente, do sítio de infecção e do agente etiológico. É predominantemente </w:t>
      </w:r>
      <w:proofErr w:type="spellStart"/>
      <w:r w:rsidR="004339FE" w:rsidRPr="00B64175">
        <w:rPr>
          <w:rFonts w:ascii="Arial" w:hAnsi="Arial" w:cs="Arial"/>
          <w:sz w:val="20"/>
          <w:szCs w:val="20"/>
        </w:rPr>
        <w:t>monoarticular</w:t>
      </w:r>
      <w:proofErr w:type="spellEnd"/>
      <w:r w:rsidR="004339FE" w:rsidRPr="00B64175">
        <w:rPr>
          <w:rFonts w:ascii="Arial" w:hAnsi="Arial" w:cs="Arial"/>
          <w:sz w:val="20"/>
          <w:szCs w:val="20"/>
        </w:rPr>
        <w:t xml:space="preserve"> acometendo grandes articulações, sendo as principais os joelhos e quadris, além dos tornozelos, respondendo, pelo menos, por 80% dos casos. Os sintomas mais importantes são a dor de início súbito, rubor, calor, aumento de volume articular com limitação funcional (claudicação ou recusa a andar), postura antálgica em repouso e febre. </w:t>
      </w:r>
    </w:p>
    <w:p w14:paraId="46D8B2C6" w14:textId="77777777" w:rsidR="00B64175" w:rsidRDefault="004339FE" w:rsidP="00B64175">
      <w:pPr>
        <w:pStyle w:val="PargrafodaLista"/>
        <w:numPr>
          <w:ilvl w:val="0"/>
          <w:numId w:val="2"/>
        </w:numPr>
        <w:jc w:val="both"/>
        <w:rPr>
          <w:rFonts w:ascii="Arial" w:hAnsi="Arial" w:cs="Arial"/>
          <w:sz w:val="20"/>
          <w:szCs w:val="20"/>
        </w:rPr>
      </w:pPr>
      <w:r w:rsidRPr="00B64175">
        <w:rPr>
          <w:rFonts w:ascii="Arial" w:hAnsi="Arial" w:cs="Arial"/>
          <w:b/>
          <w:sz w:val="24"/>
          <w:szCs w:val="24"/>
        </w:rPr>
        <w:t>Diagnóstico:</w:t>
      </w:r>
      <w:r w:rsidRPr="00B64175">
        <w:rPr>
          <w:rFonts w:ascii="Arial" w:hAnsi="Arial" w:cs="Arial"/>
          <w:sz w:val="20"/>
          <w:szCs w:val="20"/>
        </w:rPr>
        <w:t xml:space="preserve"> </w:t>
      </w:r>
    </w:p>
    <w:p w14:paraId="024F38C4" w14:textId="77777777" w:rsidR="004339FE" w:rsidRPr="00B64175" w:rsidRDefault="00B64175" w:rsidP="00B64175">
      <w:pPr>
        <w:jc w:val="both"/>
        <w:rPr>
          <w:rFonts w:ascii="Arial" w:hAnsi="Arial" w:cs="Arial"/>
          <w:sz w:val="20"/>
          <w:szCs w:val="20"/>
        </w:rPr>
      </w:pPr>
      <w:r>
        <w:rPr>
          <w:rFonts w:ascii="Arial" w:hAnsi="Arial" w:cs="Arial"/>
          <w:sz w:val="20"/>
          <w:szCs w:val="20"/>
        </w:rPr>
        <w:t>A</w:t>
      </w:r>
      <w:r w:rsidR="004339FE" w:rsidRPr="00B64175">
        <w:rPr>
          <w:rFonts w:ascii="Arial" w:hAnsi="Arial" w:cs="Arial"/>
          <w:sz w:val="20"/>
          <w:szCs w:val="20"/>
        </w:rPr>
        <w:t xml:space="preserve"> artrite séptica deve ser suspeitada em crianças que apresentam síndrome febril, dor </w:t>
      </w:r>
      <w:proofErr w:type="spellStart"/>
      <w:r w:rsidR="004339FE" w:rsidRPr="00B64175">
        <w:rPr>
          <w:rFonts w:ascii="Arial" w:hAnsi="Arial" w:cs="Arial"/>
          <w:sz w:val="20"/>
          <w:szCs w:val="20"/>
        </w:rPr>
        <w:t>monoarticular</w:t>
      </w:r>
      <w:proofErr w:type="spellEnd"/>
      <w:r w:rsidR="004339FE" w:rsidRPr="00B64175">
        <w:rPr>
          <w:rFonts w:ascii="Arial" w:hAnsi="Arial" w:cs="Arial"/>
          <w:sz w:val="20"/>
          <w:szCs w:val="20"/>
        </w:rPr>
        <w:t xml:space="preserve">, edema e limitação de movimentos. O diagnóstico é confirmado pelo isolamento da bactéria no líquido sinovial ou em hemocultura. </w:t>
      </w:r>
    </w:p>
    <w:p w14:paraId="34415AB8" w14:textId="77777777" w:rsidR="00B02867" w:rsidRPr="00B02867" w:rsidRDefault="004339FE" w:rsidP="00B02867">
      <w:pPr>
        <w:pStyle w:val="PargrafodaLista"/>
        <w:numPr>
          <w:ilvl w:val="0"/>
          <w:numId w:val="2"/>
        </w:numPr>
        <w:jc w:val="both"/>
        <w:rPr>
          <w:rFonts w:ascii="Arial" w:hAnsi="Arial" w:cs="Arial"/>
          <w:sz w:val="20"/>
          <w:szCs w:val="20"/>
        </w:rPr>
      </w:pPr>
      <w:r w:rsidRPr="00B02867">
        <w:rPr>
          <w:rFonts w:ascii="Arial" w:hAnsi="Arial" w:cs="Arial"/>
          <w:b/>
          <w:sz w:val="24"/>
          <w:szCs w:val="24"/>
        </w:rPr>
        <w:t>Diagnóstico diferencial:</w:t>
      </w:r>
      <w:r w:rsidRPr="00B02867">
        <w:rPr>
          <w:rFonts w:ascii="Arial" w:hAnsi="Arial" w:cs="Arial"/>
          <w:sz w:val="24"/>
          <w:szCs w:val="24"/>
        </w:rPr>
        <w:t xml:space="preserve"> </w:t>
      </w:r>
    </w:p>
    <w:p w14:paraId="4A42226E" w14:textId="77777777" w:rsidR="004339FE" w:rsidRPr="00B02867" w:rsidRDefault="00B02867" w:rsidP="00B02867">
      <w:pPr>
        <w:jc w:val="both"/>
        <w:rPr>
          <w:rFonts w:ascii="Arial" w:hAnsi="Arial" w:cs="Arial"/>
          <w:sz w:val="20"/>
          <w:szCs w:val="20"/>
        </w:rPr>
      </w:pPr>
      <w:r>
        <w:rPr>
          <w:rFonts w:ascii="Arial" w:hAnsi="Arial" w:cs="Arial"/>
          <w:sz w:val="20"/>
          <w:szCs w:val="20"/>
        </w:rPr>
        <w:t xml:space="preserve">Sinovite transitória, </w:t>
      </w:r>
      <w:r w:rsidR="004339FE" w:rsidRPr="00B02867">
        <w:rPr>
          <w:rFonts w:ascii="Arial" w:hAnsi="Arial" w:cs="Arial"/>
          <w:sz w:val="20"/>
          <w:szCs w:val="20"/>
        </w:rPr>
        <w:t xml:space="preserve">dor pós-traumática, a doença de </w:t>
      </w:r>
      <w:proofErr w:type="spellStart"/>
      <w:r w:rsidR="004339FE" w:rsidRPr="00B02867">
        <w:rPr>
          <w:rFonts w:ascii="Arial" w:hAnsi="Arial" w:cs="Arial"/>
          <w:sz w:val="20"/>
          <w:szCs w:val="20"/>
        </w:rPr>
        <w:t>Legg-Calvé-Perthes</w:t>
      </w:r>
      <w:proofErr w:type="spellEnd"/>
      <w:r w:rsidR="004339FE" w:rsidRPr="00B02867">
        <w:rPr>
          <w:rFonts w:ascii="Arial" w:hAnsi="Arial" w:cs="Arial"/>
          <w:sz w:val="20"/>
          <w:szCs w:val="20"/>
        </w:rPr>
        <w:t xml:space="preserve">, </w:t>
      </w:r>
      <w:proofErr w:type="spellStart"/>
      <w:r w:rsidR="004339FE" w:rsidRPr="00B02867">
        <w:rPr>
          <w:rFonts w:ascii="Arial" w:hAnsi="Arial" w:cs="Arial"/>
          <w:sz w:val="20"/>
          <w:szCs w:val="20"/>
        </w:rPr>
        <w:t>monoartrite</w:t>
      </w:r>
      <w:proofErr w:type="spellEnd"/>
      <w:r w:rsidR="004339FE" w:rsidRPr="00B02867">
        <w:rPr>
          <w:rFonts w:ascii="Arial" w:hAnsi="Arial" w:cs="Arial"/>
          <w:sz w:val="20"/>
          <w:szCs w:val="20"/>
        </w:rPr>
        <w:t xml:space="preserve"> tuberculosa, tumores, artrite reacional ou pós-infecciosa, doenças reumatológicas, entre outras.</w:t>
      </w:r>
    </w:p>
    <w:p w14:paraId="662FC1C8" w14:textId="77777777" w:rsidR="00B02867" w:rsidRDefault="004339FE" w:rsidP="00B02867">
      <w:pPr>
        <w:pStyle w:val="PargrafodaLista"/>
        <w:numPr>
          <w:ilvl w:val="0"/>
          <w:numId w:val="2"/>
        </w:numPr>
        <w:jc w:val="both"/>
        <w:rPr>
          <w:rFonts w:ascii="Arial" w:hAnsi="Arial" w:cs="Arial"/>
          <w:sz w:val="20"/>
          <w:szCs w:val="20"/>
        </w:rPr>
      </w:pPr>
      <w:r w:rsidRPr="00B02867">
        <w:rPr>
          <w:rFonts w:ascii="Arial" w:hAnsi="Arial" w:cs="Arial"/>
          <w:b/>
          <w:sz w:val="24"/>
          <w:szCs w:val="24"/>
        </w:rPr>
        <w:t>Exames</w:t>
      </w:r>
      <w:r w:rsidR="00B02867" w:rsidRPr="00B02867">
        <w:rPr>
          <w:rFonts w:ascii="Arial" w:hAnsi="Arial" w:cs="Arial"/>
          <w:b/>
          <w:sz w:val="24"/>
          <w:szCs w:val="24"/>
        </w:rPr>
        <w:t>:</w:t>
      </w:r>
      <w:r w:rsidR="00B02867" w:rsidRPr="00B02867">
        <w:rPr>
          <w:rFonts w:ascii="Arial" w:hAnsi="Arial" w:cs="Arial"/>
          <w:sz w:val="20"/>
          <w:szCs w:val="20"/>
        </w:rPr>
        <w:t xml:space="preserve"> </w:t>
      </w:r>
    </w:p>
    <w:p w14:paraId="5129FE1B" w14:textId="77777777" w:rsidR="004339FE" w:rsidRPr="00B02867" w:rsidRDefault="00B02867" w:rsidP="00B02867">
      <w:pPr>
        <w:jc w:val="both"/>
        <w:rPr>
          <w:rFonts w:ascii="Arial" w:hAnsi="Arial" w:cs="Arial"/>
          <w:sz w:val="20"/>
          <w:szCs w:val="20"/>
        </w:rPr>
      </w:pPr>
      <w:r>
        <w:rPr>
          <w:rFonts w:ascii="Arial" w:hAnsi="Arial" w:cs="Arial"/>
          <w:sz w:val="20"/>
          <w:szCs w:val="20"/>
        </w:rPr>
        <w:t>A</w:t>
      </w:r>
      <w:r w:rsidR="004339FE" w:rsidRPr="00B02867">
        <w:rPr>
          <w:rFonts w:ascii="Arial" w:hAnsi="Arial" w:cs="Arial"/>
          <w:sz w:val="20"/>
          <w:szCs w:val="20"/>
        </w:rPr>
        <w:t xml:space="preserve"> aspiração do líquido sinovial e sua análise devem ser feitas imediatamente quando se suspeita de artrite séptica. No hemograma pode haver anemia leve a moderada, leucocitose com neutrofilia e desvio a esquerda, há aumento da velocidade de hemossedimentação (VHS), proteína C reativa aumentada (PCR), hemocultura (positiva em 40% dos casos) e análise do líquido sinovial por de contagem de leucócitos, Gram e cultura.</w:t>
      </w:r>
    </w:p>
    <w:p w14:paraId="53063397" w14:textId="77777777" w:rsidR="00B02867" w:rsidRDefault="004339FE" w:rsidP="00B02867">
      <w:pPr>
        <w:pStyle w:val="PargrafodaLista"/>
        <w:numPr>
          <w:ilvl w:val="0"/>
          <w:numId w:val="2"/>
        </w:numPr>
        <w:jc w:val="both"/>
        <w:rPr>
          <w:rFonts w:ascii="Arial" w:hAnsi="Arial" w:cs="Arial"/>
          <w:sz w:val="20"/>
          <w:szCs w:val="20"/>
        </w:rPr>
      </w:pPr>
      <w:r w:rsidRPr="00B02867">
        <w:rPr>
          <w:rFonts w:ascii="Arial" w:hAnsi="Arial" w:cs="Arial"/>
          <w:b/>
          <w:sz w:val="24"/>
          <w:szCs w:val="24"/>
        </w:rPr>
        <w:t>Exames de imagem:</w:t>
      </w:r>
      <w:r w:rsidRPr="00B02867">
        <w:rPr>
          <w:rFonts w:ascii="Arial" w:hAnsi="Arial" w:cs="Arial"/>
          <w:sz w:val="20"/>
          <w:szCs w:val="20"/>
        </w:rPr>
        <w:t xml:space="preserve"> </w:t>
      </w:r>
    </w:p>
    <w:p w14:paraId="2FF60345" w14:textId="77777777" w:rsidR="004339FE" w:rsidRPr="00B02867" w:rsidRDefault="00B02867" w:rsidP="00B02867">
      <w:pPr>
        <w:jc w:val="both"/>
        <w:rPr>
          <w:rFonts w:ascii="Arial" w:hAnsi="Arial" w:cs="Arial"/>
          <w:sz w:val="20"/>
          <w:szCs w:val="20"/>
        </w:rPr>
      </w:pPr>
      <w:r>
        <w:rPr>
          <w:rFonts w:ascii="Arial" w:hAnsi="Arial" w:cs="Arial"/>
          <w:sz w:val="20"/>
          <w:szCs w:val="20"/>
        </w:rPr>
        <w:t>A</w:t>
      </w:r>
      <w:r w:rsidR="004339FE" w:rsidRPr="00B02867">
        <w:rPr>
          <w:rFonts w:ascii="Arial" w:hAnsi="Arial" w:cs="Arial"/>
          <w:sz w:val="20"/>
          <w:szCs w:val="20"/>
        </w:rPr>
        <w:t xml:space="preserve"> radiografia da articulação é de pouca validade diagnóstica, uma vez que as alterações características, ocorrem em estágio tardio da doença. A tomografia computadorizada não é realizada rotineiramente, mas é de grande valia para a avaliação de áreas de anatomia complexa (ombros, quadril e junção </w:t>
      </w:r>
      <w:proofErr w:type="spellStart"/>
      <w:r w:rsidR="004339FE" w:rsidRPr="00B02867">
        <w:rPr>
          <w:rFonts w:ascii="Arial" w:hAnsi="Arial" w:cs="Arial"/>
          <w:sz w:val="20"/>
          <w:szCs w:val="20"/>
        </w:rPr>
        <w:t>sacroilíaca</w:t>
      </w:r>
      <w:proofErr w:type="spellEnd"/>
      <w:r w:rsidR="004339FE" w:rsidRPr="00B02867">
        <w:rPr>
          <w:rFonts w:ascii="Arial" w:hAnsi="Arial" w:cs="Arial"/>
          <w:sz w:val="20"/>
          <w:szCs w:val="20"/>
        </w:rPr>
        <w:t>). A ressonância magnética é mais sensível do que outras modalidades de exames de imagem no que se refere à detecção precoce de fluido articular. A ultrassonografia é útil para avaliar a presença de líquido nas articulações, em especial as mais profundas como a do quadril, bem como para guiar a punção articular, mas tem baixa especificidade. A cintilografia óssea é bastante sensível e, juntamente com a suspeita clínica, sua impregnação corrobora com o diagnóstico.</w:t>
      </w:r>
    </w:p>
    <w:p w14:paraId="0BE838A0" w14:textId="77777777" w:rsidR="00B02867" w:rsidRPr="00B02867" w:rsidRDefault="004339FE" w:rsidP="00B02867">
      <w:pPr>
        <w:pStyle w:val="PargrafodaLista"/>
        <w:numPr>
          <w:ilvl w:val="0"/>
          <w:numId w:val="2"/>
        </w:numPr>
        <w:autoSpaceDE w:val="0"/>
        <w:autoSpaceDN w:val="0"/>
        <w:adjustRightInd w:val="0"/>
        <w:spacing w:after="0" w:line="240" w:lineRule="auto"/>
        <w:jc w:val="both"/>
        <w:rPr>
          <w:rFonts w:ascii="Arial" w:eastAsia="CheltenhamStd-Light" w:hAnsi="Arial" w:cs="Arial"/>
          <w:sz w:val="20"/>
          <w:szCs w:val="20"/>
        </w:rPr>
      </w:pPr>
      <w:r w:rsidRPr="00B02867">
        <w:rPr>
          <w:rFonts w:ascii="Arial" w:hAnsi="Arial" w:cs="Arial"/>
          <w:b/>
          <w:sz w:val="24"/>
          <w:szCs w:val="24"/>
        </w:rPr>
        <w:t>Tratamento:</w:t>
      </w:r>
    </w:p>
    <w:p w14:paraId="66D0FB55" w14:textId="77777777" w:rsidR="00B02867" w:rsidRPr="00B02867" w:rsidRDefault="00B02867" w:rsidP="00B02867">
      <w:pPr>
        <w:pStyle w:val="PargrafodaLista"/>
        <w:autoSpaceDE w:val="0"/>
        <w:autoSpaceDN w:val="0"/>
        <w:adjustRightInd w:val="0"/>
        <w:spacing w:after="0" w:line="240" w:lineRule="auto"/>
        <w:jc w:val="both"/>
        <w:rPr>
          <w:rFonts w:ascii="Arial" w:eastAsia="CheltenhamStd-Light" w:hAnsi="Arial" w:cs="Arial"/>
          <w:sz w:val="20"/>
          <w:szCs w:val="20"/>
        </w:rPr>
      </w:pPr>
    </w:p>
    <w:p w14:paraId="7A46E855" w14:textId="77777777" w:rsidR="004339FE" w:rsidRPr="00B02867" w:rsidRDefault="00B02867" w:rsidP="00B02867">
      <w:pPr>
        <w:autoSpaceDE w:val="0"/>
        <w:autoSpaceDN w:val="0"/>
        <w:adjustRightInd w:val="0"/>
        <w:spacing w:after="0" w:line="240" w:lineRule="auto"/>
        <w:jc w:val="both"/>
        <w:rPr>
          <w:rFonts w:ascii="Arial" w:eastAsia="CheltenhamStd-Light" w:hAnsi="Arial" w:cs="Arial"/>
          <w:sz w:val="20"/>
          <w:szCs w:val="20"/>
        </w:rPr>
      </w:pPr>
      <w:r>
        <w:rPr>
          <w:rFonts w:ascii="Arial" w:hAnsi="Arial" w:cs="Arial"/>
          <w:sz w:val="20"/>
          <w:szCs w:val="20"/>
        </w:rPr>
        <w:t xml:space="preserve"> I</w:t>
      </w:r>
      <w:r w:rsidR="004339FE" w:rsidRPr="00B02867">
        <w:rPr>
          <w:rFonts w:ascii="Arial" w:hAnsi="Arial" w:cs="Arial"/>
          <w:sz w:val="20"/>
          <w:szCs w:val="20"/>
        </w:rPr>
        <w:t xml:space="preserve">nclui esterilização, descompressão do espaço articular e remoção de </w:t>
      </w:r>
      <w:proofErr w:type="spellStart"/>
      <w:r w:rsidR="004339FE" w:rsidRPr="00B02867">
        <w:rPr>
          <w:rFonts w:ascii="Arial" w:hAnsi="Arial" w:cs="Arial"/>
          <w:sz w:val="20"/>
          <w:szCs w:val="20"/>
        </w:rPr>
        <w:t>debris</w:t>
      </w:r>
      <w:proofErr w:type="spellEnd"/>
      <w:r w:rsidR="004339FE" w:rsidRPr="00B02867">
        <w:rPr>
          <w:rFonts w:ascii="Arial" w:hAnsi="Arial" w:cs="Arial"/>
          <w:sz w:val="20"/>
          <w:szCs w:val="20"/>
        </w:rPr>
        <w:t xml:space="preserve"> inflamatórios, a fim de aliviar a dor e evitar deformidades ou sequelas funcionais. A drenagem articular e a antibioticoterapia são os pilares do tratamento. </w:t>
      </w:r>
      <w:r w:rsidR="004339FE" w:rsidRPr="00B02867">
        <w:rPr>
          <w:rFonts w:ascii="Arial" w:eastAsia="CheltenhamStd-Light" w:hAnsi="Arial" w:cs="Arial"/>
          <w:sz w:val="20"/>
          <w:szCs w:val="20"/>
        </w:rPr>
        <w:t xml:space="preserve">A escolha do antibiótico inicial deve ser baseada na faixa etária e em fatores de risco, podendo sofrer os ajustes necessários após resultado da cultura do líquido sinovial. A via de administração do antibiótico deve ser parenteral, por 2 a 4 semanas, podendo ser mudada para esquema oral desde que os parâmetros clinico-laboratoriais tenham melhorado, com tempo total de tratamento entre 4 e 8 semanas. Os esquemas antibióticos consistem basicamente na associação de penicilina </w:t>
      </w:r>
      <w:proofErr w:type="spellStart"/>
      <w:r w:rsidR="004339FE" w:rsidRPr="00B02867">
        <w:rPr>
          <w:rFonts w:ascii="Arial" w:eastAsia="CheltenhamStd-Light" w:hAnsi="Arial" w:cs="Arial"/>
          <w:sz w:val="20"/>
          <w:szCs w:val="20"/>
        </w:rPr>
        <w:t>antiestafilocócica</w:t>
      </w:r>
      <w:proofErr w:type="spellEnd"/>
      <w:r w:rsidR="004339FE" w:rsidRPr="00B02867">
        <w:rPr>
          <w:rFonts w:ascii="Arial" w:eastAsia="CheltenhamStd-Light" w:hAnsi="Arial" w:cs="Arial"/>
          <w:sz w:val="20"/>
          <w:szCs w:val="20"/>
        </w:rPr>
        <w:t xml:space="preserve">, como a </w:t>
      </w:r>
      <w:proofErr w:type="spellStart"/>
      <w:r w:rsidR="004339FE" w:rsidRPr="00B02867">
        <w:rPr>
          <w:rFonts w:ascii="Arial" w:eastAsia="CheltenhamStd-Light" w:hAnsi="Arial" w:cs="Arial"/>
          <w:sz w:val="20"/>
          <w:szCs w:val="20"/>
        </w:rPr>
        <w:t>oxacilina</w:t>
      </w:r>
      <w:proofErr w:type="spellEnd"/>
      <w:r w:rsidR="004339FE" w:rsidRPr="00B02867">
        <w:rPr>
          <w:rFonts w:ascii="Arial" w:eastAsia="CheltenhamStd-Light" w:hAnsi="Arial" w:cs="Arial"/>
          <w:sz w:val="20"/>
          <w:szCs w:val="20"/>
        </w:rPr>
        <w:t xml:space="preserve">, a uma cefalosporina de terceira geração, como a </w:t>
      </w:r>
      <w:proofErr w:type="spellStart"/>
      <w:r w:rsidR="004339FE" w:rsidRPr="00B02867">
        <w:rPr>
          <w:rFonts w:ascii="Arial" w:eastAsia="CheltenhamStd-Light" w:hAnsi="Arial" w:cs="Arial"/>
          <w:sz w:val="20"/>
          <w:szCs w:val="20"/>
        </w:rPr>
        <w:t>ceftriaxona</w:t>
      </w:r>
      <w:proofErr w:type="spellEnd"/>
      <w:r w:rsidR="004339FE" w:rsidRPr="00B02867">
        <w:rPr>
          <w:rFonts w:ascii="Arial" w:eastAsia="CheltenhamStd-Light" w:hAnsi="Arial" w:cs="Arial"/>
          <w:sz w:val="20"/>
          <w:szCs w:val="20"/>
        </w:rPr>
        <w:t xml:space="preserve"> ou a </w:t>
      </w:r>
      <w:proofErr w:type="spellStart"/>
      <w:r w:rsidR="004339FE" w:rsidRPr="00B02867">
        <w:rPr>
          <w:rFonts w:ascii="Arial" w:eastAsia="CheltenhamStd-Light" w:hAnsi="Arial" w:cs="Arial"/>
          <w:sz w:val="20"/>
          <w:szCs w:val="20"/>
        </w:rPr>
        <w:t>cefotaxima</w:t>
      </w:r>
      <w:proofErr w:type="spellEnd"/>
      <w:r w:rsidR="004339FE" w:rsidRPr="00B02867">
        <w:rPr>
          <w:rFonts w:ascii="Arial" w:eastAsia="CheltenhamStd-Light" w:hAnsi="Arial" w:cs="Arial"/>
          <w:sz w:val="20"/>
          <w:szCs w:val="20"/>
        </w:rPr>
        <w:t xml:space="preserve">. Esse esquema cobre cocos Gram positivos, em especial </w:t>
      </w:r>
      <w:r w:rsidR="004339FE" w:rsidRPr="00B02867">
        <w:rPr>
          <w:rFonts w:ascii="Arial" w:eastAsia="CheltenhamStd-Light" w:hAnsi="Arial" w:cs="Arial"/>
          <w:iCs/>
          <w:sz w:val="20"/>
          <w:szCs w:val="20"/>
        </w:rPr>
        <w:t xml:space="preserve">estafilococo aureus </w:t>
      </w:r>
      <w:r w:rsidR="004339FE" w:rsidRPr="00B02867">
        <w:rPr>
          <w:rFonts w:ascii="Arial" w:eastAsia="CheltenhamStd-Light" w:hAnsi="Arial" w:cs="Arial"/>
          <w:sz w:val="20"/>
          <w:szCs w:val="20"/>
        </w:rPr>
        <w:t xml:space="preserve">e </w:t>
      </w:r>
      <w:r w:rsidR="004339FE" w:rsidRPr="00B02867">
        <w:rPr>
          <w:rFonts w:ascii="Arial" w:eastAsia="CheltenhamStd-Light" w:hAnsi="Arial" w:cs="Arial"/>
          <w:iCs/>
          <w:sz w:val="20"/>
          <w:szCs w:val="20"/>
        </w:rPr>
        <w:t>estreptococo sp.</w:t>
      </w:r>
      <w:r w:rsidR="004339FE" w:rsidRPr="00B02867">
        <w:rPr>
          <w:rFonts w:ascii="Arial" w:eastAsia="CheltenhamStd-Light" w:hAnsi="Arial" w:cs="Arial"/>
          <w:sz w:val="20"/>
          <w:szCs w:val="20"/>
        </w:rPr>
        <w:t xml:space="preserve">, além de bacilos Gram negativos. Em pacientes previamente hígidos, entretanto, pode-se omitir a cefalosporina de terceira geração e cobrir apenas cocos Gram positivos. A </w:t>
      </w:r>
      <w:proofErr w:type="spellStart"/>
      <w:proofErr w:type="gramStart"/>
      <w:r w:rsidR="004339FE" w:rsidRPr="00B02867">
        <w:rPr>
          <w:rFonts w:ascii="Arial" w:hAnsi="Arial" w:cs="Arial"/>
          <w:iCs/>
          <w:sz w:val="20"/>
          <w:szCs w:val="20"/>
        </w:rPr>
        <w:t>Kingella</w:t>
      </w:r>
      <w:proofErr w:type="spellEnd"/>
      <w:r w:rsidR="004339FE" w:rsidRPr="00B02867">
        <w:rPr>
          <w:rFonts w:ascii="Arial" w:hAnsi="Arial" w:cs="Arial"/>
          <w:iCs/>
          <w:sz w:val="20"/>
          <w:szCs w:val="20"/>
        </w:rPr>
        <w:t xml:space="preserve"> </w:t>
      </w:r>
      <w:r w:rsidR="004339FE" w:rsidRPr="00B02867">
        <w:rPr>
          <w:rFonts w:ascii="Arial" w:hAnsi="Arial" w:cs="Arial"/>
          <w:i/>
          <w:iCs/>
          <w:sz w:val="20"/>
          <w:szCs w:val="20"/>
        </w:rPr>
        <w:t xml:space="preserve"> </w:t>
      </w:r>
      <w:r w:rsidR="004339FE" w:rsidRPr="00B02867">
        <w:rPr>
          <w:rFonts w:ascii="Arial" w:eastAsia="CheltenhamStd-Light" w:hAnsi="Arial" w:cs="Arial"/>
          <w:sz w:val="20"/>
          <w:szCs w:val="20"/>
        </w:rPr>
        <w:t>pode</w:t>
      </w:r>
      <w:proofErr w:type="gramEnd"/>
      <w:r w:rsidR="004339FE" w:rsidRPr="00B02867">
        <w:rPr>
          <w:rFonts w:ascii="Arial" w:eastAsia="CheltenhamStd-Light" w:hAnsi="Arial" w:cs="Arial"/>
          <w:sz w:val="20"/>
          <w:szCs w:val="20"/>
        </w:rPr>
        <w:t xml:space="preserve"> ser </w:t>
      </w:r>
      <w:r w:rsidR="004339FE" w:rsidRPr="00B02867">
        <w:rPr>
          <w:rFonts w:ascii="Arial" w:eastAsia="CheltenhamStd-Light" w:hAnsi="Arial" w:cs="Arial"/>
          <w:sz w:val="20"/>
          <w:szCs w:val="20"/>
        </w:rPr>
        <w:lastRenderedPageBreak/>
        <w:t>tratada com uma cefalosporina de segunda ou terceira geração, penicilina cristalina ou ampicilina.</w:t>
      </w:r>
    </w:p>
    <w:p w14:paraId="0D4BF9C5" w14:textId="77777777" w:rsidR="004339FE" w:rsidRPr="00B64175" w:rsidRDefault="004339FE" w:rsidP="004339FE">
      <w:pPr>
        <w:autoSpaceDE w:val="0"/>
        <w:autoSpaceDN w:val="0"/>
        <w:adjustRightInd w:val="0"/>
        <w:spacing w:after="0" w:line="240" w:lineRule="auto"/>
        <w:jc w:val="both"/>
        <w:rPr>
          <w:rFonts w:ascii="Arial" w:hAnsi="Arial" w:cs="Arial"/>
          <w:sz w:val="20"/>
          <w:szCs w:val="20"/>
        </w:rPr>
      </w:pPr>
    </w:p>
    <w:p w14:paraId="36B9BBD4" w14:textId="77777777" w:rsidR="00B02867" w:rsidRPr="00B02867" w:rsidRDefault="004339FE" w:rsidP="00B02867">
      <w:pPr>
        <w:pStyle w:val="PargrafodaLista"/>
        <w:numPr>
          <w:ilvl w:val="0"/>
          <w:numId w:val="2"/>
        </w:numPr>
        <w:autoSpaceDE w:val="0"/>
        <w:autoSpaceDN w:val="0"/>
        <w:adjustRightInd w:val="0"/>
        <w:spacing w:after="0" w:line="240" w:lineRule="auto"/>
        <w:jc w:val="both"/>
        <w:rPr>
          <w:rFonts w:ascii="Arial" w:eastAsia="CheltenhamStd-Light" w:hAnsi="Arial" w:cs="Arial"/>
          <w:sz w:val="20"/>
          <w:szCs w:val="20"/>
        </w:rPr>
      </w:pPr>
      <w:r w:rsidRPr="00B02867">
        <w:rPr>
          <w:rFonts w:ascii="Arial" w:hAnsi="Arial" w:cs="Arial"/>
          <w:b/>
          <w:sz w:val="24"/>
          <w:szCs w:val="24"/>
        </w:rPr>
        <w:t>Prognóstico</w:t>
      </w:r>
      <w:r w:rsidR="00B02867" w:rsidRPr="00B02867">
        <w:rPr>
          <w:rFonts w:ascii="Arial" w:hAnsi="Arial" w:cs="Arial"/>
          <w:b/>
          <w:sz w:val="24"/>
          <w:szCs w:val="24"/>
        </w:rPr>
        <w:t>:</w:t>
      </w:r>
      <w:r w:rsidR="00B02867" w:rsidRPr="00B02867">
        <w:rPr>
          <w:rFonts w:ascii="Arial" w:hAnsi="Arial" w:cs="Arial"/>
          <w:sz w:val="20"/>
          <w:szCs w:val="20"/>
        </w:rPr>
        <w:t xml:space="preserve"> </w:t>
      </w:r>
    </w:p>
    <w:p w14:paraId="0E6795E0" w14:textId="77777777" w:rsidR="00B02867" w:rsidRDefault="00B02867" w:rsidP="00B02867">
      <w:pPr>
        <w:autoSpaceDE w:val="0"/>
        <w:autoSpaceDN w:val="0"/>
        <w:adjustRightInd w:val="0"/>
        <w:spacing w:after="0" w:line="240" w:lineRule="auto"/>
        <w:jc w:val="both"/>
        <w:rPr>
          <w:rFonts w:ascii="Arial" w:hAnsi="Arial" w:cs="Arial"/>
          <w:sz w:val="20"/>
          <w:szCs w:val="20"/>
        </w:rPr>
      </w:pPr>
    </w:p>
    <w:p w14:paraId="36ED6E65" w14:textId="77777777" w:rsidR="004339FE" w:rsidRPr="00B02867" w:rsidRDefault="00B02867" w:rsidP="00B02867">
      <w:pPr>
        <w:autoSpaceDE w:val="0"/>
        <w:autoSpaceDN w:val="0"/>
        <w:adjustRightInd w:val="0"/>
        <w:spacing w:after="0" w:line="240" w:lineRule="auto"/>
        <w:jc w:val="both"/>
        <w:rPr>
          <w:rFonts w:ascii="Arial" w:eastAsia="CheltenhamStd-Light" w:hAnsi="Arial" w:cs="Arial"/>
          <w:sz w:val="20"/>
          <w:szCs w:val="20"/>
        </w:rPr>
      </w:pPr>
      <w:r>
        <w:rPr>
          <w:rFonts w:ascii="Arial" w:hAnsi="Arial" w:cs="Arial"/>
          <w:sz w:val="20"/>
          <w:szCs w:val="20"/>
        </w:rPr>
        <w:t>D</w:t>
      </w:r>
      <w:r w:rsidR="004339FE" w:rsidRPr="00B02867">
        <w:rPr>
          <w:rFonts w:ascii="Arial" w:hAnsi="Arial" w:cs="Arial"/>
          <w:sz w:val="20"/>
          <w:szCs w:val="20"/>
        </w:rPr>
        <w:t xml:space="preserve">epende do diagnóstico precoce e do início adequado do tratamento, sendo ambos de extrema importância para se evitar a destruição, a formação de sequelas e a perda irreversível da função articular. </w:t>
      </w:r>
      <w:r w:rsidR="004339FE" w:rsidRPr="00B02867">
        <w:rPr>
          <w:rFonts w:ascii="Arial" w:eastAsia="CheltenhamStd-Light" w:hAnsi="Arial" w:cs="Arial"/>
          <w:sz w:val="20"/>
          <w:szCs w:val="20"/>
        </w:rPr>
        <w:t>As taxas de letalidade giram em torno de 10%. A artrite séptica apresenta alta morbidade, sendo que 25 a 50% dos pacientes podem evoluir com acometimento ósseo, anquilose, necrose avascular e luxação do quadril. Nas crianças, nota-se frequentemente alterações do crescimento do membro por acometimento da cartilagem de crescimento.</w:t>
      </w:r>
    </w:p>
    <w:p w14:paraId="4DB0DF20" w14:textId="77777777" w:rsidR="004339FE" w:rsidRPr="00B64175" w:rsidRDefault="004339FE" w:rsidP="004339FE">
      <w:pPr>
        <w:autoSpaceDE w:val="0"/>
        <w:autoSpaceDN w:val="0"/>
        <w:adjustRightInd w:val="0"/>
        <w:spacing w:after="0" w:line="240" w:lineRule="auto"/>
        <w:jc w:val="both"/>
        <w:rPr>
          <w:rFonts w:ascii="Arial" w:eastAsia="CheltenhamStd-Light" w:hAnsi="Arial" w:cs="Arial"/>
          <w:sz w:val="20"/>
          <w:szCs w:val="20"/>
        </w:rPr>
      </w:pPr>
    </w:p>
    <w:p w14:paraId="156C9E94" w14:textId="77777777" w:rsidR="004339FE" w:rsidRPr="00B64175" w:rsidRDefault="004339FE" w:rsidP="004339FE">
      <w:pPr>
        <w:autoSpaceDE w:val="0"/>
        <w:autoSpaceDN w:val="0"/>
        <w:adjustRightInd w:val="0"/>
        <w:spacing w:after="0" w:line="240" w:lineRule="auto"/>
        <w:jc w:val="both"/>
        <w:rPr>
          <w:rFonts w:ascii="Arial" w:eastAsia="CheltenhamStd-Light" w:hAnsi="Arial" w:cs="Arial"/>
          <w:sz w:val="20"/>
          <w:szCs w:val="20"/>
        </w:rPr>
      </w:pPr>
    </w:p>
    <w:tbl>
      <w:tblPr>
        <w:tblStyle w:val="Tabelacomgrade"/>
        <w:tblW w:w="8988" w:type="dxa"/>
        <w:tblLook w:val="04A0" w:firstRow="1" w:lastRow="0" w:firstColumn="1" w:lastColumn="0" w:noHBand="0" w:noVBand="1"/>
      </w:tblPr>
      <w:tblGrid>
        <w:gridCol w:w="1796"/>
        <w:gridCol w:w="1798"/>
        <w:gridCol w:w="1798"/>
        <w:gridCol w:w="1798"/>
        <w:gridCol w:w="1798"/>
      </w:tblGrid>
      <w:tr w:rsidR="004339FE" w:rsidRPr="00B64175" w14:paraId="20CF2F3D" w14:textId="77777777" w:rsidTr="00283F69">
        <w:trPr>
          <w:trHeight w:val="573"/>
        </w:trPr>
        <w:tc>
          <w:tcPr>
            <w:tcW w:w="1796" w:type="dxa"/>
          </w:tcPr>
          <w:p w14:paraId="030C3FFA" w14:textId="77777777" w:rsidR="004339FE" w:rsidRPr="00B64175" w:rsidRDefault="004339FE" w:rsidP="00283F69">
            <w:pPr>
              <w:autoSpaceDE w:val="0"/>
              <w:autoSpaceDN w:val="0"/>
              <w:adjustRightInd w:val="0"/>
              <w:jc w:val="both"/>
              <w:rPr>
                <w:rFonts w:ascii="Arial" w:hAnsi="Arial" w:cs="Arial"/>
                <w:sz w:val="20"/>
                <w:szCs w:val="20"/>
              </w:rPr>
            </w:pPr>
          </w:p>
          <w:p w14:paraId="07FF13BE"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Idade</w:t>
            </w:r>
          </w:p>
        </w:tc>
        <w:tc>
          <w:tcPr>
            <w:tcW w:w="1798" w:type="dxa"/>
          </w:tcPr>
          <w:p w14:paraId="5FA52329"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Germes prováveis</w:t>
            </w:r>
          </w:p>
        </w:tc>
        <w:tc>
          <w:tcPr>
            <w:tcW w:w="1798" w:type="dxa"/>
          </w:tcPr>
          <w:p w14:paraId="5D42C323" w14:textId="77777777" w:rsidR="004339FE" w:rsidRPr="00B64175" w:rsidRDefault="004339FE" w:rsidP="00283F69">
            <w:pPr>
              <w:autoSpaceDE w:val="0"/>
              <w:autoSpaceDN w:val="0"/>
              <w:adjustRightInd w:val="0"/>
              <w:jc w:val="both"/>
              <w:rPr>
                <w:rFonts w:ascii="Arial" w:hAnsi="Arial" w:cs="Arial"/>
                <w:sz w:val="20"/>
                <w:szCs w:val="20"/>
              </w:rPr>
            </w:pPr>
          </w:p>
          <w:p w14:paraId="6544EBCE"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Antibiótico</w:t>
            </w:r>
          </w:p>
        </w:tc>
        <w:tc>
          <w:tcPr>
            <w:tcW w:w="1798" w:type="dxa"/>
          </w:tcPr>
          <w:p w14:paraId="201732BA"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Dose (mg/Kg/dia)</w:t>
            </w:r>
          </w:p>
        </w:tc>
        <w:tc>
          <w:tcPr>
            <w:tcW w:w="1798" w:type="dxa"/>
          </w:tcPr>
          <w:p w14:paraId="3501CAD5" w14:textId="77777777" w:rsidR="004339FE" w:rsidRPr="00B64175" w:rsidRDefault="004339FE" w:rsidP="00283F69">
            <w:pPr>
              <w:autoSpaceDE w:val="0"/>
              <w:autoSpaceDN w:val="0"/>
              <w:adjustRightInd w:val="0"/>
              <w:rPr>
                <w:rFonts w:ascii="Arial" w:hAnsi="Arial" w:cs="Arial"/>
                <w:sz w:val="20"/>
                <w:szCs w:val="20"/>
              </w:rPr>
            </w:pPr>
            <w:r w:rsidRPr="00B64175">
              <w:rPr>
                <w:rFonts w:ascii="Arial" w:hAnsi="Arial" w:cs="Arial"/>
                <w:sz w:val="20"/>
                <w:szCs w:val="20"/>
              </w:rPr>
              <w:t>Número de doses/dia</w:t>
            </w:r>
          </w:p>
        </w:tc>
      </w:tr>
      <w:tr w:rsidR="004339FE" w:rsidRPr="00B64175" w14:paraId="01634737" w14:textId="77777777" w:rsidTr="00283F69">
        <w:trPr>
          <w:trHeight w:val="609"/>
        </w:trPr>
        <w:tc>
          <w:tcPr>
            <w:tcW w:w="1796" w:type="dxa"/>
          </w:tcPr>
          <w:p w14:paraId="4753F32D" w14:textId="77777777" w:rsidR="004339FE" w:rsidRPr="00B64175" w:rsidRDefault="004339FE" w:rsidP="00283F69">
            <w:pPr>
              <w:autoSpaceDE w:val="0"/>
              <w:autoSpaceDN w:val="0"/>
              <w:adjustRightInd w:val="0"/>
              <w:jc w:val="both"/>
              <w:rPr>
                <w:rFonts w:ascii="Arial" w:hAnsi="Arial" w:cs="Arial"/>
                <w:sz w:val="20"/>
                <w:szCs w:val="20"/>
              </w:rPr>
            </w:pPr>
          </w:p>
          <w:p w14:paraId="7AA4F224"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Neonato</w:t>
            </w:r>
          </w:p>
        </w:tc>
        <w:tc>
          <w:tcPr>
            <w:tcW w:w="1798" w:type="dxa"/>
          </w:tcPr>
          <w:p w14:paraId="24EA4564" w14:textId="77777777" w:rsidR="004339FE" w:rsidRPr="00B64175" w:rsidRDefault="004339FE" w:rsidP="00283F69">
            <w:pPr>
              <w:autoSpaceDE w:val="0"/>
              <w:autoSpaceDN w:val="0"/>
              <w:adjustRightInd w:val="0"/>
              <w:rPr>
                <w:rFonts w:ascii="Arial" w:hAnsi="Arial" w:cs="Arial"/>
                <w:sz w:val="20"/>
                <w:szCs w:val="20"/>
              </w:rPr>
            </w:pPr>
            <w:r w:rsidRPr="00B64175">
              <w:rPr>
                <w:rFonts w:ascii="Arial" w:hAnsi="Arial" w:cs="Arial"/>
                <w:sz w:val="20"/>
                <w:szCs w:val="20"/>
              </w:rPr>
              <w:t xml:space="preserve">Estreptococo B </w:t>
            </w:r>
            <w:proofErr w:type="spellStart"/>
            <w:r w:rsidRPr="00B64175">
              <w:rPr>
                <w:rFonts w:ascii="Arial" w:hAnsi="Arial" w:cs="Arial"/>
                <w:sz w:val="20"/>
                <w:szCs w:val="20"/>
              </w:rPr>
              <w:t>Estafilo</w:t>
            </w:r>
            <w:proofErr w:type="spellEnd"/>
            <w:r w:rsidRPr="00B64175">
              <w:rPr>
                <w:rFonts w:ascii="Arial" w:hAnsi="Arial" w:cs="Arial"/>
                <w:sz w:val="20"/>
                <w:szCs w:val="20"/>
              </w:rPr>
              <w:t xml:space="preserve"> aureus Enterobactérias</w:t>
            </w:r>
          </w:p>
        </w:tc>
        <w:tc>
          <w:tcPr>
            <w:tcW w:w="1798" w:type="dxa"/>
          </w:tcPr>
          <w:p w14:paraId="4A74DFF9"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Oxacilina</w:t>
            </w:r>
            <w:proofErr w:type="spellEnd"/>
            <w:r w:rsidRPr="00B64175">
              <w:rPr>
                <w:rFonts w:ascii="Arial" w:hAnsi="Arial" w:cs="Arial"/>
                <w:sz w:val="20"/>
                <w:szCs w:val="20"/>
              </w:rPr>
              <w:t xml:space="preserve"> +</w:t>
            </w:r>
          </w:p>
          <w:p w14:paraId="00C13AB6"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Cefotaxima</w:t>
            </w:r>
            <w:proofErr w:type="spellEnd"/>
            <w:r w:rsidRPr="00B64175">
              <w:rPr>
                <w:rFonts w:ascii="Arial" w:hAnsi="Arial" w:cs="Arial"/>
                <w:sz w:val="20"/>
                <w:szCs w:val="20"/>
              </w:rPr>
              <w:t xml:space="preserve"> ou </w:t>
            </w:r>
            <w:proofErr w:type="spellStart"/>
            <w:r w:rsidRPr="00B64175">
              <w:rPr>
                <w:rFonts w:ascii="Arial" w:hAnsi="Arial" w:cs="Arial"/>
                <w:sz w:val="20"/>
                <w:szCs w:val="20"/>
              </w:rPr>
              <w:t>Ceftriaxona</w:t>
            </w:r>
            <w:proofErr w:type="spellEnd"/>
          </w:p>
        </w:tc>
        <w:tc>
          <w:tcPr>
            <w:tcW w:w="1798" w:type="dxa"/>
          </w:tcPr>
          <w:p w14:paraId="0FF61723"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p w14:paraId="6EE243F9"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150</w:t>
            </w:r>
          </w:p>
          <w:p w14:paraId="79569DE1"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75-100</w:t>
            </w:r>
          </w:p>
        </w:tc>
        <w:tc>
          <w:tcPr>
            <w:tcW w:w="1798" w:type="dxa"/>
          </w:tcPr>
          <w:p w14:paraId="0AF3B10F"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41DC4AB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3</w:t>
            </w:r>
          </w:p>
          <w:p w14:paraId="3B2B2626"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w:t>
            </w:r>
          </w:p>
        </w:tc>
      </w:tr>
      <w:tr w:rsidR="004339FE" w:rsidRPr="00B64175" w14:paraId="0B7EC54C" w14:textId="77777777" w:rsidTr="00283F69">
        <w:trPr>
          <w:trHeight w:val="573"/>
        </w:trPr>
        <w:tc>
          <w:tcPr>
            <w:tcW w:w="1796" w:type="dxa"/>
          </w:tcPr>
          <w:p w14:paraId="58AFC06D" w14:textId="77777777" w:rsidR="004339FE" w:rsidRPr="00B64175" w:rsidRDefault="004339FE" w:rsidP="00283F69">
            <w:pPr>
              <w:autoSpaceDE w:val="0"/>
              <w:autoSpaceDN w:val="0"/>
              <w:adjustRightInd w:val="0"/>
              <w:jc w:val="both"/>
              <w:rPr>
                <w:rFonts w:ascii="Arial" w:hAnsi="Arial" w:cs="Arial"/>
                <w:sz w:val="20"/>
                <w:szCs w:val="20"/>
              </w:rPr>
            </w:pPr>
          </w:p>
          <w:p w14:paraId="6975FF5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&lt; 5 anos</w:t>
            </w:r>
          </w:p>
        </w:tc>
        <w:tc>
          <w:tcPr>
            <w:tcW w:w="1798" w:type="dxa"/>
          </w:tcPr>
          <w:p w14:paraId="6ED0DD67" w14:textId="77777777" w:rsidR="004339FE" w:rsidRPr="00B64175" w:rsidRDefault="004339FE" w:rsidP="00283F69">
            <w:pPr>
              <w:autoSpaceDE w:val="0"/>
              <w:autoSpaceDN w:val="0"/>
              <w:adjustRightInd w:val="0"/>
              <w:jc w:val="both"/>
              <w:rPr>
                <w:rFonts w:ascii="Arial" w:hAnsi="Arial" w:cs="Arial"/>
                <w:sz w:val="20"/>
                <w:szCs w:val="20"/>
              </w:rPr>
            </w:pPr>
            <w:proofErr w:type="spellStart"/>
            <w:r w:rsidRPr="00B64175">
              <w:rPr>
                <w:rFonts w:ascii="Arial" w:hAnsi="Arial" w:cs="Arial"/>
                <w:sz w:val="20"/>
                <w:szCs w:val="20"/>
              </w:rPr>
              <w:t>Estafilo</w:t>
            </w:r>
            <w:proofErr w:type="spellEnd"/>
            <w:r w:rsidRPr="00B64175">
              <w:rPr>
                <w:rFonts w:ascii="Arial" w:hAnsi="Arial" w:cs="Arial"/>
                <w:sz w:val="20"/>
                <w:szCs w:val="20"/>
              </w:rPr>
              <w:t xml:space="preserve"> aureus</w:t>
            </w:r>
          </w:p>
          <w:p w14:paraId="5DCAB8D8" w14:textId="77777777" w:rsidR="004339FE" w:rsidRPr="00B64175" w:rsidRDefault="004339FE" w:rsidP="00283F69">
            <w:pPr>
              <w:autoSpaceDE w:val="0"/>
              <w:autoSpaceDN w:val="0"/>
              <w:adjustRightInd w:val="0"/>
              <w:jc w:val="both"/>
              <w:rPr>
                <w:rFonts w:ascii="Arial" w:hAnsi="Arial" w:cs="Arial"/>
                <w:sz w:val="20"/>
                <w:szCs w:val="20"/>
              </w:rPr>
            </w:pPr>
            <w:proofErr w:type="spellStart"/>
            <w:r w:rsidRPr="00B64175">
              <w:rPr>
                <w:rFonts w:ascii="Arial" w:hAnsi="Arial" w:cs="Arial"/>
                <w:sz w:val="20"/>
                <w:szCs w:val="20"/>
              </w:rPr>
              <w:t>Estrepto</w:t>
            </w:r>
            <w:proofErr w:type="spellEnd"/>
            <w:r w:rsidRPr="00B64175">
              <w:rPr>
                <w:rFonts w:ascii="Arial" w:hAnsi="Arial" w:cs="Arial"/>
                <w:sz w:val="20"/>
                <w:szCs w:val="20"/>
              </w:rPr>
              <w:t xml:space="preserve"> grupo A</w:t>
            </w:r>
          </w:p>
          <w:p w14:paraId="45221D3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Pneumococo</w:t>
            </w:r>
          </w:p>
          <w:p w14:paraId="48C6E220" w14:textId="77777777" w:rsidR="004339FE" w:rsidRPr="00B64175" w:rsidRDefault="004339FE" w:rsidP="00283F69">
            <w:pPr>
              <w:autoSpaceDE w:val="0"/>
              <w:autoSpaceDN w:val="0"/>
              <w:adjustRightInd w:val="0"/>
              <w:jc w:val="both"/>
              <w:rPr>
                <w:rFonts w:ascii="Arial" w:hAnsi="Arial" w:cs="Arial"/>
                <w:sz w:val="20"/>
                <w:szCs w:val="20"/>
              </w:rPr>
            </w:pPr>
            <w:proofErr w:type="spellStart"/>
            <w:r w:rsidRPr="00B64175">
              <w:rPr>
                <w:rFonts w:ascii="Arial" w:hAnsi="Arial" w:cs="Arial"/>
                <w:sz w:val="20"/>
                <w:szCs w:val="20"/>
              </w:rPr>
              <w:t>Hemófilo</w:t>
            </w:r>
            <w:proofErr w:type="spellEnd"/>
          </w:p>
        </w:tc>
        <w:tc>
          <w:tcPr>
            <w:tcW w:w="1798" w:type="dxa"/>
          </w:tcPr>
          <w:p w14:paraId="10DDD319"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Oxacilina</w:t>
            </w:r>
            <w:proofErr w:type="spellEnd"/>
            <w:r w:rsidRPr="00B64175">
              <w:rPr>
                <w:rFonts w:ascii="Arial" w:hAnsi="Arial" w:cs="Arial"/>
                <w:sz w:val="20"/>
                <w:szCs w:val="20"/>
              </w:rPr>
              <w:t xml:space="preserve"> +</w:t>
            </w:r>
          </w:p>
          <w:p w14:paraId="28F82805"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Cefotaxima</w:t>
            </w:r>
            <w:proofErr w:type="spellEnd"/>
            <w:r w:rsidRPr="00B64175">
              <w:rPr>
                <w:rFonts w:ascii="Arial" w:hAnsi="Arial" w:cs="Arial"/>
                <w:sz w:val="20"/>
                <w:szCs w:val="20"/>
              </w:rPr>
              <w:t xml:space="preserve"> ou </w:t>
            </w:r>
            <w:proofErr w:type="spellStart"/>
            <w:r w:rsidRPr="00B64175">
              <w:rPr>
                <w:rFonts w:ascii="Arial" w:hAnsi="Arial" w:cs="Arial"/>
                <w:sz w:val="20"/>
                <w:szCs w:val="20"/>
              </w:rPr>
              <w:t>Ceftriaxona</w:t>
            </w:r>
            <w:proofErr w:type="spellEnd"/>
          </w:p>
        </w:tc>
        <w:tc>
          <w:tcPr>
            <w:tcW w:w="1798" w:type="dxa"/>
          </w:tcPr>
          <w:p w14:paraId="53241BA9"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p w14:paraId="2B46060D"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150</w:t>
            </w:r>
          </w:p>
          <w:p w14:paraId="3862EA8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75-100</w:t>
            </w:r>
          </w:p>
        </w:tc>
        <w:tc>
          <w:tcPr>
            <w:tcW w:w="1798" w:type="dxa"/>
          </w:tcPr>
          <w:p w14:paraId="45CC13A9"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411B1356"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3</w:t>
            </w:r>
          </w:p>
          <w:p w14:paraId="46C19505"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w:t>
            </w:r>
          </w:p>
        </w:tc>
      </w:tr>
      <w:tr w:rsidR="004339FE" w:rsidRPr="00B64175" w14:paraId="3633F7C3" w14:textId="77777777" w:rsidTr="00283F69">
        <w:trPr>
          <w:trHeight w:val="609"/>
        </w:trPr>
        <w:tc>
          <w:tcPr>
            <w:tcW w:w="1796" w:type="dxa"/>
          </w:tcPr>
          <w:p w14:paraId="1963BE57" w14:textId="77777777" w:rsidR="004339FE" w:rsidRPr="00B64175" w:rsidRDefault="004339FE" w:rsidP="00283F69">
            <w:pPr>
              <w:autoSpaceDE w:val="0"/>
              <w:autoSpaceDN w:val="0"/>
              <w:adjustRightInd w:val="0"/>
              <w:jc w:val="both"/>
              <w:rPr>
                <w:rFonts w:ascii="Arial" w:hAnsi="Arial" w:cs="Arial"/>
                <w:sz w:val="20"/>
                <w:szCs w:val="20"/>
              </w:rPr>
            </w:pPr>
          </w:p>
          <w:p w14:paraId="2289DF4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&gt; 5anos</w:t>
            </w:r>
          </w:p>
        </w:tc>
        <w:tc>
          <w:tcPr>
            <w:tcW w:w="1798" w:type="dxa"/>
          </w:tcPr>
          <w:p w14:paraId="1E469DAD" w14:textId="77777777" w:rsidR="004339FE" w:rsidRPr="00B64175" w:rsidRDefault="004339FE" w:rsidP="00283F69">
            <w:pPr>
              <w:autoSpaceDE w:val="0"/>
              <w:autoSpaceDN w:val="0"/>
              <w:adjustRightInd w:val="0"/>
              <w:jc w:val="both"/>
              <w:rPr>
                <w:rFonts w:ascii="Arial" w:hAnsi="Arial" w:cs="Arial"/>
                <w:sz w:val="20"/>
                <w:szCs w:val="20"/>
              </w:rPr>
            </w:pPr>
            <w:proofErr w:type="spellStart"/>
            <w:r w:rsidRPr="00B64175">
              <w:rPr>
                <w:rFonts w:ascii="Arial" w:hAnsi="Arial" w:cs="Arial"/>
                <w:sz w:val="20"/>
                <w:szCs w:val="20"/>
              </w:rPr>
              <w:t>Estrepto</w:t>
            </w:r>
            <w:proofErr w:type="spellEnd"/>
            <w:r w:rsidRPr="00B64175">
              <w:rPr>
                <w:rFonts w:ascii="Arial" w:hAnsi="Arial" w:cs="Arial"/>
                <w:sz w:val="20"/>
                <w:szCs w:val="20"/>
              </w:rPr>
              <w:t xml:space="preserve"> grupo A</w:t>
            </w:r>
          </w:p>
          <w:p w14:paraId="161BC041" w14:textId="77777777" w:rsidR="004339FE" w:rsidRPr="00B64175" w:rsidRDefault="004339FE" w:rsidP="00283F69">
            <w:pPr>
              <w:autoSpaceDE w:val="0"/>
              <w:autoSpaceDN w:val="0"/>
              <w:adjustRightInd w:val="0"/>
              <w:jc w:val="both"/>
              <w:rPr>
                <w:rFonts w:ascii="Arial" w:hAnsi="Arial" w:cs="Arial"/>
                <w:sz w:val="20"/>
                <w:szCs w:val="20"/>
              </w:rPr>
            </w:pPr>
            <w:proofErr w:type="spellStart"/>
            <w:r w:rsidRPr="00B64175">
              <w:rPr>
                <w:rFonts w:ascii="Arial" w:hAnsi="Arial" w:cs="Arial"/>
                <w:sz w:val="20"/>
                <w:szCs w:val="20"/>
              </w:rPr>
              <w:t>Estafilo</w:t>
            </w:r>
            <w:proofErr w:type="spellEnd"/>
            <w:r w:rsidRPr="00B64175">
              <w:rPr>
                <w:rFonts w:ascii="Arial" w:hAnsi="Arial" w:cs="Arial"/>
                <w:sz w:val="20"/>
                <w:szCs w:val="20"/>
              </w:rPr>
              <w:t xml:space="preserve"> aureus</w:t>
            </w:r>
          </w:p>
        </w:tc>
        <w:tc>
          <w:tcPr>
            <w:tcW w:w="1798" w:type="dxa"/>
          </w:tcPr>
          <w:p w14:paraId="41AB3F40"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Oxacilina</w:t>
            </w:r>
            <w:proofErr w:type="spellEnd"/>
            <w:r w:rsidRPr="00B64175">
              <w:rPr>
                <w:rFonts w:ascii="Arial" w:hAnsi="Arial" w:cs="Arial"/>
                <w:sz w:val="20"/>
                <w:szCs w:val="20"/>
              </w:rPr>
              <w:t xml:space="preserve"> ou Clindamicina ou </w:t>
            </w:r>
            <w:proofErr w:type="spellStart"/>
            <w:r w:rsidRPr="00B64175">
              <w:rPr>
                <w:rFonts w:ascii="Arial" w:hAnsi="Arial" w:cs="Arial"/>
                <w:sz w:val="20"/>
                <w:szCs w:val="20"/>
              </w:rPr>
              <w:t>Cefazolina</w:t>
            </w:r>
            <w:proofErr w:type="spellEnd"/>
          </w:p>
        </w:tc>
        <w:tc>
          <w:tcPr>
            <w:tcW w:w="1798" w:type="dxa"/>
          </w:tcPr>
          <w:p w14:paraId="61A65895"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p w14:paraId="45A14045"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20-40</w:t>
            </w:r>
          </w:p>
          <w:p w14:paraId="562B5F5F"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tc>
        <w:tc>
          <w:tcPr>
            <w:tcW w:w="1798" w:type="dxa"/>
          </w:tcPr>
          <w:p w14:paraId="58F6A43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0906B09E"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3 ou 4</w:t>
            </w:r>
          </w:p>
          <w:p w14:paraId="60B260AF"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tc>
      </w:tr>
      <w:tr w:rsidR="004339FE" w:rsidRPr="00B64175" w14:paraId="4ADB9609" w14:textId="77777777" w:rsidTr="00283F69">
        <w:trPr>
          <w:trHeight w:val="573"/>
        </w:trPr>
        <w:tc>
          <w:tcPr>
            <w:tcW w:w="1796" w:type="dxa"/>
          </w:tcPr>
          <w:p w14:paraId="02B4B3AF" w14:textId="77777777" w:rsidR="004339FE" w:rsidRPr="00B64175" w:rsidRDefault="004339FE" w:rsidP="00283F69">
            <w:pPr>
              <w:autoSpaceDE w:val="0"/>
              <w:autoSpaceDN w:val="0"/>
              <w:adjustRightInd w:val="0"/>
              <w:jc w:val="both"/>
              <w:rPr>
                <w:rFonts w:ascii="Arial" w:hAnsi="Arial" w:cs="Arial"/>
                <w:sz w:val="20"/>
                <w:szCs w:val="20"/>
              </w:rPr>
            </w:pPr>
          </w:p>
          <w:p w14:paraId="695DEAC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Adolescentes</w:t>
            </w:r>
          </w:p>
        </w:tc>
        <w:tc>
          <w:tcPr>
            <w:tcW w:w="1798" w:type="dxa"/>
          </w:tcPr>
          <w:p w14:paraId="5303F86F"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 xml:space="preserve">Organismos anteriores </w:t>
            </w:r>
          </w:p>
          <w:p w14:paraId="5A5E90A4" w14:textId="77777777" w:rsidR="004339FE" w:rsidRPr="00B64175" w:rsidRDefault="004339FE" w:rsidP="00283F69">
            <w:pPr>
              <w:autoSpaceDE w:val="0"/>
              <w:autoSpaceDN w:val="0"/>
              <w:adjustRightInd w:val="0"/>
              <w:jc w:val="both"/>
              <w:rPr>
                <w:rFonts w:ascii="Arial" w:hAnsi="Arial" w:cs="Arial"/>
                <w:sz w:val="20"/>
                <w:szCs w:val="20"/>
              </w:rPr>
            </w:pPr>
          </w:p>
          <w:p w14:paraId="78DFC701"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Gonococo</w:t>
            </w:r>
          </w:p>
        </w:tc>
        <w:tc>
          <w:tcPr>
            <w:tcW w:w="1798" w:type="dxa"/>
          </w:tcPr>
          <w:p w14:paraId="3BE272FD"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Oxacilina</w:t>
            </w:r>
            <w:proofErr w:type="spellEnd"/>
            <w:r w:rsidRPr="00B64175">
              <w:rPr>
                <w:rFonts w:ascii="Arial" w:hAnsi="Arial" w:cs="Arial"/>
                <w:sz w:val="20"/>
                <w:szCs w:val="20"/>
              </w:rPr>
              <w:t xml:space="preserve"> ou Clindamicina ou </w:t>
            </w:r>
            <w:proofErr w:type="spellStart"/>
            <w:r w:rsidRPr="00B64175">
              <w:rPr>
                <w:rFonts w:ascii="Arial" w:hAnsi="Arial" w:cs="Arial"/>
                <w:sz w:val="20"/>
                <w:szCs w:val="20"/>
              </w:rPr>
              <w:t>Cefazolina</w:t>
            </w:r>
            <w:proofErr w:type="spellEnd"/>
          </w:p>
          <w:p w14:paraId="79623709" w14:textId="77777777" w:rsidR="004339FE" w:rsidRPr="00B64175" w:rsidRDefault="004339FE" w:rsidP="00283F69">
            <w:pPr>
              <w:autoSpaceDE w:val="0"/>
              <w:autoSpaceDN w:val="0"/>
              <w:adjustRightInd w:val="0"/>
              <w:rPr>
                <w:rFonts w:ascii="Arial" w:hAnsi="Arial" w:cs="Arial"/>
                <w:sz w:val="20"/>
                <w:szCs w:val="20"/>
              </w:rPr>
            </w:pPr>
            <w:proofErr w:type="spellStart"/>
            <w:r w:rsidRPr="00B64175">
              <w:rPr>
                <w:rFonts w:ascii="Arial" w:hAnsi="Arial" w:cs="Arial"/>
                <w:sz w:val="20"/>
                <w:szCs w:val="20"/>
              </w:rPr>
              <w:t>Ceftriaxona</w:t>
            </w:r>
            <w:proofErr w:type="spellEnd"/>
          </w:p>
        </w:tc>
        <w:tc>
          <w:tcPr>
            <w:tcW w:w="1798" w:type="dxa"/>
          </w:tcPr>
          <w:p w14:paraId="47E66063"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p w14:paraId="6C0C833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20-40</w:t>
            </w:r>
          </w:p>
          <w:p w14:paraId="3712B93C"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100</w:t>
            </w:r>
          </w:p>
          <w:p w14:paraId="64590E2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75-100</w:t>
            </w:r>
          </w:p>
        </w:tc>
        <w:tc>
          <w:tcPr>
            <w:tcW w:w="1798" w:type="dxa"/>
          </w:tcPr>
          <w:p w14:paraId="4780184D"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183115AC"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3 ou 4</w:t>
            </w:r>
          </w:p>
          <w:p w14:paraId="2E1916D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138E0828"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1</w:t>
            </w:r>
          </w:p>
        </w:tc>
      </w:tr>
      <w:tr w:rsidR="004339FE" w:rsidRPr="00B64175" w14:paraId="4573EE55" w14:textId="77777777" w:rsidTr="00283F69">
        <w:trPr>
          <w:trHeight w:val="645"/>
        </w:trPr>
        <w:tc>
          <w:tcPr>
            <w:tcW w:w="1796" w:type="dxa"/>
          </w:tcPr>
          <w:p w14:paraId="6517B740" w14:textId="77777777" w:rsidR="004339FE" w:rsidRPr="00B64175" w:rsidRDefault="004339FE" w:rsidP="00283F69">
            <w:pPr>
              <w:autoSpaceDE w:val="0"/>
              <w:autoSpaceDN w:val="0"/>
              <w:adjustRightInd w:val="0"/>
              <w:jc w:val="both"/>
              <w:rPr>
                <w:rFonts w:ascii="Arial" w:hAnsi="Arial" w:cs="Arial"/>
                <w:sz w:val="20"/>
                <w:szCs w:val="20"/>
              </w:rPr>
            </w:pPr>
          </w:p>
          <w:p w14:paraId="59DE063D"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Antibiótico oral</w:t>
            </w:r>
          </w:p>
        </w:tc>
        <w:tc>
          <w:tcPr>
            <w:tcW w:w="1798" w:type="dxa"/>
          </w:tcPr>
          <w:p w14:paraId="35A232E5" w14:textId="77777777" w:rsidR="004339FE" w:rsidRPr="00B64175" w:rsidRDefault="004339FE" w:rsidP="00283F69">
            <w:pPr>
              <w:autoSpaceDE w:val="0"/>
              <w:autoSpaceDN w:val="0"/>
              <w:adjustRightInd w:val="0"/>
              <w:jc w:val="both"/>
              <w:rPr>
                <w:rFonts w:ascii="Arial" w:hAnsi="Arial" w:cs="Arial"/>
                <w:sz w:val="20"/>
                <w:szCs w:val="20"/>
              </w:rPr>
            </w:pPr>
          </w:p>
        </w:tc>
        <w:tc>
          <w:tcPr>
            <w:tcW w:w="1798" w:type="dxa"/>
          </w:tcPr>
          <w:p w14:paraId="2A8741C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Cefalexina ou</w:t>
            </w:r>
          </w:p>
          <w:p w14:paraId="21F326D1"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Clindamicina</w:t>
            </w:r>
          </w:p>
        </w:tc>
        <w:tc>
          <w:tcPr>
            <w:tcW w:w="1798" w:type="dxa"/>
          </w:tcPr>
          <w:p w14:paraId="0824EA42"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75-100</w:t>
            </w:r>
          </w:p>
          <w:p w14:paraId="0B3BA0A6"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20-40</w:t>
            </w:r>
          </w:p>
        </w:tc>
        <w:tc>
          <w:tcPr>
            <w:tcW w:w="1798" w:type="dxa"/>
          </w:tcPr>
          <w:p w14:paraId="098EBC67"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4</w:t>
            </w:r>
          </w:p>
          <w:p w14:paraId="43DE6275" w14:textId="77777777" w:rsidR="004339FE" w:rsidRPr="00B64175" w:rsidRDefault="004339FE" w:rsidP="00283F69">
            <w:pPr>
              <w:autoSpaceDE w:val="0"/>
              <w:autoSpaceDN w:val="0"/>
              <w:adjustRightInd w:val="0"/>
              <w:jc w:val="both"/>
              <w:rPr>
                <w:rFonts w:ascii="Arial" w:hAnsi="Arial" w:cs="Arial"/>
                <w:sz w:val="20"/>
                <w:szCs w:val="20"/>
              </w:rPr>
            </w:pPr>
            <w:r w:rsidRPr="00B64175">
              <w:rPr>
                <w:rFonts w:ascii="Arial" w:hAnsi="Arial" w:cs="Arial"/>
                <w:sz w:val="20"/>
                <w:szCs w:val="20"/>
              </w:rPr>
              <w:t>3 ou 4</w:t>
            </w:r>
          </w:p>
        </w:tc>
      </w:tr>
    </w:tbl>
    <w:p w14:paraId="0B8B05D4" w14:textId="77777777" w:rsidR="004339FE" w:rsidRPr="00B64175" w:rsidRDefault="004339FE" w:rsidP="004339FE">
      <w:pPr>
        <w:autoSpaceDE w:val="0"/>
        <w:autoSpaceDN w:val="0"/>
        <w:adjustRightInd w:val="0"/>
        <w:spacing w:after="0" w:line="240" w:lineRule="auto"/>
        <w:jc w:val="both"/>
        <w:rPr>
          <w:rFonts w:ascii="Arial" w:hAnsi="Arial" w:cs="Arial"/>
          <w:sz w:val="20"/>
          <w:szCs w:val="20"/>
        </w:rPr>
      </w:pPr>
    </w:p>
    <w:p w14:paraId="6F6B4C69" w14:textId="77777777" w:rsidR="004339FE" w:rsidRPr="00B64175" w:rsidRDefault="004339FE" w:rsidP="004339FE">
      <w:pPr>
        <w:autoSpaceDE w:val="0"/>
        <w:autoSpaceDN w:val="0"/>
        <w:adjustRightInd w:val="0"/>
        <w:spacing w:after="0" w:line="240" w:lineRule="auto"/>
        <w:jc w:val="both"/>
        <w:rPr>
          <w:rFonts w:ascii="Arial" w:hAnsi="Arial" w:cs="Arial"/>
          <w:sz w:val="20"/>
          <w:szCs w:val="20"/>
        </w:rPr>
      </w:pPr>
    </w:p>
    <w:p w14:paraId="025F5368" w14:textId="77777777" w:rsidR="004339FE" w:rsidRPr="00B02867" w:rsidRDefault="004339FE" w:rsidP="00B02867">
      <w:pPr>
        <w:pStyle w:val="PargrafodaLista"/>
        <w:numPr>
          <w:ilvl w:val="0"/>
          <w:numId w:val="2"/>
        </w:numPr>
        <w:jc w:val="both"/>
        <w:rPr>
          <w:rFonts w:ascii="Arial" w:hAnsi="Arial" w:cs="Arial"/>
          <w:b/>
          <w:sz w:val="24"/>
          <w:szCs w:val="24"/>
        </w:rPr>
      </w:pPr>
      <w:r w:rsidRPr="00B02867">
        <w:rPr>
          <w:rFonts w:ascii="Arial" w:hAnsi="Arial" w:cs="Arial"/>
          <w:b/>
          <w:sz w:val="24"/>
          <w:szCs w:val="24"/>
        </w:rPr>
        <w:t xml:space="preserve">Referências </w:t>
      </w:r>
      <w:r w:rsidR="00B02867" w:rsidRPr="00B02867">
        <w:rPr>
          <w:rFonts w:ascii="Arial" w:hAnsi="Arial" w:cs="Arial"/>
          <w:b/>
          <w:sz w:val="24"/>
          <w:szCs w:val="24"/>
        </w:rPr>
        <w:t>Bibliográficas:</w:t>
      </w:r>
    </w:p>
    <w:p w14:paraId="1E0F689E" w14:textId="77777777" w:rsidR="004339FE" w:rsidRPr="00B64175" w:rsidRDefault="004339FE" w:rsidP="004339FE">
      <w:pPr>
        <w:jc w:val="both"/>
        <w:rPr>
          <w:rFonts w:ascii="Arial" w:hAnsi="Arial" w:cs="Arial"/>
          <w:sz w:val="20"/>
          <w:szCs w:val="20"/>
        </w:rPr>
      </w:pPr>
      <w:r w:rsidRPr="00B64175">
        <w:rPr>
          <w:rFonts w:ascii="Arial" w:hAnsi="Arial" w:cs="Arial"/>
          <w:sz w:val="20"/>
          <w:szCs w:val="20"/>
        </w:rPr>
        <w:t xml:space="preserve">1-Moreira Jr. Infecções </w:t>
      </w:r>
      <w:proofErr w:type="spellStart"/>
      <w:r w:rsidRPr="00B64175">
        <w:rPr>
          <w:rFonts w:ascii="Arial" w:hAnsi="Arial" w:cs="Arial"/>
          <w:sz w:val="20"/>
          <w:szCs w:val="20"/>
        </w:rPr>
        <w:t>osteoarticulares</w:t>
      </w:r>
      <w:proofErr w:type="spellEnd"/>
      <w:r w:rsidRPr="00B64175">
        <w:rPr>
          <w:rFonts w:ascii="Arial" w:hAnsi="Arial" w:cs="Arial"/>
          <w:sz w:val="20"/>
          <w:szCs w:val="20"/>
        </w:rPr>
        <w:t xml:space="preserve"> em pediatria, revisão.  Pediatria moderna, </w:t>
      </w:r>
      <w:proofErr w:type="gramStart"/>
      <w:r w:rsidRPr="00B64175">
        <w:rPr>
          <w:rFonts w:ascii="Arial" w:hAnsi="Arial" w:cs="Arial"/>
          <w:sz w:val="20"/>
          <w:szCs w:val="20"/>
        </w:rPr>
        <w:t>Dez</w:t>
      </w:r>
      <w:proofErr w:type="gramEnd"/>
      <w:r w:rsidRPr="00B64175">
        <w:rPr>
          <w:rFonts w:ascii="Arial" w:hAnsi="Arial" w:cs="Arial"/>
          <w:sz w:val="20"/>
          <w:szCs w:val="20"/>
        </w:rPr>
        <w:t xml:space="preserve"> 2014 V50 N12: 560-5.</w:t>
      </w:r>
    </w:p>
    <w:p w14:paraId="502D32D7" w14:textId="77777777" w:rsidR="004339FE" w:rsidRPr="00B64175" w:rsidRDefault="004339FE" w:rsidP="004339FE">
      <w:pPr>
        <w:jc w:val="both"/>
        <w:rPr>
          <w:rFonts w:ascii="Arial" w:eastAsia="CheltenhamStd-Light" w:hAnsi="Arial" w:cs="Arial"/>
          <w:sz w:val="20"/>
          <w:szCs w:val="20"/>
        </w:rPr>
      </w:pPr>
      <w:r w:rsidRPr="00B64175">
        <w:rPr>
          <w:rFonts w:ascii="Arial" w:hAnsi="Arial" w:cs="Arial"/>
          <w:sz w:val="20"/>
          <w:szCs w:val="20"/>
        </w:rPr>
        <w:t>2-</w:t>
      </w:r>
      <w:r w:rsidRPr="00B64175">
        <w:rPr>
          <w:rFonts w:ascii="Arial" w:eastAsia="CheltenhamStd-Light" w:hAnsi="Arial" w:cs="Arial"/>
          <w:sz w:val="20"/>
          <w:szCs w:val="20"/>
        </w:rPr>
        <w:t>Nassif KC e col.</w:t>
      </w:r>
      <w:r w:rsidRPr="00B64175">
        <w:rPr>
          <w:rFonts w:ascii="Arial" w:hAnsi="Arial" w:cs="Arial"/>
          <w:sz w:val="20"/>
          <w:szCs w:val="20"/>
        </w:rPr>
        <w:t xml:space="preserve"> Artrite séptica em pediatria, revisão. </w:t>
      </w:r>
      <w:proofErr w:type="spellStart"/>
      <w:r w:rsidRPr="00B64175">
        <w:rPr>
          <w:rFonts w:ascii="Arial" w:eastAsia="CheltenhamStd-Light" w:hAnsi="Arial" w:cs="Arial"/>
          <w:sz w:val="20"/>
          <w:szCs w:val="20"/>
        </w:rPr>
        <w:t>Rev</w:t>
      </w:r>
      <w:proofErr w:type="spellEnd"/>
      <w:r w:rsidRPr="00B64175">
        <w:rPr>
          <w:rFonts w:ascii="Arial" w:eastAsia="CheltenhamStd-Light" w:hAnsi="Arial" w:cs="Arial"/>
          <w:sz w:val="20"/>
          <w:szCs w:val="20"/>
        </w:rPr>
        <w:t xml:space="preserve"> </w:t>
      </w:r>
      <w:proofErr w:type="spellStart"/>
      <w:r w:rsidRPr="00B64175">
        <w:rPr>
          <w:rFonts w:ascii="Arial" w:eastAsia="CheltenhamStd-Light" w:hAnsi="Arial" w:cs="Arial"/>
          <w:sz w:val="20"/>
          <w:szCs w:val="20"/>
        </w:rPr>
        <w:t>Med</w:t>
      </w:r>
      <w:proofErr w:type="spellEnd"/>
      <w:r w:rsidRPr="00B64175">
        <w:rPr>
          <w:rFonts w:ascii="Arial" w:eastAsia="CheltenhamStd-Light" w:hAnsi="Arial" w:cs="Arial"/>
          <w:sz w:val="20"/>
          <w:szCs w:val="20"/>
        </w:rPr>
        <w:t xml:space="preserve"> Minas Gerais 2009; 19(2 </w:t>
      </w:r>
      <w:proofErr w:type="spellStart"/>
      <w:r w:rsidRPr="00B64175">
        <w:rPr>
          <w:rFonts w:ascii="Arial" w:eastAsia="CheltenhamStd-Light" w:hAnsi="Arial" w:cs="Arial"/>
          <w:sz w:val="20"/>
          <w:szCs w:val="20"/>
        </w:rPr>
        <w:t>Supl</w:t>
      </w:r>
      <w:proofErr w:type="spellEnd"/>
      <w:r w:rsidRPr="00B64175">
        <w:rPr>
          <w:rFonts w:ascii="Arial" w:eastAsia="CheltenhamStd-Light" w:hAnsi="Arial" w:cs="Arial"/>
          <w:sz w:val="20"/>
          <w:szCs w:val="20"/>
        </w:rPr>
        <w:t xml:space="preserve"> 3): S39-S45</w:t>
      </w:r>
    </w:p>
    <w:p w14:paraId="710450D9" w14:textId="77777777" w:rsidR="004339FE" w:rsidRPr="00B64175" w:rsidRDefault="004339FE" w:rsidP="004339FE">
      <w:pPr>
        <w:jc w:val="both"/>
        <w:rPr>
          <w:rFonts w:ascii="Arial" w:hAnsi="Arial" w:cs="Arial"/>
          <w:sz w:val="20"/>
          <w:szCs w:val="20"/>
        </w:rPr>
      </w:pPr>
      <w:r w:rsidRPr="00B64175">
        <w:rPr>
          <w:rFonts w:ascii="Arial" w:eastAsia="CheltenhamStd-Light" w:hAnsi="Arial" w:cs="Arial"/>
          <w:sz w:val="20"/>
          <w:szCs w:val="20"/>
        </w:rPr>
        <w:t>3-</w:t>
      </w:r>
      <w:r w:rsidRPr="00B64175">
        <w:rPr>
          <w:rStyle w:val="Forte"/>
          <w:rFonts w:ascii="Arial" w:hAnsi="Arial" w:cs="Arial"/>
          <w:b w:val="0"/>
          <w:sz w:val="20"/>
          <w:szCs w:val="20"/>
          <w:bdr w:val="none" w:sz="0" w:space="0" w:color="auto" w:frame="1"/>
          <w:shd w:val="clear" w:color="auto" w:fill="FFFFFF"/>
        </w:rPr>
        <w:t xml:space="preserve">Prezzi SH e col. </w:t>
      </w:r>
      <w:r w:rsidRPr="00B64175">
        <w:rPr>
          <w:rFonts w:ascii="Arial" w:hAnsi="Arial" w:cs="Arial"/>
          <w:sz w:val="20"/>
          <w:szCs w:val="20"/>
          <w:shd w:val="clear" w:color="auto" w:fill="FFFFFF"/>
        </w:rPr>
        <w:t>Medicina Interna na Prática Clínica. Porto Alegre: Artmed; 2013.</w:t>
      </w:r>
    </w:p>
    <w:p w14:paraId="54B4AF73" w14:textId="109FAF44" w:rsidR="004339FE" w:rsidRPr="00B02867" w:rsidRDefault="009E4CFC" w:rsidP="009E4CFC">
      <w:pPr>
        <w:rPr>
          <w:rFonts w:ascii="Arial" w:hAnsi="Arial" w:cs="Arial"/>
          <w:sz w:val="20"/>
          <w:szCs w:val="20"/>
        </w:rPr>
      </w:pPr>
      <w:r w:rsidRPr="009E4CFC">
        <w:rPr>
          <w:rFonts w:ascii="Arial" w:hAnsi="Arial" w:cs="Arial"/>
          <w:bCs/>
          <w:sz w:val="20"/>
          <w:szCs w:val="20"/>
        </w:rPr>
        <w:t>Responsáveis pela rotina:</w:t>
      </w:r>
      <w:r w:rsidRPr="009E4CFC">
        <w:rPr>
          <w:rFonts w:ascii="Arial" w:hAnsi="Arial" w:cs="Arial"/>
          <w:sz w:val="20"/>
          <w:szCs w:val="20"/>
        </w:rPr>
        <w:t xml:space="preserve"> </w:t>
      </w:r>
      <w:r w:rsidR="004339FE" w:rsidRPr="009E4CFC">
        <w:rPr>
          <w:rFonts w:ascii="Arial" w:hAnsi="Arial" w:cs="Arial"/>
          <w:sz w:val="20"/>
          <w:szCs w:val="20"/>
        </w:rPr>
        <w:t>Dr</w:t>
      </w:r>
      <w:r w:rsidR="004339FE" w:rsidRPr="00B02867">
        <w:rPr>
          <w:rFonts w:ascii="Arial" w:hAnsi="Arial" w:cs="Arial"/>
          <w:sz w:val="20"/>
          <w:szCs w:val="20"/>
        </w:rPr>
        <w:t>. Fabrício Pereira Madureira</w:t>
      </w:r>
      <w:r>
        <w:rPr>
          <w:rFonts w:ascii="Arial" w:hAnsi="Arial" w:cs="Arial"/>
          <w:sz w:val="20"/>
          <w:szCs w:val="20"/>
        </w:rPr>
        <w:t xml:space="preserve"> e Dra. </w:t>
      </w:r>
      <w:proofErr w:type="spellStart"/>
      <w:r>
        <w:rPr>
          <w:rFonts w:ascii="Arial" w:hAnsi="Arial" w:cs="Arial"/>
          <w:sz w:val="20"/>
          <w:szCs w:val="20"/>
        </w:rPr>
        <w:t>Dania</w:t>
      </w:r>
      <w:proofErr w:type="spellEnd"/>
      <w:r>
        <w:rPr>
          <w:rFonts w:ascii="Arial" w:hAnsi="Arial" w:cs="Arial"/>
          <w:sz w:val="20"/>
          <w:szCs w:val="20"/>
        </w:rPr>
        <w:t xml:space="preserve"> Lemos </w:t>
      </w:r>
      <w:proofErr w:type="spellStart"/>
      <w:r>
        <w:rPr>
          <w:rFonts w:ascii="Arial" w:hAnsi="Arial" w:cs="Arial"/>
          <w:sz w:val="20"/>
          <w:szCs w:val="20"/>
        </w:rPr>
        <w:t>Dionízio</w:t>
      </w:r>
      <w:proofErr w:type="spellEnd"/>
    </w:p>
    <w:p w14:paraId="32BBBFC5" w14:textId="77777777" w:rsidR="004339FE" w:rsidRPr="00B64175" w:rsidRDefault="004339FE" w:rsidP="00B40954">
      <w:pPr>
        <w:rPr>
          <w:rFonts w:ascii="Arial" w:hAnsi="Arial" w:cs="Arial"/>
          <w:sz w:val="20"/>
          <w:szCs w:val="20"/>
        </w:rPr>
      </w:pPr>
    </w:p>
    <w:p w14:paraId="67B8BF1B" w14:textId="77777777" w:rsidR="005F22E3" w:rsidRPr="00B64175" w:rsidRDefault="009E4CFC">
      <w:pPr>
        <w:rPr>
          <w:rFonts w:ascii="Arial" w:hAnsi="Arial" w:cs="Arial"/>
          <w:sz w:val="20"/>
          <w:szCs w:val="20"/>
        </w:rPr>
      </w:pPr>
    </w:p>
    <w:sectPr w:rsidR="005F22E3" w:rsidRPr="00B64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eltenhamStd-Light">
    <w:altName w:val="Arial Unicode MS"/>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5E04"/>
    <w:multiLevelType w:val="hybridMultilevel"/>
    <w:tmpl w:val="FE3CC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FFD72CA"/>
    <w:multiLevelType w:val="hybridMultilevel"/>
    <w:tmpl w:val="A0E62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54"/>
    <w:rsid w:val="002A36A8"/>
    <w:rsid w:val="004339FE"/>
    <w:rsid w:val="006548BF"/>
    <w:rsid w:val="009E4CFC"/>
    <w:rsid w:val="00B02867"/>
    <w:rsid w:val="00B40954"/>
    <w:rsid w:val="00B64175"/>
    <w:rsid w:val="00E94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C557"/>
  <w15:chartTrackingRefBased/>
  <w15:docId w15:val="{2039A4E1-C4DC-4D1C-934D-F76B4A20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5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0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B40954"/>
    <w:rPr>
      <w:b/>
      <w:bCs/>
    </w:rPr>
  </w:style>
  <w:style w:type="paragraph" w:styleId="PargrafodaLista">
    <w:name w:val="List Paragraph"/>
    <w:basedOn w:val="Normal"/>
    <w:uiPriority w:val="34"/>
    <w:qFormat/>
    <w:rsid w:val="00B64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1306</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ROCHANETO</dc:creator>
  <cp:keywords/>
  <dc:description/>
  <cp:lastModifiedBy>RODOLFO ROCHANETO</cp:lastModifiedBy>
  <cp:revision>8</cp:revision>
  <dcterms:created xsi:type="dcterms:W3CDTF">2018-08-02T22:28:00Z</dcterms:created>
  <dcterms:modified xsi:type="dcterms:W3CDTF">2020-05-18T00:30:00Z</dcterms:modified>
</cp:coreProperties>
</file>