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DFD0" w14:textId="06473A0A" w:rsidR="00BA66AD" w:rsidRPr="004A39DD" w:rsidRDefault="004A39DD" w:rsidP="004A39DD">
      <w:p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4A39DD">
        <w:rPr>
          <w:rFonts w:ascii="Arial" w:hAnsi="Arial" w:cs="Arial"/>
          <w:bCs/>
          <w:sz w:val="28"/>
          <w:szCs w:val="28"/>
        </w:rPr>
        <w:t xml:space="preserve">ARTRITES REATIVAS OU REACIONAIS (AR) </w:t>
      </w:r>
    </w:p>
    <w:p w14:paraId="7CF2E5A2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Conceito: ocorrem apenas com dor - artralgia ou apresentando sinais inflamatórios locais como dor, calor, rubor e dificuldade à mobilização da articulação - artrite, que acontecem na vigência ou secundariamente à processos infecciosos ou parasitários à distância, com o </w:t>
      </w:r>
      <w:proofErr w:type="spellStart"/>
      <w:r w:rsidRPr="006B7416">
        <w:rPr>
          <w:rFonts w:ascii="Arial" w:hAnsi="Arial" w:cs="Arial"/>
          <w:sz w:val="20"/>
          <w:szCs w:val="20"/>
        </w:rPr>
        <w:t>microorganismo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ou parasita detectado ou não no foco primário, mas indetectável na articulação, que através de um mecanismo imunológico irá desencadear uma </w:t>
      </w:r>
      <w:proofErr w:type="spellStart"/>
      <w:r w:rsidRPr="006B7416">
        <w:rPr>
          <w:rFonts w:ascii="Arial" w:hAnsi="Arial" w:cs="Arial"/>
          <w:sz w:val="20"/>
          <w:szCs w:val="20"/>
        </w:rPr>
        <w:t>artropatia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inflamatória estéril em indivíduos geneticamente suscetíveis.  </w:t>
      </w:r>
    </w:p>
    <w:p w14:paraId="0D60651A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Aspectos gerais: as AR(s) tem como característica um período de latência variável de 1 semana a 3 meses, podendo ocorrer antes, durante ou após o quadro clínico do processo infeccioso das vias aéreas superiores(VAS) e dos tratos geniturinário e gastrointestinal. Mono, oligo e eventualmente poliartrite de articulações distais podem ocorrer (joelhos e mãos), com sinovite discreta, que num período de 2 a 12 semanas desaparecem sem deixar sequelas. A recorrência pode acontecer, secundária a nova agressão antigênica. Na infância, o agente etiológico é variável de acordo com a faixa etária, sendo as infecções virais de VAS e antígenos vacinais as mais comuns em lactentes e pré-escolares; as </w:t>
      </w:r>
      <w:proofErr w:type="spellStart"/>
      <w:r w:rsidRPr="006B7416">
        <w:rPr>
          <w:rFonts w:ascii="Arial" w:hAnsi="Arial" w:cs="Arial"/>
          <w:sz w:val="20"/>
          <w:szCs w:val="20"/>
        </w:rPr>
        <w:t>enteroinfecções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predominam nos escolares e, nos adolescentes, as infecções genitais por clamídia. </w:t>
      </w:r>
    </w:p>
    <w:p w14:paraId="461343A1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Etiologia:</w:t>
      </w:r>
    </w:p>
    <w:p w14:paraId="6C163F44" w14:textId="77777777" w:rsidR="006B7416" w:rsidRPr="006B7416" w:rsidRDefault="006B7416" w:rsidP="00DE4D8E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C86145B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Bactérias:</w:t>
      </w:r>
    </w:p>
    <w:p w14:paraId="2EC7BC41" w14:textId="77777777" w:rsidR="006B7416" w:rsidRPr="006B7416" w:rsidRDefault="006B7416" w:rsidP="00DE4D8E">
      <w:pPr>
        <w:pStyle w:val="PargrafodaLista"/>
        <w:spacing w:line="276" w:lineRule="auto"/>
        <w:rPr>
          <w:rFonts w:ascii="Arial" w:hAnsi="Arial" w:cs="Arial"/>
          <w:b/>
          <w:sz w:val="20"/>
          <w:szCs w:val="20"/>
        </w:rPr>
      </w:pPr>
    </w:p>
    <w:p w14:paraId="3F8DD13F" w14:textId="77777777" w:rsidR="006B7416" w:rsidRPr="006B7416" w:rsidRDefault="006B7416" w:rsidP="00DE4D8E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EA12A3D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Estreptococo beta-hemolítico do grupo A</w:t>
      </w:r>
    </w:p>
    <w:p w14:paraId="47DE4385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Enterobactérias: </w:t>
      </w:r>
      <w:proofErr w:type="spellStart"/>
      <w:r w:rsidRPr="006B7416">
        <w:rPr>
          <w:rFonts w:ascii="Arial" w:hAnsi="Arial" w:cs="Arial"/>
          <w:sz w:val="20"/>
          <w:szCs w:val="20"/>
        </w:rPr>
        <w:t>Yersinia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7416">
        <w:rPr>
          <w:rFonts w:ascii="Arial" w:hAnsi="Arial" w:cs="Arial"/>
          <w:sz w:val="20"/>
          <w:szCs w:val="20"/>
        </w:rPr>
        <w:t>Campilobacter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7416">
        <w:rPr>
          <w:rFonts w:ascii="Arial" w:hAnsi="Arial" w:cs="Arial"/>
          <w:sz w:val="20"/>
          <w:szCs w:val="20"/>
        </w:rPr>
        <w:t>Shigela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, Salmonela, </w:t>
      </w:r>
      <w:proofErr w:type="spellStart"/>
      <w:r w:rsidRPr="006B7416">
        <w:rPr>
          <w:rFonts w:ascii="Arial" w:hAnsi="Arial" w:cs="Arial"/>
          <w:sz w:val="20"/>
          <w:szCs w:val="20"/>
        </w:rPr>
        <w:t>Klebisiela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, </w:t>
      </w:r>
    </w:p>
    <w:p w14:paraId="34D12B98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Clostridium sp., E. coli, Estreptoc</w:t>
      </w:r>
      <w:r w:rsidR="002111E1" w:rsidRPr="006B7416">
        <w:rPr>
          <w:rFonts w:ascii="Arial" w:hAnsi="Arial" w:cs="Arial"/>
          <w:sz w:val="20"/>
          <w:szCs w:val="20"/>
        </w:rPr>
        <w:t xml:space="preserve">oco sp., Pseudomonas, H. </w:t>
      </w:r>
      <w:proofErr w:type="spellStart"/>
      <w:r w:rsidR="002111E1" w:rsidRPr="006B7416">
        <w:rPr>
          <w:rFonts w:ascii="Arial" w:hAnsi="Arial" w:cs="Arial"/>
          <w:sz w:val="20"/>
          <w:szCs w:val="20"/>
        </w:rPr>
        <w:t>pilori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</w:p>
    <w:p w14:paraId="57823DBC" w14:textId="77777777" w:rsidR="00BA66AD" w:rsidRPr="006B7416" w:rsidRDefault="002111E1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Lactobacilus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sp</w:t>
      </w:r>
      <w:r w:rsidR="00BA66AD" w:rsidRPr="006B7416">
        <w:rPr>
          <w:rFonts w:ascii="Arial" w:hAnsi="Arial" w:cs="Arial"/>
          <w:sz w:val="20"/>
          <w:szCs w:val="20"/>
        </w:rPr>
        <w:t>.</w:t>
      </w:r>
    </w:p>
    <w:p w14:paraId="3A873521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Estafilococo aureus</w:t>
      </w:r>
    </w:p>
    <w:p w14:paraId="700E190A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Hemofilus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influenza</w:t>
      </w:r>
    </w:p>
    <w:p w14:paraId="67E37D9B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Neisseria </w:t>
      </w:r>
      <w:proofErr w:type="spellStart"/>
      <w:r w:rsidRPr="006B7416">
        <w:rPr>
          <w:rFonts w:ascii="Arial" w:hAnsi="Arial" w:cs="Arial"/>
          <w:sz w:val="20"/>
          <w:szCs w:val="20"/>
        </w:rPr>
        <w:t>meningitidis</w:t>
      </w:r>
      <w:proofErr w:type="spellEnd"/>
    </w:p>
    <w:p w14:paraId="1D568F95" w14:textId="77777777" w:rsidR="00BA66AD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Micobacterium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leprae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6B7416">
        <w:rPr>
          <w:rFonts w:ascii="Arial" w:hAnsi="Arial" w:cs="Arial"/>
          <w:sz w:val="20"/>
          <w:szCs w:val="20"/>
        </w:rPr>
        <w:t>tuberculosis</w:t>
      </w:r>
      <w:proofErr w:type="spellEnd"/>
    </w:p>
    <w:p w14:paraId="1CCF0CAA" w14:textId="77777777" w:rsidR="006B7416" w:rsidRPr="006B7416" w:rsidRDefault="006B7416" w:rsidP="00DE4D8E">
      <w:pPr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4E259ED0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7416">
        <w:rPr>
          <w:rFonts w:ascii="Arial" w:hAnsi="Arial" w:cs="Arial"/>
          <w:b/>
          <w:sz w:val="20"/>
          <w:szCs w:val="20"/>
        </w:rPr>
        <w:t>Atípicos:</w:t>
      </w:r>
    </w:p>
    <w:p w14:paraId="144A6F3A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Micoplasma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pneumoniae</w:t>
      </w:r>
      <w:proofErr w:type="spellEnd"/>
    </w:p>
    <w:p w14:paraId="0699B97F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Clamidia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trachomatis</w:t>
      </w:r>
      <w:proofErr w:type="spellEnd"/>
    </w:p>
    <w:p w14:paraId="526E042B" w14:textId="77777777" w:rsidR="00BA66AD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Ureaplasma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urealiticum</w:t>
      </w:r>
      <w:proofErr w:type="spellEnd"/>
    </w:p>
    <w:p w14:paraId="61A2C6F4" w14:textId="77777777" w:rsidR="006B7416" w:rsidRPr="006B7416" w:rsidRDefault="006B7416" w:rsidP="00DE4D8E">
      <w:pPr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B7569B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Vírus:</w:t>
      </w:r>
    </w:p>
    <w:p w14:paraId="60825B96" w14:textId="77777777" w:rsidR="006B7416" w:rsidRPr="006B7416" w:rsidRDefault="006B7416" w:rsidP="00DE4D8E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04007D2F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Rubéola (doença e pós-vacinação</w:t>
      </w:r>
      <w:r w:rsidR="00DE4D8E">
        <w:rPr>
          <w:rFonts w:ascii="Arial" w:hAnsi="Arial" w:cs="Arial"/>
          <w:sz w:val="20"/>
          <w:szCs w:val="20"/>
        </w:rPr>
        <w:t>;</w:t>
      </w:r>
      <w:r w:rsidR="002111E1" w:rsidRPr="006B7416">
        <w:rPr>
          <w:rFonts w:ascii="Arial" w:hAnsi="Arial" w:cs="Arial"/>
          <w:sz w:val="20"/>
          <w:szCs w:val="20"/>
        </w:rPr>
        <w:t>)</w:t>
      </w:r>
    </w:p>
    <w:p w14:paraId="21CF38EF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Caxumba</w:t>
      </w:r>
      <w:r w:rsidR="00DE4D8E">
        <w:rPr>
          <w:rFonts w:ascii="Arial" w:hAnsi="Arial" w:cs="Arial"/>
          <w:sz w:val="20"/>
          <w:szCs w:val="20"/>
        </w:rPr>
        <w:t>;</w:t>
      </w:r>
    </w:p>
    <w:p w14:paraId="25C7FFE5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lastRenderedPageBreak/>
        <w:t>Varicela</w:t>
      </w:r>
      <w:r w:rsidR="00DE4D8E">
        <w:rPr>
          <w:rFonts w:ascii="Arial" w:hAnsi="Arial" w:cs="Arial"/>
          <w:sz w:val="20"/>
          <w:szCs w:val="20"/>
        </w:rPr>
        <w:t>;</w:t>
      </w:r>
    </w:p>
    <w:p w14:paraId="04B0AA38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Mononucleose</w:t>
      </w:r>
      <w:r w:rsidR="00DE4D8E">
        <w:rPr>
          <w:rFonts w:ascii="Arial" w:hAnsi="Arial" w:cs="Arial"/>
          <w:sz w:val="20"/>
          <w:szCs w:val="20"/>
        </w:rPr>
        <w:t>;</w:t>
      </w:r>
    </w:p>
    <w:p w14:paraId="087ED866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Adenovírus</w:t>
      </w:r>
      <w:r w:rsidR="00DE4D8E">
        <w:rPr>
          <w:rFonts w:ascii="Arial" w:hAnsi="Arial" w:cs="Arial"/>
          <w:sz w:val="20"/>
          <w:szCs w:val="20"/>
        </w:rPr>
        <w:t>;</w:t>
      </w:r>
    </w:p>
    <w:p w14:paraId="0540816C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Enteroviroses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B7416">
        <w:rPr>
          <w:rFonts w:ascii="Arial" w:hAnsi="Arial" w:cs="Arial"/>
          <w:sz w:val="20"/>
          <w:szCs w:val="20"/>
        </w:rPr>
        <w:t>Coxsakie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B7416">
        <w:rPr>
          <w:rFonts w:ascii="Arial" w:hAnsi="Arial" w:cs="Arial"/>
          <w:sz w:val="20"/>
          <w:szCs w:val="20"/>
        </w:rPr>
        <w:t>Echovirus</w:t>
      </w:r>
      <w:proofErr w:type="spellEnd"/>
      <w:r w:rsidRPr="006B7416">
        <w:rPr>
          <w:rFonts w:ascii="Arial" w:hAnsi="Arial" w:cs="Arial"/>
          <w:sz w:val="20"/>
          <w:szCs w:val="20"/>
        </w:rPr>
        <w:t>)</w:t>
      </w:r>
      <w:r w:rsidR="00DE4D8E">
        <w:rPr>
          <w:rFonts w:ascii="Arial" w:hAnsi="Arial" w:cs="Arial"/>
          <w:sz w:val="20"/>
          <w:szCs w:val="20"/>
        </w:rPr>
        <w:t>;</w:t>
      </w:r>
    </w:p>
    <w:p w14:paraId="16B1C0D6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Herpes simples tipo 1</w:t>
      </w:r>
      <w:r w:rsidR="00DE4D8E">
        <w:rPr>
          <w:rFonts w:ascii="Arial" w:hAnsi="Arial" w:cs="Arial"/>
          <w:sz w:val="20"/>
          <w:szCs w:val="20"/>
        </w:rPr>
        <w:t>;</w:t>
      </w:r>
    </w:p>
    <w:p w14:paraId="3C3F98DA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Parvovírus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B19</w:t>
      </w:r>
      <w:r w:rsidR="00DE4D8E">
        <w:rPr>
          <w:rFonts w:ascii="Arial" w:hAnsi="Arial" w:cs="Arial"/>
          <w:sz w:val="20"/>
          <w:szCs w:val="20"/>
        </w:rPr>
        <w:t>;</w:t>
      </w:r>
    </w:p>
    <w:p w14:paraId="6ED7A521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Hepatite B e C (adulto)</w:t>
      </w:r>
      <w:r w:rsidR="00DE4D8E">
        <w:rPr>
          <w:rFonts w:ascii="Arial" w:hAnsi="Arial" w:cs="Arial"/>
          <w:sz w:val="20"/>
          <w:szCs w:val="20"/>
        </w:rPr>
        <w:t>.</w:t>
      </w:r>
    </w:p>
    <w:p w14:paraId="61E6DD32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Fungos:</w:t>
      </w:r>
    </w:p>
    <w:p w14:paraId="70C0AAE4" w14:textId="77777777" w:rsidR="006B7416" w:rsidRPr="006B7416" w:rsidRDefault="006B7416" w:rsidP="00DE4D8E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A68E3F7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Candida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albicans</w:t>
      </w:r>
      <w:proofErr w:type="spellEnd"/>
      <w:r w:rsidR="00DE4D8E">
        <w:rPr>
          <w:rFonts w:ascii="Arial" w:hAnsi="Arial" w:cs="Arial"/>
          <w:sz w:val="20"/>
          <w:szCs w:val="20"/>
        </w:rPr>
        <w:t>;</w:t>
      </w:r>
    </w:p>
    <w:p w14:paraId="14FE4D61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Histoplasma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capsulatum</w:t>
      </w:r>
      <w:proofErr w:type="spellEnd"/>
      <w:r w:rsidR="00DE4D8E">
        <w:rPr>
          <w:rFonts w:ascii="Arial" w:hAnsi="Arial" w:cs="Arial"/>
          <w:sz w:val="20"/>
          <w:szCs w:val="20"/>
        </w:rPr>
        <w:t>;</w:t>
      </w:r>
      <w:r w:rsidRPr="006B7416">
        <w:rPr>
          <w:rFonts w:ascii="Arial" w:hAnsi="Arial" w:cs="Arial"/>
          <w:sz w:val="20"/>
          <w:szCs w:val="20"/>
        </w:rPr>
        <w:t xml:space="preserve"> </w:t>
      </w:r>
    </w:p>
    <w:p w14:paraId="7AEB431F" w14:textId="77777777" w:rsidR="00BA66AD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Paracoccidioides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brasiliensis</w:t>
      </w:r>
      <w:r w:rsidR="00DE4D8E">
        <w:rPr>
          <w:rFonts w:ascii="Arial" w:hAnsi="Arial" w:cs="Arial"/>
          <w:sz w:val="20"/>
          <w:szCs w:val="20"/>
        </w:rPr>
        <w:t>;</w:t>
      </w:r>
    </w:p>
    <w:p w14:paraId="2E7B0801" w14:textId="77777777" w:rsidR="006B7416" w:rsidRPr="006B7416" w:rsidRDefault="006B7416" w:rsidP="00DE4D8E">
      <w:pPr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40EEDF10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Parasitas:</w:t>
      </w:r>
    </w:p>
    <w:p w14:paraId="26F03458" w14:textId="77777777" w:rsidR="006B7416" w:rsidRPr="006B7416" w:rsidRDefault="006B7416" w:rsidP="00DE4D8E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6814CB0A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Ascaris </w:t>
      </w:r>
      <w:proofErr w:type="spellStart"/>
      <w:r w:rsidRPr="006B7416">
        <w:rPr>
          <w:rFonts w:ascii="Arial" w:hAnsi="Arial" w:cs="Arial"/>
          <w:sz w:val="20"/>
          <w:szCs w:val="20"/>
        </w:rPr>
        <w:t>lumbricoidis</w:t>
      </w:r>
      <w:proofErr w:type="spellEnd"/>
      <w:r w:rsidR="00DE4D8E">
        <w:rPr>
          <w:rFonts w:ascii="Arial" w:hAnsi="Arial" w:cs="Arial"/>
          <w:sz w:val="20"/>
          <w:szCs w:val="20"/>
        </w:rPr>
        <w:t>;</w:t>
      </w:r>
    </w:p>
    <w:p w14:paraId="00BE2BE2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Estrongiloidis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estercolaris</w:t>
      </w:r>
      <w:proofErr w:type="spellEnd"/>
      <w:r w:rsidR="00DE4D8E">
        <w:rPr>
          <w:rFonts w:ascii="Arial" w:hAnsi="Arial" w:cs="Arial"/>
          <w:sz w:val="20"/>
          <w:szCs w:val="20"/>
        </w:rPr>
        <w:t>;</w:t>
      </w:r>
    </w:p>
    <w:p w14:paraId="1AA62A23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Giardia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lamblia</w:t>
      </w:r>
      <w:r w:rsidR="00DE4D8E">
        <w:rPr>
          <w:rFonts w:ascii="Arial" w:hAnsi="Arial" w:cs="Arial"/>
          <w:sz w:val="20"/>
          <w:szCs w:val="20"/>
        </w:rPr>
        <w:t>;</w:t>
      </w:r>
    </w:p>
    <w:p w14:paraId="73AB3A8F" w14:textId="77777777" w:rsidR="00BA66AD" w:rsidRPr="006B7416" w:rsidRDefault="00C77339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E. </w:t>
      </w:r>
      <w:proofErr w:type="spellStart"/>
      <w:r w:rsidRPr="006B7416">
        <w:rPr>
          <w:rFonts w:ascii="Arial" w:hAnsi="Arial" w:cs="Arial"/>
          <w:sz w:val="20"/>
          <w:szCs w:val="20"/>
        </w:rPr>
        <w:t>histoli</w:t>
      </w:r>
      <w:r w:rsidR="00BA66AD" w:rsidRPr="006B7416">
        <w:rPr>
          <w:rFonts w:ascii="Arial" w:hAnsi="Arial" w:cs="Arial"/>
          <w:sz w:val="20"/>
          <w:szCs w:val="20"/>
        </w:rPr>
        <w:t>tica</w:t>
      </w:r>
      <w:proofErr w:type="spellEnd"/>
      <w:r w:rsidR="00DE4D8E">
        <w:rPr>
          <w:rFonts w:ascii="Arial" w:hAnsi="Arial" w:cs="Arial"/>
          <w:sz w:val="20"/>
          <w:szCs w:val="20"/>
        </w:rPr>
        <w:t>;</w:t>
      </w:r>
    </w:p>
    <w:p w14:paraId="0AF26DFC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B7416">
        <w:rPr>
          <w:rFonts w:ascii="Arial" w:hAnsi="Arial" w:cs="Arial"/>
          <w:sz w:val="20"/>
          <w:szCs w:val="20"/>
        </w:rPr>
        <w:t>Taenia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saginata</w:t>
      </w:r>
      <w:proofErr w:type="spellEnd"/>
      <w:r w:rsidR="00DE4D8E">
        <w:rPr>
          <w:rFonts w:ascii="Arial" w:hAnsi="Arial" w:cs="Arial"/>
          <w:sz w:val="20"/>
          <w:szCs w:val="20"/>
        </w:rPr>
        <w:t>;</w:t>
      </w:r>
    </w:p>
    <w:p w14:paraId="11721951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141F7D0" w14:textId="77777777" w:rsidR="006B7416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b/>
          <w:sz w:val="24"/>
          <w:szCs w:val="24"/>
        </w:rPr>
        <w:t>Diagnóstico:</w:t>
      </w:r>
      <w:r w:rsidRPr="006B7416">
        <w:rPr>
          <w:rFonts w:ascii="Arial" w:hAnsi="Arial" w:cs="Arial"/>
          <w:sz w:val="20"/>
          <w:szCs w:val="20"/>
        </w:rPr>
        <w:t xml:space="preserve"> </w:t>
      </w:r>
    </w:p>
    <w:p w14:paraId="3ACCDA07" w14:textId="77777777" w:rsidR="00BA66AD" w:rsidRPr="006B7416" w:rsidRDefault="006B7416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</w:t>
      </w:r>
      <w:r w:rsidR="00BA66AD" w:rsidRPr="006B7416">
        <w:rPr>
          <w:rFonts w:ascii="Arial" w:hAnsi="Arial" w:cs="Arial"/>
          <w:sz w:val="20"/>
          <w:szCs w:val="20"/>
        </w:rPr>
        <w:t xml:space="preserve"> clínico, baseado numa boa anamnese e exame físico, corroborado por exames complementares que nos auxiliam a definir o agente etiológico, afastando outras causas de artrite.</w:t>
      </w:r>
    </w:p>
    <w:p w14:paraId="5FD514DC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Exames complementares:</w:t>
      </w:r>
    </w:p>
    <w:p w14:paraId="0C8E1F5B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HC : normal na maioria das vezes ou pode apresentar leve anemia e leucocitose, dependendo do quadro da infecção primária.</w:t>
      </w:r>
    </w:p>
    <w:p w14:paraId="43559AF5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Provas de atividade inflamatória: VHS, PCR, alfa1 glicoproteína aumentadas.</w:t>
      </w:r>
    </w:p>
    <w:p w14:paraId="46268BFC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ASLO: pode ser positiva nos casos deflagrados por contato com o </w:t>
      </w:r>
      <w:proofErr w:type="spellStart"/>
      <w:r w:rsidRPr="006B7416">
        <w:rPr>
          <w:rFonts w:ascii="Arial" w:hAnsi="Arial" w:cs="Arial"/>
          <w:sz w:val="20"/>
          <w:szCs w:val="20"/>
        </w:rPr>
        <w:t>estreotococo</w:t>
      </w:r>
      <w:proofErr w:type="spellEnd"/>
      <w:r w:rsidRPr="006B7416">
        <w:rPr>
          <w:rFonts w:ascii="Arial" w:hAnsi="Arial" w:cs="Arial"/>
          <w:sz w:val="20"/>
          <w:szCs w:val="20"/>
        </w:rPr>
        <w:t>.</w:t>
      </w:r>
    </w:p>
    <w:p w14:paraId="4FD51A5D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Sorologias: a depender de cada caso, de acordo com a suspeita clínica levantada pela anamnese e o exame físico.</w:t>
      </w:r>
    </w:p>
    <w:p w14:paraId="3D613721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Culturas : de orofaringe, de secreção uretral e de fezes (assim como o EPF), dependendo da história clínica e do exame físico.</w:t>
      </w:r>
    </w:p>
    <w:p w14:paraId="558CC28E" w14:textId="77777777" w:rsid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lastRenderedPageBreak/>
        <w:t>Outros exames poderão ser necessários para afastar outras possibilidades diagnósticas, como por exemplo, radiografias ou outros exames imunológicos (pesquisa de HLA-B27) ou de imagem.</w:t>
      </w:r>
    </w:p>
    <w:p w14:paraId="1410AC10" w14:textId="77777777" w:rsidR="00DE4D8E" w:rsidRPr="00DE4D8E" w:rsidRDefault="00DE4D8E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A5998F" w14:textId="77777777" w:rsidR="00BA66AD" w:rsidRPr="006B7416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Tratamento:</w:t>
      </w:r>
    </w:p>
    <w:p w14:paraId="1200E230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Repouso, analgésicos (paracetamol ou ibuprofeno) nas doses habituais.</w:t>
      </w:r>
    </w:p>
    <w:p w14:paraId="46F1F9BE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AINH: geralmente por 2 a 4 semanas no total. Usamos o cetoprofeno (2 a 4mg/Kg/dia em 3 ou 4 doses, máximo de 300mg/dia), o ibuprofeno em dose anti-inflamatória (30 a 50mg/Kg/dia em 3 ou 4 doses, máximo de 2.400mg/dia), o diclofenaco (2 a 3mg/Kg/dia em 3 doses, máximo de 150mg/dia), </w:t>
      </w:r>
      <w:proofErr w:type="spellStart"/>
      <w:r w:rsidRPr="006B7416">
        <w:rPr>
          <w:rFonts w:ascii="Arial" w:hAnsi="Arial" w:cs="Arial"/>
          <w:sz w:val="20"/>
          <w:szCs w:val="20"/>
        </w:rPr>
        <w:t>naproxeno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(10 a 20mg/Kg/dia em 2 doses, máximo de 1.000mg/dia), </w:t>
      </w:r>
      <w:proofErr w:type="spellStart"/>
      <w:r w:rsidRPr="006B7416">
        <w:rPr>
          <w:rFonts w:ascii="Arial" w:hAnsi="Arial" w:cs="Arial"/>
          <w:sz w:val="20"/>
          <w:szCs w:val="20"/>
        </w:rPr>
        <w:t>nimesulida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(4 a 5mg/Kg/dia em 2 doses).</w:t>
      </w:r>
    </w:p>
    <w:p w14:paraId="4C06D19A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Evolução e prognóstico:</w:t>
      </w:r>
    </w:p>
    <w:p w14:paraId="3CA3EA25" w14:textId="77777777" w:rsidR="00BA66AD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>Na maioria dos casos, o quadro se resolve em 2 a 12 semanas, sem deixar sequelas. Todos os pacientes devem ser acompanhados ambulatorialmente por, pelo menos, 1 ano após a alta hospitalar, desde que não apresentem outra recidiva ou uma evolução atípica.</w:t>
      </w:r>
    </w:p>
    <w:p w14:paraId="775A682D" w14:textId="77777777" w:rsidR="006B7416" w:rsidRPr="006B7416" w:rsidRDefault="006B7416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5B8546" w14:textId="77777777" w:rsidR="00BA66AD" w:rsidRDefault="00BA66AD" w:rsidP="00DE4D8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B7416">
        <w:rPr>
          <w:rFonts w:ascii="Arial" w:hAnsi="Arial" w:cs="Arial"/>
          <w:b/>
          <w:sz w:val="24"/>
          <w:szCs w:val="24"/>
        </w:rPr>
        <w:t>Referências Bibliográficas:</w:t>
      </w:r>
    </w:p>
    <w:p w14:paraId="6C14C33E" w14:textId="77777777" w:rsidR="006B7416" w:rsidRPr="006B7416" w:rsidRDefault="006B7416" w:rsidP="00DE4D8E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393022E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1-Oliveira, SKF.; Azevedo, ECL. Reumatologia Pediátrica. 2.ed .Rio de Janeiro: </w:t>
      </w:r>
      <w:proofErr w:type="spellStart"/>
      <w:r w:rsidRPr="006B7416">
        <w:rPr>
          <w:rFonts w:ascii="Arial" w:hAnsi="Arial" w:cs="Arial"/>
          <w:sz w:val="20"/>
          <w:szCs w:val="20"/>
        </w:rPr>
        <w:t>Revinter</w:t>
      </w:r>
      <w:proofErr w:type="spellEnd"/>
      <w:r w:rsidRPr="006B7416">
        <w:rPr>
          <w:rFonts w:ascii="Arial" w:hAnsi="Arial" w:cs="Arial"/>
          <w:sz w:val="20"/>
          <w:szCs w:val="20"/>
        </w:rPr>
        <w:t>, 2001.</w:t>
      </w:r>
    </w:p>
    <w:p w14:paraId="69C784D6" w14:textId="77777777" w:rsidR="00BA66AD" w:rsidRPr="00DE4D8E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B7416">
        <w:rPr>
          <w:rFonts w:ascii="Arial" w:hAnsi="Arial" w:cs="Arial"/>
          <w:sz w:val="20"/>
          <w:szCs w:val="20"/>
          <w:lang w:val="en-US"/>
        </w:rPr>
        <w:t>2-Cassidy, JT(</w:t>
      </w:r>
      <w:proofErr w:type="spellStart"/>
      <w:r w:rsidRPr="006B7416">
        <w:rPr>
          <w:rFonts w:ascii="Arial" w:hAnsi="Arial" w:cs="Arial"/>
          <w:sz w:val="20"/>
          <w:szCs w:val="20"/>
          <w:lang w:val="en-US"/>
        </w:rPr>
        <w:t>coord</w:t>
      </w:r>
      <w:proofErr w:type="spellEnd"/>
      <w:r w:rsidRPr="006B7416">
        <w:rPr>
          <w:rFonts w:ascii="Arial" w:hAnsi="Arial" w:cs="Arial"/>
          <w:sz w:val="20"/>
          <w:szCs w:val="20"/>
          <w:lang w:val="en-US"/>
        </w:rPr>
        <w:t xml:space="preserve">). Textbook of Rheumatology. </w:t>
      </w:r>
      <w:r w:rsidRPr="00DE4D8E">
        <w:rPr>
          <w:rFonts w:ascii="Arial" w:hAnsi="Arial" w:cs="Arial"/>
          <w:sz w:val="20"/>
          <w:szCs w:val="20"/>
          <w:lang w:val="en-US"/>
        </w:rPr>
        <w:t>2.ed.Philadelphia: Elsevier, 2010.</w:t>
      </w:r>
    </w:p>
    <w:p w14:paraId="263FF5C3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E4D8E">
        <w:rPr>
          <w:rFonts w:ascii="Arial" w:hAnsi="Arial" w:cs="Arial"/>
          <w:sz w:val="20"/>
          <w:szCs w:val="20"/>
          <w:lang w:val="en-US"/>
        </w:rPr>
        <w:t xml:space="preserve">3-Sampaio, B. el al. </w:t>
      </w:r>
      <w:r w:rsidRPr="006B7416">
        <w:rPr>
          <w:rFonts w:ascii="Arial" w:hAnsi="Arial" w:cs="Arial"/>
          <w:sz w:val="20"/>
          <w:szCs w:val="20"/>
        </w:rPr>
        <w:t xml:space="preserve">Síndrome de </w:t>
      </w:r>
      <w:proofErr w:type="spellStart"/>
      <w:r w:rsidRPr="006B7416">
        <w:rPr>
          <w:rFonts w:ascii="Arial" w:hAnsi="Arial" w:cs="Arial"/>
          <w:sz w:val="20"/>
          <w:szCs w:val="20"/>
        </w:rPr>
        <w:t>Reiter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e Artrites Reativas. </w:t>
      </w:r>
      <w:proofErr w:type="spellStart"/>
      <w:r w:rsidRPr="006B7416">
        <w:rPr>
          <w:rFonts w:ascii="Arial" w:hAnsi="Arial" w:cs="Arial"/>
          <w:sz w:val="20"/>
          <w:szCs w:val="20"/>
        </w:rPr>
        <w:t>Rev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Bras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Reumatol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, v47.n.4.p: 243-250. </w:t>
      </w:r>
      <w:proofErr w:type="spellStart"/>
      <w:r w:rsidRPr="006B7416">
        <w:rPr>
          <w:rFonts w:ascii="Arial" w:hAnsi="Arial" w:cs="Arial"/>
          <w:sz w:val="20"/>
          <w:szCs w:val="20"/>
        </w:rPr>
        <w:t>jul</w:t>
      </w:r>
      <w:proofErr w:type="spellEnd"/>
      <w:r w:rsidRPr="006B7416">
        <w:rPr>
          <w:rFonts w:ascii="Arial" w:hAnsi="Arial" w:cs="Arial"/>
          <w:sz w:val="20"/>
          <w:szCs w:val="20"/>
        </w:rPr>
        <w:t>/</w:t>
      </w:r>
      <w:proofErr w:type="spellStart"/>
      <w:r w:rsidRPr="006B7416">
        <w:rPr>
          <w:rFonts w:ascii="Arial" w:hAnsi="Arial" w:cs="Arial"/>
          <w:sz w:val="20"/>
          <w:szCs w:val="20"/>
        </w:rPr>
        <w:t>ago</w:t>
      </w:r>
      <w:proofErr w:type="spellEnd"/>
      <w:r w:rsidRPr="006B7416">
        <w:rPr>
          <w:rFonts w:ascii="Arial" w:hAnsi="Arial" w:cs="Arial"/>
          <w:sz w:val="20"/>
          <w:szCs w:val="20"/>
        </w:rPr>
        <w:t>, 2007.</w:t>
      </w:r>
    </w:p>
    <w:p w14:paraId="7EC40284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B7416">
        <w:rPr>
          <w:rFonts w:ascii="Arial" w:hAnsi="Arial" w:cs="Arial"/>
          <w:sz w:val="20"/>
          <w:szCs w:val="20"/>
          <w:lang w:val="en-US"/>
        </w:rPr>
        <w:t xml:space="preserve">4-Flores, D.MD. et al. </w:t>
      </w:r>
      <w:proofErr w:type="spellStart"/>
      <w:r w:rsidRPr="006B7416">
        <w:rPr>
          <w:rFonts w:ascii="Arial" w:hAnsi="Arial" w:cs="Arial"/>
          <w:sz w:val="20"/>
          <w:szCs w:val="20"/>
        </w:rPr>
        <w:t>Reactive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arthritis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B7416">
        <w:rPr>
          <w:rFonts w:ascii="Arial" w:hAnsi="Arial" w:cs="Arial"/>
          <w:sz w:val="20"/>
          <w:szCs w:val="20"/>
        </w:rPr>
        <w:t>newer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7416">
        <w:rPr>
          <w:rFonts w:ascii="Arial" w:hAnsi="Arial" w:cs="Arial"/>
          <w:sz w:val="20"/>
          <w:szCs w:val="20"/>
        </w:rPr>
        <w:t>developments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7416">
        <w:rPr>
          <w:rFonts w:ascii="Arial" w:hAnsi="Arial" w:cs="Arial"/>
          <w:sz w:val="20"/>
          <w:szCs w:val="20"/>
          <w:lang w:val="en-US"/>
        </w:rPr>
        <w:t>Rheu</w:t>
      </w:r>
      <w:proofErr w:type="spellEnd"/>
      <w:r w:rsidRPr="006B7416">
        <w:rPr>
          <w:rFonts w:ascii="Arial" w:hAnsi="Arial" w:cs="Arial"/>
          <w:sz w:val="20"/>
          <w:szCs w:val="20"/>
          <w:lang w:val="en-US"/>
        </w:rPr>
        <w:t xml:space="preserve"> Dis Clin of North America, v29.n.1. </w:t>
      </w:r>
      <w:proofErr w:type="spellStart"/>
      <w:r w:rsidRPr="006B7416">
        <w:rPr>
          <w:rFonts w:ascii="Arial" w:hAnsi="Arial" w:cs="Arial"/>
          <w:sz w:val="20"/>
          <w:szCs w:val="20"/>
          <w:lang w:val="en-US"/>
        </w:rPr>
        <w:t>feb</w:t>
      </w:r>
      <w:proofErr w:type="spellEnd"/>
      <w:r w:rsidRPr="006B7416">
        <w:rPr>
          <w:rFonts w:ascii="Arial" w:hAnsi="Arial" w:cs="Arial"/>
          <w:sz w:val="20"/>
          <w:szCs w:val="20"/>
          <w:lang w:val="en-US"/>
        </w:rPr>
        <w:t>, 2003.</w:t>
      </w:r>
    </w:p>
    <w:p w14:paraId="40A18980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5- Oliveira, </w:t>
      </w:r>
      <w:proofErr w:type="spellStart"/>
      <w:r w:rsidRPr="006B7416">
        <w:rPr>
          <w:rFonts w:ascii="Arial" w:hAnsi="Arial" w:cs="Arial"/>
          <w:sz w:val="20"/>
          <w:szCs w:val="20"/>
        </w:rPr>
        <w:t>SKF.Reumatologia</w:t>
      </w:r>
      <w:proofErr w:type="spellEnd"/>
      <w:r w:rsidRPr="006B7416">
        <w:rPr>
          <w:rFonts w:ascii="Arial" w:hAnsi="Arial" w:cs="Arial"/>
          <w:sz w:val="20"/>
          <w:szCs w:val="20"/>
        </w:rPr>
        <w:t xml:space="preserve"> para Pediatras. 1.ed .Rio de Janeiro: </w:t>
      </w:r>
      <w:proofErr w:type="spellStart"/>
      <w:r w:rsidRPr="006B7416">
        <w:rPr>
          <w:rFonts w:ascii="Arial" w:hAnsi="Arial" w:cs="Arial"/>
          <w:sz w:val="20"/>
          <w:szCs w:val="20"/>
        </w:rPr>
        <w:t>Revinter</w:t>
      </w:r>
      <w:proofErr w:type="spellEnd"/>
      <w:r w:rsidRPr="006B7416">
        <w:rPr>
          <w:rFonts w:ascii="Arial" w:hAnsi="Arial" w:cs="Arial"/>
          <w:sz w:val="20"/>
          <w:szCs w:val="20"/>
        </w:rPr>
        <w:t>, 2003.</w:t>
      </w:r>
    </w:p>
    <w:p w14:paraId="1024BD9B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6- Oliveira, SKF; Rodrigues, MCF. Reumatologia na Prática para Pediatras. 1.ed .Rio de Janeiro: </w:t>
      </w:r>
      <w:proofErr w:type="spellStart"/>
      <w:r w:rsidRPr="006B7416">
        <w:rPr>
          <w:rFonts w:ascii="Arial" w:hAnsi="Arial" w:cs="Arial"/>
          <w:sz w:val="20"/>
          <w:szCs w:val="20"/>
        </w:rPr>
        <w:t>Revinter</w:t>
      </w:r>
      <w:proofErr w:type="spellEnd"/>
      <w:r w:rsidRPr="006B7416">
        <w:rPr>
          <w:rFonts w:ascii="Arial" w:hAnsi="Arial" w:cs="Arial"/>
          <w:sz w:val="20"/>
          <w:szCs w:val="20"/>
        </w:rPr>
        <w:t>, 2010</w:t>
      </w:r>
    </w:p>
    <w:p w14:paraId="6C8AAF6F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B7416">
        <w:rPr>
          <w:rFonts w:ascii="Arial" w:hAnsi="Arial" w:cs="Arial"/>
          <w:sz w:val="20"/>
          <w:szCs w:val="20"/>
        </w:rPr>
        <w:t xml:space="preserve">7-Terreri, MTRA; </w:t>
      </w:r>
      <w:proofErr w:type="spellStart"/>
      <w:r w:rsidRPr="006B7416">
        <w:rPr>
          <w:rFonts w:ascii="Arial" w:hAnsi="Arial" w:cs="Arial"/>
          <w:sz w:val="20"/>
          <w:szCs w:val="20"/>
        </w:rPr>
        <w:t>Sacchetti</w:t>
      </w:r>
      <w:proofErr w:type="spellEnd"/>
      <w:r w:rsidRPr="006B7416">
        <w:rPr>
          <w:rFonts w:ascii="Arial" w:hAnsi="Arial" w:cs="Arial"/>
          <w:sz w:val="20"/>
          <w:szCs w:val="20"/>
        </w:rPr>
        <w:t>, SB. Reumatologia para o Pediatra. Sociedade de Pediatria de São Paulo, Departamento de Pediatria. 1.ed. São Paulo: Atheneu, 2008.</w:t>
      </w:r>
    </w:p>
    <w:p w14:paraId="1F792425" w14:textId="77777777" w:rsidR="006B7416" w:rsidRPr="006B7416" w:rsidRDefault="006B7416" w:rsidP="00DE4D8E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56C6BCC" w14:textId="61675DEF" w:rsidR="00BA66AD" w:rsidRPr="004A39DD" w:rsidRDefault="004A39DD" w:rsidP="004A39D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A39DD">
        <w:rPr>
          <w:rFonts w:ascii="Arial" w:hAnsi="Arial" w:cs="Arial"/>
          <w:bCs/>
          <w:sz w:val="20"/>
          <w:szCs w:val="20"/>
        </w:rPr>
        <w:t>Responsável pela elaboração da rotina:</w:t>
      </w:r>
      <w:r w:rsidRPr="004A39DD">
        <w:rPr>
          <w:rFonts w:ascii="Arial" w:hAnsi="Arial" w:cs="Arial"/>
          <w:b/>
          <w:sz w:val="20"/>
          <w:szCs w:val="20"/>
        </w:rPr>
        <w:t xml:space="preserve"> </w:t>
      </w:r>
      <w:r w:rsidR="00BA66AD" w:rsidRPr="004A39DD">
        <w:rPr>
          <w:rFonts w:ascii="Arial" w:hAnsi="Arial" w:cs="Arial"/>
          <w:sz w:val="20"/>
          <w:szCs w:val="20"/>
        </w:rPr>
        <w:t xml:space="preserve">Dra. </w:t>
      </w:r>
      <w:proofErr w:type="spellStart"/>
      <w:r w:rsidR="00BA66AD" w:rsidRPr="004A39DD">
        <w:rPr>
          <w:rFonts w:ascii="Arial" w:hAnsi="Arial" w:cs="Arial"/>
          <w:sz w:val="20"/>
          <w:szCs w:val="20"/>
        </w:rPr>
        <w:t>Dania</w:t>
      </w:r>
      <w:proofErr w:type="spellEnd"/>
      <w:r w:rsidR="00BA66AD" w:rsidRPr="004A39DD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="00BA66AD" w:rsidRPr="004A39DD">
        <w:rPr>
          <w:rFonts w:ascii="Arial" w:hAnsi="Arial" w:cs="Arial"/>
          <w:sz w:val="20"/>
          <w:szCs w:val="20"/>
        </w:rPr>
        <w:t>Dionízio</w:t>
      </w:r>
      <w:proofErr w:type="spellEnd"/>
    </w:p>
    <w:p w14:paraId="2B70281C" w14:textId="77777777" w:rsidR="00BA66AD" w:rsidRPr="006B7416" w:rsidRDefault="00BA66A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8BF7A17" w14:textId="77777777" w:rsidR="004D5579" w:rsidRPr="006B7416" w:rsidRDefault="004D5579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4BB7582" w14:textId="77777777" w:rsidR="005F22E3" w:rsidRPr="006B7416" w:rsidRDefault="004A39DD" w:rsidP="00DE4D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5F22E3" w:rsidRPr="006B7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E35"/>
    <w:multiLevelType w:val="hybridMultilevel"/>
    <w:tmpl w:val="1BB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4E42"/>
    <w:multiLevelType w:val="hybridMultilevel"/>
    <w:tmpl w:val="4AE83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7570"/>
    <w:multiLevelType w:val="hybridMultilevel"/>
    <w:tmpl w:val="B1F0DC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80026E"/>
    <w:multiLevelType w:val="hybridMultilevel"/>
    <w:tmpl w:val="150CB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42A8"/>
    <w:multiLevelType w:val="hybridMultilevel"/>
    <w:tmpl w:val="B3FE8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0441"/>
    <w:multiLevelType w:val="hybridMultilevel"/>
    <w:tmpl w:val="D4F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87BDE"/>
    <w:multiLevelType w:val="hybridMultilevel"/>
    <w:tmpl w:val="81A29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79"/>
    <w:rsid w:val="002111E1"/>
    <w:rsid w:val="002A36A8"/>
    <w:rsid w:val="004A39DD"/>
    <w:rsid w:val="004D5579"/>
    <w:rsid w:val="006548BF"/>
    <w:rsid w:val="006B7416"/>
    <w:rsid w:val="00BA66AD"/>
    <w:rsid w:val="00C77339"/>
    <w:rsid w:val="00D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1180"/>
  <w15:chartTrackingRefBased/>
  <w15:docId w15:val="{F19DA431-846B-4628-9401-2C8011A5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5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8</cp:revision>
  <dcterms:created xsi:type="dcterms:W3CDTF">2018-08-02T22:25:00Z</dcterms:created>
  <dcterms:modified xsi:type="dcterms:W3CDTF">2020-05-18T00:32:00Z</dcterms:modified>
</cp:coreProperties>
</file>