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907FC" w14:textId="77777777" w:rsidR="00EB4643" w:rsidRPr="009638D7" w:rsidRDefault="00EB4643" w:rsidP="007869F0">
      <w:pPr>
        <w:pStyle w:val="PargrafodaLista"/>
        <w:ind w:left="0"/>
        <w:rPr>
          <w:rFonts w:ascii="Arial" w:hAnsi="Arial" w:cs="Arial"/>
          <w:bCs/>
          <w:sz w:val="28"/>
          <w:szCs w:val="28"/>
        </w:rPr>
      </w:pPr>
      <w:r w:rsidRPr="009638D7">
        <w:rPr>
          <w:rFonts w:ascii="Arial" w:hAnsi="Arial" w:cs="Arial"/>
          <w:bCs/>
          <w:sz w:val="28"/>
          <w:szCs w:val="28"/>
        </w:rPr>
        <w:t>CHOQUE SÉPTICO / DROGAS VASOSTIVAS</w:t>
      </w:r>
    </w:p>
    <w:p w14:paraId="1BC42C23" w14:textId="77777777" w:rsidR="00E4589A" w:rsidRPr="005A22B2" w:rsidRDefault="00E4589A" w:rsidP="007869F0">
      <w:pPr>
        <w:pStyle w:val="PargrafodaLista"/>
        <w:ind w:left="0"/>
        <w:rPr>
          <w:rFonts w:ascii="Arial" w:hAnsi="Arial" w:cs="Arial"/>
          <w:b/>
          <w:sz w:val="20"/>
          <w:szCs w:val="20"/>
        </w:rPr>
      </w:pPr>
    </w:p>
    <w:p w14:paraId="4FDDE92B" w14:textId="77777777" w:rsidR="00FB6F28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Tentar p</w:t>
      </w:r>
      <w:r w:rsidR="005F523A" w:rsidRPr="005A22B2">
        <w:rPr>
          <w:rFonts w:ascii="Arial" w:hAnsi="Arial" w:cs="Arial"/>
          <w:sz w:val="20"/>
          <w:szCs w:val="20"/>
        </w:rPr>
        <w:t>adronizar o atendimento a condução do paciente pediátrico com choque séptico, em unidades de urgência/emergência, unidades regulares de internação pediátrica e unidades de terapia intensiva (UTI) pediátrica.</w:t>
      </w:r>
    </w:p>
    <w:p w14:paraId="0F470824" w14:textId="77777777" w:rsidR="005F523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31007AC" w14:textId="77777777" w:rsidR="005F523A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1-</w:t>
      </w:r>
      <w:r w:rsidR="005F523A" w:rsidRPr="005A22B2">
        <w:rPr>
          <w:rFonts w:ascii="Arial" w:hAnsi="Arial" w:cs="Arial"/>
          <w:sz w:val="20"/>
          <w:szCs w:val="20"/>
        </w:rPr>
        <w:t xml:space="preserve"> INTRODUÇÃO Apesar dos avanços na terapia antimicrobiana, manejo de drogas vasoativas e novos métodos de suporte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avançadoo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de vida, o choque séptico permanece </w:t>
      </w:r>
      <w:proofErr w:type="gramStart"/>
      <w:r w:rsidR="005F523A" w:rsidRPr="005A22B2">
        <w:rPr>
          <w:rFonts w:ascii="Arial" w:hAnsi="Arial" w:cs="Arial"/>
          <w:sz w:val="20"/>
          <w:szCs w:val="20"/>
        </w:rPr>
        <w:t>uma importante</w:t>
      </w:r>
      <w:proofErr w:type="gramEnd"/>
      <w:r w:rsidR="005F523A" w:rsidRPr="005A22B2">
        <w:rPr>
          <w:rFonts w:ascii="Arial" w:hAnsi="Arial" w:cs="Arial"/>
          <w:sz w:val="20"/>
          <w:szCs w:val="20"/>
        </w:rPr>
        <w:t xml:space="preserve"> causa de morbimortalidade em Unidades de Terapia Intensiva (UTI). Dados recentes têm demonstrado uma melhora da sobrevida em crianças com choque séptico, relacionada ao advento das UTIs Pediátrica e Neonatal e ao uso da terapêutica guiada por metas (semelhante à sugerida pelo American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College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of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Critical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Care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Medicine” (ACCM) – “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Clinical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Parameters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Hemodynamic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Support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Pediatric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and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Neonatal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Septic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523A" w:rsidRPr="005A22B2">
        <w:rPr>
          <w:rFonts w:ascii="Arial" w:hAnsi="Arial" w:cs="Arial"/>
          <w:sz w:val="20"/>
          <w:szCs w:val="20"/>
        </w:rPr>
        <w:t>Shock</w:t>
      </w:r>
      <w:proofErr w:type="spellEnd"/>
      <w:r w:rsidR="005F523A" w:rsidRPr="005A22B2">
        <w:rPr>
          <w:rFonts w:ascii="Arial" w:hAnsi="Arial" w:cs="Arial"/>
          <w:sz w:val="20"/>
          <w:szCs w:val="20"/>
        </w:rPr>
        <w:t>”).</w:t>
      </w:r>
    </w:p>
    <w:p w14:paraId="09032CFA" w14:textId="77777777" w:rsidR="005F523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59E11DFA" w14:textId="77777777" w:rsidR="005F523A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proofErr w:type="gramStart"/>
      <w:r>
        <w:rPr>
          <w:rFonts w:ascii="Arial" w:hAnsi="Arial" w:cs="Arial"/>
          <w:sz w:val="20"/>
          <w:szCs w:val="20"/>
        </w:rPr>
        <w:t xml:space="preserve">- </w:t>
      </w:r>
      <w:r w:rsidR="005F523A" w:rsidRPr="005A22B2">
        <w:rPr>
          <w:rFonts w:ascii="Arial" w:hAnsi="Arial" w:cs="Arial"/>
          <w:sz w:val="20"/>
          <w:szCs w:val="20"/>
        </w:rPr>
        <w:t xml:space="preserve"> DIAGNÓSTICO</w:t>
      </w:r>
      <w:proofErr w:type="gramEnd"/>
      <w:r w:rsidR="005F523A" w:rsidRPr="005A22B2">
        <w:rPr>
          <w:rFonts w:ascii="Arial" w:hAnsi="Arial" w:cs="Arial"/>
          <w:sz w:val="20"/>
          <w:szCs w:val="20"/>
        </w:rPr>
        <w:t xml:space="preserve"> DE SEPSE </w:t>
      </w:r>
    </w:p>
    <w:p w14:paraId="2C47F1A3" w14:textId="77777777" w:rsidR="005F523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Sinais de Alarme:  </w:t>
      </w:r>
      <w:proofErr w:type="gramStart"/>
      <w:r w:rsidRPr="005A22B2">
        <w:rPr>
          <w:rFonts w:ascii="Arial" w:hAnsi="Arial" w:cs="Arial"/>
          <w:sz w:val="20"/>
          <w:szCs w:val="20"/>
        </w:rPr>
        <w:t>Febre,  Alteração</w:t>
      </w:r>
      <w:proofErr w:type="gramEnd"/>
      <w:r w:rsidRPr="005A22B2">
        <w:rPr>
          <w:rFonts w:ascii="Arial" w:hAnsi="Arial" w:cs="Arial"/>
          <w:sz w:val="20"/>
          <w:szCs w:val="20"/>
        </w:rPr>
        <w:t xml:space="preserve"> Neurológica (sonolência, não fixa o olhar, comportamento diferente do habitual),  Leucocitose </w:t>
      </w:r>
    </w:p>
    <w:p w14:paraId="5F0DD0AE" w14:textId="77777777" w:rsidR="005F523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Definições: Se alteração de 2 ou mais parâmetros (exceto a combinação de febre + leucocitose) -&gt; SEPSE GRAVE -&gt; Fazer PEWS Se febre + leucocitose, mas com outros parâmetros normais -&gt; DOENÇA FEBRIL GRAVE (fazer antibióticos + hidratação venosa, mas protocolo de sepse/ choque séptico não se aplica)</w:t>
      </w:r>
    </w:p>
    <w:p w14:paraId="300B9494" w14:textId="77777777" w:rsidR="005F523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474FC4C9" w14:textId="77777777" w:rsidR="00C17F5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SIRS Modifica</w:t>
      </w:r>
      <w:r w:rsidR="00C17F5A" w:rsidRPr="005A22B2">
        <w:rPr>
          <w:rFonts w:ascii="Arial" w:hAnsi="Arial" w:cs="Arial"/>
          <w:sz w:val="20"/>
          <w:szCs w:val="20"/>
        </w:rPr>
        <w:t>do:</w:t>
      </w:r>
    </w:p>
    <w:p w14:paraId="5A3D36BF" w14:textId="77777777" w:rsidR="00C17F5A" w:rsidRPr="005A22B2" w:rsidRDefault="00C17F5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Temperatura &gt; 38.5 ou &lt; 36 C;</w:t>
      </w:r>
    </w:p>
    <w:p w14:paraId="796A3485" w14:textId="77777777" w:rsidR="00C17F5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Alteração neurológica (sonolento, não fixa o olhar, compo</w:t>
      </w:r>
      <w:r w:rsidR="00C17F5A" w:rsidRPr="005A22B2">
        <w:rPr>
          <w:rFonts w:ascii="Arial" w:hAnsi="Arial" w:cs="Arial"/>
          <w:sz w:val="20"/>
          <w:szCs w:val="20"/>
        </w:rPr>
        <w:t>rtamento diferente do basal);</w:t>
      </w:r>
    </w:p>
    <w:p w14:paraId="7A6DCB2C" w14:textId="77777777" w:rsidR="00C17F5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Hemograma anormal</w:t>
      </w:r>
      <w:r w:rsidR="00C17F5A" w:rsidRPr="005A22B2">
        <w:rPr>
          <w:rFonts w:ascii="Arial" w:hAnsi="Arial" w:cs="Arial"/>
          <w:sz w:val="20"/>
          <w:szCs w:val="20"/>
        </w:rPr>
        <w:t>;</w:t>
      </w:r>
    </w:p>
    <w:p w14:paraId="611856BC" w14:textId="77777777" w:rsidR="00C17F5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Taquipneia</w:t>
      </w:r>
      <w:r w:rsidR="00C17F5A" w:rsidRPr="005A22B2">
        <w:rPr>
          <w:rFonts w:ascii="Arial" w:hAnsi="Arial" w:cs="Arial"/>
          <w:sz w:val="20"/>
          <w:szCs w:val="20"/>
        </w:rPr>
        <w:t>;</w:t>
      </w:r>
    </w:p>
    <w:p w14:paraId="7DC45EF5" w14:textId="77777777" w:rsidR="005F523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Frequência Cardíaca alterada para idade</w:t>
      </w:r>
      <w:r w:rsidR="00C17F5A" w:rsidRPr="005A22B2">
        <w:rPr>
          <w:rFonts w:ascii="Arial" w:hAnsi="Arial" w:cs="Arial"/>
          <w:sz w:val="20"/>
          <w:szCs w:val="20"/>
        </w:rPr>
        <w:t>.</w:t>
      </w:r>
    </w:p>
    <w:p w14:paraId="717BD616" w14:textId="77777777" w:rsidR="00C17F5A" w:rsidRPr="005A22B2" w:rsidRDefault="00C17F5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6D0F836" w14:textId="77777777" w:rsidR="00C17F5A" w:rsidRPr="005A22B2" w:rsidRDefault="00C17F5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631"/>
        <w:gridCol w:w="1631"/>
        <w:gridCol w:w="1582"/>
        <w:gridCol w:w="1622"/>
      </w:tblGrid>
      <w:tr w:rsidR="00C17F5A" w:rsidRPr="005A22B2" w14:paraId="6771C4F7" w14:textId="77777777" w:rsidTr="00C17F5A">
        <w:tc>
          <w:tcPr>
            <w:tcW w:w="1728" w:type="dxa"/>
          </w:tcPr>
          <w:p w14:paraId="09CF10F4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Idade</w:t>
            </w:r>
          </w:p>
        </w:tc>
        <w:tc>
          <w:tcPr>
            <w:tcW w:w="1729" w:type="dxa"/>
          </w:tcPr>
          <w:p w14:paraId="67CA123E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Frequência Cardíaca</w:t>
            </w:r>
          </w:p>
        </w:tc>
        <w:tc>
          <w:tcPr>
            <w:tcW w:w="1729" w:type="dxa"/>
          </w:tcPr>
          <w:p w14:paraId="4E2AB7CE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Frequência respiratória</w:t>
            </w:r>
          </w:p>
        </w:tc>
        <w:tc>
          <w:tcPr>
            <w:tcW w:w="1729" w:type="dxa"/>
          </w:tcPr>
          <w:p w14:paraId="57DA2729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Pressão Arterial Sistólica</w:t>
            </w:r>
          </w:p>
        </w:tc>
        <w:tc>
          <w:tcPr>
            <w:tcW w:w="1729" w:type="dxa"/>
          </w:tcPr>
          <w:p w14:paraId="671D3B1D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Leucócitos 1000/mm3</w:t>
            </w:r>
          </w:p>
        </w:tc>
      </w:tr>
      <w:tr w:rsidR="00C17F5A" w:rsidRPr="005A22B2" w14:paraId="39B1ED88" w14:textId="77777777" w:rsidTr="00C17F5A">
        <w:tc>
          <w:tcPr>
            <w:tcW w:w="1728" w:type="dxa"/>
          </w:tcPr>
          <w:p w14:paraId="129E141F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1 mês a 1 ano  </w:t>
            </w:r>
          </w:p>
        </w:tc>
        <w:tc>
          <w:tcPr>
            <w:tcW w:w="1729" w:type="dxa"/>
          </w:tcPr>
          <w:p w14:paraId="55769B50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&gt;180</w:t>
            </w:r>
          </w:p>
          <w:p w14:paraId="423132CA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&lt;90</w:t>
            </w:r>
          </w:p>
        </w:tc>
        <w:tc>
          <w:tcPr>
            <w:tcW w:w="1729" w:type="dxa"/>
          </w:tcPr>
          <w:p w14:paraId="74764A58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&gt;34</w:t>
            </w:r>
          </w:p>
        </w:tc>
        <w:tc>
          <w:tcPr>
            <w:tcW w:w="1729" w:type="dxa"/>
          </w:tcPr>
          <w:p w14:paraId="790EFF70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&lt;94</w:t>
            </w:r>
          </w:p>
        </w:tc>
        <w:tc>
          <w:tcPr>
            <w:tcW w:w="1729" w:type="dxa"/>
          </w:tcPr>
          <w:p w14:paraId="4F6A5410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&gt;17,5 </w:t>
            </w:r>
          </w:p>
          <w:p w14:paraId="3D27C4B3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&lt;5</w:t>
            </w:r>
          </w:p>
        </w:tc>
      </w:tr>
      <w:tr w:rsidR="00C17F5A" w:rsidRPr="005A22B2" w14:paraId="1186F85D" w14:textId="77777777" w:rsidTr="00C17F5A">
        <w:tc>
          <w:tcPr>
            <w:tcW w:w="1728" w:type="dxa"/>
          </w:tcPr>
          <w:p w14:paraId="79F24076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1 ano a 5 anos</w:t>
            </w:r>
          </w:p>
        </w:tc>
        <w:tc>
          <w:tcPr>
            <w:tcW w:w="1729" w:type="dxa"/>
          </w:tcPr>
          <w:p w14:paraId="5D9FE8B3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&gt;140</w:t>
            </w:r>
          </w:p>
        </w:tc>
        <w:tc>
          <w:tcPr>
            <w:tcW w:w="1729" w:type="dxa"/>
          </w:tcPr>
          <w:p w14:paraId="5AAF025A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&gt;22</w:t>
            </w:r>
          </w:p>
        </w:tc>
        <w:tc>
          <w:tcPr>
            <w:tcW w:w="1729" w:type="dxa"/>
          </w:tcPr>
          <w:p w14:paraId="06FA230C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&lt;100</w:t>
            </w:r>
          </w:p>
        </w:tc>
        <w:tc>
          <w:tcPr>
            <w:tcW w:w="1729" w:type="dxa"/>
          </w:tcPr>
          <w:p w14:paraId="451F297F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&gt;15,5</w:t>
            </w:r>
          </w:p>
          <w:p w14:paraId="5787D86F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&lt;6</w:t>
            </w:r>
          </w:p>
        </w:tc>
      </w:tr>
      <w:tr w:rsidR="00C17F5A" w:rsidRPr="005A22B2" w14:paraId="1E4D2CCC" w14:textId="77777777" w:rsidTr="00C17F5A">
        <w:tc>
          <w:tcPr>
            <w:tcW w:w="1728" w:type="dxa"/>
          </w:tcPr>
          <w:p w14:paraId="01F2B9B1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6 anos a 12 anos</w:t>
            </w:r>
          </w:p>
        </w:tc>
        <w:tc>
          <w:tcPr>
            <w:tcW w:w="1729" w:type="dxa"/>
          </w:tcPr>
          <w:p w14:paraId="57CA6DBA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&gt;130</w:t>
            </w:r>
          </w:p>
        </w:tc>
        <w:tc>
          <w:tcPr>
            <w:tcW w:w="1729" w:type="dxa"/>
          </w:tcPr>
          <w:p w14:paraId="0BE05BC8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&gt;18</w:t>
            </w:r>
          </w:p>
        </w:tc>
        <w:tc>
          <w:tcPr>
            <w:tcW w:w="1729" w:type="dxa"/>
          </w:tcPr>
          <w:p w14:paraId="392DBEA8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&lt;105</w:t>
            </w:r>
          </w:p>
        </w:tc>
        <w:tc>
          <w:tcPr>
            <w:tcW w:w="1729" w:type="dxa"/>
          </w:tcPr>
          <w:p w14:paraId="2AF7F2F2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&gt;13,5</w:t>
            </w:r>
          </w:p>
          <w:p w14:paraId="0530056F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&lt;4,5</w:t>
            </w:r>
          </w:p>
        </w:tc>
      </w:tr>
      <w:tr w:rsidR="00C17F5A" w:rsidRPr="005A22B2" w14:paraId="06890EB8" w14:textId="77777777" w:rsidTr="00C17F5A">
        <w:tc>
          <w:tcPr>
            <w:tcW w:w="1728" w:type="dxa"/>
          </w:tcPr>
          <w:p w14:paraId="11BC4DCD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13 anos a 18 anos</w:t>
            </w:r>
          </w:p>
        </w:tc>
        <w:tc>
          <w:tcPr>
            <w:tcW w:w="1729" w:type="dxa"/>
          </w:tcPr>
          <w:p w14:paraId="00017417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&gt;110</w:t>
            </w:r>
          </w:p>
        </w:tc>
        <w:tc>
          <w:tcPr>
            <w:tcW w:w="1729" w:type="dxa"/>
          </w:tcPr>
          <w:p w14:paraId="52CF35D3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&gt;14</w:t>
            </w:r>
          </w:p>
        </w:tc>
        <w:tc>
          <w:tcPr>
            <w:tcW w:w="1729" w:type="dxa"/>
          </w:tcPr>
          <w:p w14:paraId="7250C494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&lt;117</w:t>
            </w:r>
          </w:p>
        </w:tc>
        <w:tc>
          <w:tcPr>
            <w:tcW w:w="1729" w:type="dxa"/>
          </w:tcPr>
          <w:p w14:paraId="1F92632B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&gt;11,5</w:t>
            </w:r>
          </w:p>
          <w:p w14:paraId="4DF336C5" w14:textId="77777777" w:rsidR="00C17F5A" w:rsidRPr="005A22B2" w:rsidRDefault="00C17F5A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&lt;4,5</w:t>
            </w:r>
          </w:p>
        </w:tc>
      </w:tr>
    </w:tbl>
    <w:p w14:paraId="53065294" w14:textId="77777777" w:rsidR="00C17F5A" w:rsidRPr="005A22B2" w:rsidRDefault="00C17F5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49AD846" w14:textId="77777777" w:rsidR="00076DC8" w:rsidRPr="005A22B2" w:rsidRDefault="00076DC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367CD79" w14:textId="77777777" w:rsidR="00076DC8" w:rsidRPr="005A22B2" w:rsidRDefault="00076DC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0425ED8" w14:textId="77777777" w:rsidR="00076DC8" w:rsidRPr="005A22B2" w:rsidRDefault="00076DC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7D3D4DAC" w14:textId="77777777" w:rsidR="00076DC8" w:rsidRPr="005A22B2" w:rsidRDefault="00076DC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3D9AB15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PEWS MODIFICADO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63"/>
        <w:gridCol w:w="1288"/>
        <w:gridCol w:w="1299"/>
        <w:gridCol w:w="1255"/>
        <w:gridCol w:w="1245"/>
        <w:gridCol w:w="850"/>
      </w:tblGrid>
      <w:tr w:rsidR="00076DC8" w:rsidRPr="005A22B2" w14:paraId="331D7524" w14:textId="77777777" w:rsidTr="00076DC8">
        <w:tc>
          <w:tcPr>
            <w:tcW w:w="1440" w:type="dxa"/>
          </w:tcPr>
          <w:p w14:paraId="4085182D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CFD3E21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1" w:type="dxa"/>
          </w:tcPr>
          <w:p w14:paraId="2A455247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1" w:type="dxa"/>
          </w:tcPr>
          <w:p w14:paraId="407242E9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1" w:type="dxa"/>
          </w:tcPr>
          <w:p w14:paraId="7A7DCBAB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1" w:type="dxa"/>
          </w:tcPr>
          <w:p w14:paraId="46FB55F5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076DC8" w:rsidRPr="005A22B2" w14:paraId="156CD0F3" w14:textId="77777777" w:rsidTr="00076DC8">
        <w:tc>
          <w:tcPr>
            <w:tcW w:w="1440" w:type="dxa"/>
          </w:tcPr>
          <w:p w14:paraId="0C23B774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COMPORTAMENTO</w:t>
            </w:r>
          </w:p>
        </w:tc>
        <w:tc>
          <w:tcPr>
            <w:tcW w:w="1440" w:type="dxa"/>
          </w:tcPr>
          <w:p w14:paraId="51419AA8" w14:textId="77777777" w:rsidR="00257975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- Brincando / apropriado </w:t>
            </w:r>
          </w:p>
          <w:p w14:paraId="5CD6FDBD" w14:textId="77777777" w:rsidR="00257975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OU</w:t>
            </w:r>
          </w:p>
          <w:p w14:paraId="3ED12C47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-Dormindo, mas </w:t>
            </w:r>
            <w:proofErr w:type="spellStart"/>
            <w:r w:rsidR="00076DC8" w:rsidRPr="005A22B2">
              <w:rPr>
                <w:rFonts w:ascii="Arial" w:hAnsi="Arial" w:cs="Arial"/>
                <w:sz w:val="20"/>
                <w:szCs w:val="20"/>
              </w:rPr>
              <w:lastRenderedPageBreak/>
              <w:t>despertável</w:t>
            </w:r>
            <w:proofErr w:type="spellEnd"/>
          </w:p>
        </w:tc>
        <w:tc>
          <w:tcPr>
            <w:tcW w:w="1441" w:type="dxa"/>
          </w:tcPr>
          <w:p w14:paraId="799C79DB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lastRenderedPageBreak/>
              <w:t>- Inquieto, mas consolável</w:t>
            </w:r>
          </w:p>
        </w:tc>
        <w:tc>
          <w:tcPr>
            <w:tcW w:w="1441" w:type="dxa"/>
          </w:tcPr>
          <w:p w14:paraId="02FBAD24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Irritado, difícil de consolar</w:t>
            </w:r>
          </w:p>
        </w:tc>
        <w:tc>
          <w:tcPr>
            <w:tcW w:w="1441" w:type="dxa"/>
          </w:tcPr>
          <w:p w14:paraId="0C2DE4D2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Letárgico / confuso - -Resposta reduzida a dor</w:t>
            </w:r>
          </w:p>
        </w:tc>
        <w:tc>
          <w:tcPr>
            <w:tcW w:w="1441" w:type="dxa"/>
          </w:tcPr>
          <w:p w14:paraId="57AFFC3F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DC8" w:rsidRPr="005A22B2" w14:paraId="4C84CD28" w14:textId="77777777" w:rsidTr="00076DC8">
        <w:tc>
          <w:tcPr>
            <w:tcW w:w="1440" w:type="dxa"/>
          </w:tcPr>
          <w:p w14:paraId="0A98BD31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CARDIOVASCULAR</w:t>
            </w:r>
          </w:p>
        </w:tc>
        <w:tc>
          <w:tcPr>
            <w:tcW w:w="1440" w:type="dxa"/>
          </w:tcPr>
          <w:p w14:paraId="209EBC25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Corado OU - Perfusão capilar 1-2 segundos</w:t>
            </w:r>
          </w:p>
        </w:tc>
        <w:tc>
          <w:tcPr>
            <w:tcW w:w="1441" w:type="dxa"/>
          </w:tcPr>
          <w:p w14:paraId="04A4ABE4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Pálido OU - Perfusão capilar 3 segundos</w:t>
            </w:r>
          </w:p>
        </w:tc>
        <w:tc>
          <w:tcPr>
            <w:tcW w:w="1441" w:type="dxa"/>
          </w:tcPr>
          <w:p w14:paraId="3C62F224" w14:textId="77777777" w:rsidR="00257975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- Cianótico OU </w:t>
            </w:r>
          </w:p>
          <w:p w14:paraId="3AF01E47" w14:textId="77777777" w:rsidR="00257975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-Enchimento capilar acima de 4 segundos OU </w:t>
            </w:r>
          </w:p>
          <w:p w14:paraId="28C66369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FC no limite ou acima do normal para a idade</w:t>
            </w:r>
          </w:p>
        </w:tc>
        <w:tc>
          <w:tcPr>
            <w:tcW w:w="1441" w:type="dxa"/>
          </w:tcPr>
          <w:p w14:paraId="5DE06FE9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- Cianótico e </w:t>
            </w:r>
            <w:proofErr w:type="spellStart"/>
            <w:r w:rsidRPr="005A22B2">
              <w:rPr>
                <w:rFonts w:ascii="Arial" w:hAnsi="Arial" w:cs="Arial"/>
                <w:sz w:val="20"/>
                <w:szCs w:val="20"/>
              </w:rPr>
              <w:t>moteado</w:t>
            </w:r>
            <w:proofErr w:type="spellEnd"/>
            <w:r w:rsidRPr="005A22B2">
              <w:rPr>
                <w:rFonts w:ascii="Arial" w:hAnsi="Arial" w:cs="Arial"/>
                <w:sz w:val="20"/>
                <w:szCs w:val="20"/>
              </w:rPr>
              <w:t xml:space="preserve"> OU - Perfusão capilar 5 segundos OU - Taquicardia &gt; 10 limite normal para a idade OU - FC &lt; 60 para idade 4 anos e maior</w:t>
            </w:r>
          </w:p>
        </w:tc>
        <w:tc>
          <w:tcPr>
            <w:tcW w:w="1441" w:type="dxa"/>
          </w:tcPr>
          <w:p w14:paraId="06322367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DC8" w:rsidRPr="005A22B2" w14:paraId="73604BAE" w14:textId="77777777" w:rsidTr="00076DC8">
        <w:tc>
          <w:tcPr>
            <w:tcW w:w="1440" w:type="dxa"/>
          </w:tcPr>
          <w:p w14:paraId="1DBF4DDA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RESPIRATÓRIO</w:t>
            </w:r>
          </w:p>
        </w:tc>
        <w:tc>
          <w:tcPr>
            <w:tcW w:w="1440" w:type="dxa"/>
          </w:tcPr>
          <w:p w14:paraId="4F1A6143" w14:textId="77777777" w:rsidR="00257975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 Parâmetros normais</w:t>
            </w:r>
          </w:p>
          <w:p w14:paraId="4212229A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Sem uso de musculatura acessória - Ausência de retrações</w:t>
            </w:r>
          </w:p>
        </w:tc>
        <w:tc>
          <w:tcPr>
            <w:tcW w:w="1441" w:type="dxa"/>
          </w:tcPr>
          <w:p w14:paraId="4CC650ED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FR no limite ou acima do normal OU - Uso de musculatura acessória OU - O2 suplementar</w:t>
            </w:r>
          </w:p>
        </w:tc>
        <w:tc>
          <w:tcPr>
            <w:tcW w:w="1441" w:type="dxa"/>
          </w:tcPr>
          <w:p w14:paraId="6F1B6BE9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>- FR &gt; 10 acima do limite normal para a idade - Retrações OU - FiO2 40% OU - Alto-Fluxo/ CPAP / VNI</w:t>
            </w:r>
          </w:p>
        </w:tc>
        <w:tc>
          <w:tcPr>
            <w:tcW w:w="1441" w:type="dxa"/>
          </w:tcPr>
          <w:p w14:paraId="0A07C55B" w14:textId="77777777" w:rsidR="00076DC8" w:rsidRPr="005A22B2" w:rsidRDefault="0025797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A22B2">
              <w:rPr>
                <w:rFonts w:ascii="Arial" w:hAnsi="Arial" w:cs="Arial"/>
                <w:sz w:val="20"/>
                <w:szCs w:val="20"/>
              </w:rPr>
              <w:t xml:space="preserve">- FR &lt; 20 para lactentes, &lt; 10 para 4 anos e maior, com retrações e </w:t>
            </w:r>
            <w:proofErr w:type="spellStart"/>
            <w:r w:rsidRPr="005A22B2">
              <w:rPr>
                <w:rFonts w:ascii="Arial" w:hAnsi="Arial" w:cs="Arial"/>
                <w:sz w:val="20"/>
                <w:szCs w:val="20"/>
              </w:rPr>
              <w:t>gemência</w:t>
            </w:r>
            <w:proofErr w:type="spellEnd"/>
            <w:r w:rsidRPr="005A22B2">
              <w:rPr>
                <w:rFonts w:ascii="Arial" w:hAnsi="Arial" w:cs="Arial"/>
                <w:sz w:val="20"/>
                <w:szCs w:val="20"/>
              </w:rPr>
              <w:t xml:space="preserve"> OU - FiO2 &gt; 50% / Alto-Fluxo &gt; 4 L/min OU - </w:t>
            </w:r>
            <w:proofErr w:type="spellStart"/>
            <w:r w:rsidRPr="005A22B2">
              <w:rPr>
                <w:rFonts w:ascii="Arial" w:hAnsi="Arial" w:cs="Arial"/>
                <w:sz w:val="20"/>
                <w:szCs w:val="20"/>
              </w:rPr>
              <w:t>Salbutamol</w:t>
            </w:r>
            <w:proofErr w:type="spellEnd"/>
            <w:r w:rsidRPr="005A22B2">
              <w:rPr>
                <w:rFonts w:ascii="Arial" w:hAnsi="Arial" w:cs="Arial"/>
                <w:sz w:val="20"/>
                <w:szCs w:val="20"/>
              </w:rPr>
              <w:t xml:space="preserve"> contínuo</w:t>
            </w:r>
          </w:p>
        </w:tc>
        <w:tc>
          <w:tcPr>
            <w:tcW w:w="1441" w:type="dxa"/>
          </w:tcPr>
          <w:p w14:paraId="672AE356" w14:textId="77777777" w:rsidR="00076DC8" w:rsidRPr="005A22B2" w:rsidRDefault="00076DC8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445290" w14:textId="77777777" w:rsidR="005F523A" w:rsidRPr="005A22B2" w:rsidRDefault="005F523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68203DFE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SE: </w:t>
      </w:r>
    </w:p>
    <w:p w14:paraId="37F737C1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PEWS 3-5 pontos, colher gasometria + lactato e </w:t>
      </w:r>
      <w:proofErr w:type="gramStart"/>
      <w:r w:rsidRPr="005A22B2">
        <w:rPr>
          <w:rFonts w:ascii="Arial" w:hAnsi="Arial" w:cs="Arial"/>
          <w:sz w:val="20"/>
          <w:szCs w:val="20"/>
        </w:rPr>
        <w:t>repetir  PEWS</w:t>
      </w:r>
      <w:proofErr w:type="gramEnd"/>
      <w:r w:rsidRPr="005A22B2">
        <w:rPr>
          <w:rFonts w:ascii="Arial" w:hAnsi="Arial" w:cs="Arial"/>
          <w:sz w:val="20"/>
          <w:szCs w:val="20"/>
        </w:rPr>
        <w:t xml:space="preserve"> em 30 minutos OU Considerar início do tratamento </w:t>
      </w:r>
    </w:p>
    <w:p w14:paraId="2222B1F8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PEWS 6-9 -&gt; CHOQUE SÉPTICO, Iniciar Tratamento conforme protocolo </w:t>
      </w:r>
    </w:p>
    <w:p w14:paraId="28123C2E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SE: SIRS alterado + Hipotensão OU Lactato aumentado -&gt; CHOQUE SÉPTICO, Iniciar Tratamento conforme protocolo</w:t>
      </w:r>
    </w:p>
    <w:p w14:paraId="5E9B7651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0D16F7D1" w14:textId="77777777" w:rsidR="00257975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57975" w:rsidRPr="005A22B2">
        <w:rPr>
          <w:rFonts w:ascii="Arial" w:hAnsi="Arial" w:cs="Arial"/>
          <w:sz w:val="20"/>
          <w:szCs w:val="20"/>
        </w:rPr>
        <w:t>. TRATAMENTO:</w:t>
      </w:r>
    </w:p>
    <w:p w14:paraId="452DC01A" w14:textId="77777777" w:rsidR="00257975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3</w:t>
      </w:r>
      <w:r w:rsidR="00257975" w:rsidRPr="005A22B2">
        <w:rPr>
          <w:rFonts w:ascii="Arial" w:hAnsi="Arial" w:cs="Arial"/>
          <w:sz w:val="20"/>
          <w:szCs w:val="20"/>
        </w:rPr>
        <w:t xml:space="preserve">.1. Metas Básicas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Bolus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 IV 20mL/kg soro fisiológico em 5-10 minutos ou o mais rápido possível. Antibióticos de largo espectro imediatamente, na dose máxima permitida. Coleta de hemocultura. Gasometria e Lactato (arterial ou venoso), Glicemia, Cálcio (iônico de preferência), Na / K, Creatinina, Hemograma (se ainda não foi colhido), PCR. Exames adicionais se possível: TGO/TGP, bilirrubinas, Ureia.</w:t>
      </w:r>
    </w:p>
    <w:p w14:paraId="072F819C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448C012F" w14:textId="77777777" w:rsidR="00257975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57975" w:rsidRPr="005A22B2">
        <w:rPr>
          <w:rFonts w:ascii="Arial" w:hAnsi="Arial" w:cs="Arial"/>
          <w:sz w:val="20"/>
          <w:szCs w:val="20"/>
        </w:rPr>
        <w:t xml:space="preserve">.2 Metas Adicionais </w:t>
      </w:r>
    </w:p>
    <w:p w14:paraId="4A1634CD" w14:textId="77777777" w:rsidR="00257975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57975" w:rsidRPr="005A22B2">
        <w:rPr>
          <w:rFonts w:ascii="Arial" w:hAnsi="Arial" w:cs="Arial"/>
          <w:sz w:val="20"/>
          <w:szCs w:val="20"/>
        </w:rPr>
        <w:t xml:space="preserve">.2.1 Oferta de Oxigênio Oferecer oxigênio por cateter nasal de alto fluxo ou máscara não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reinalante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 para todos os pacientes. Considerar VNI ou Intubação orotraqueal conforme gravidade ou se necessidade de sedação para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procediementos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 invasivos.</w:t>
      </w:r>
    </w:p>
    <w:p w14:paraId="50F47650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4D6BACBC" w14:textId="77777777" w:rsidR="00257975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57975" w:rsidRPr="005A22B2">
        <w:rPr>
          <w:rFonts w:ascii="Arial" w:hAnsi="Arial" w:cs="Arial"/>
          <w:sz w:val="20"/>
          <w:szCs w:val="20"/>
        </w:rPr>
        <w:t xml:space="preserve">.2.2 Acesso vascular Dois acessos venosos imediatamente. Se não for possível acesso periférico, obter acesso intraósseo. Considerar assim que possível a colocação de acesso central. A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concentraçãoo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 máxima de Adrenalina para ser feita em veia periférica deverá ser de 20 mcg/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mL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 ou menor. </w:t>
      </w:r>
    </w:p>
    <w:p w14:paraId="36CE81B0" w14:textId="77777777" w:rsidR="00257975" w:rsidRPr="005A22B2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lastRenderedPageBreak/>
        <w:t>.</w:t>
      </w:r>
    </w:p>
    <w:p w14:paraId="2B520B2A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57975" w:rsidRPr="005A22B2">
        <w:rPr>
          <w:rFonts w:ascii="Arial" w:hAnsi="Arial" w:cs="Arial"/>
          <w:sz w:val="20"/>
          <w:szCs w:val="20"/>
        </w:rPr>
        <w:t xml:space="preserve">.2.3 Administração de Fluidos Infusões Sequenciais de 20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mL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/kg de solução cristaloide, podendo chegar até um total de 60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mL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/kg. Infundir o volume de forma rápida, sempre com reavaliação clínica da perfusão, pressão arterial, saturação venosa central e ecocardiograma, quando disponíveis entre as infusões. Se necessário infusões adicionais, utilizar coloides (albumina 5%). Se observada hepatomegalia ou estertores pulmonares e aumento do esforço respiratório, interromper as infusões e considerar furosemida. </w:t>
      </w:r>
    </w:p>
    <w:p w14:paraId="05831604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10F03D12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57975" w:rsidRPr="005A22B2">
        <w:rPr>
          <w:rFonts w:ascii="Arial" w:hAnsi="Arial" w:cs="Arial"/>
          <w:sz w:val="20"/>
          <w:szCs w:val="20"/>
        </w:rPr>
        <w:t>.2.4 Drogas Inotrópicas A droga inicial de escolha é a Adrenalina. Iniciar com a dose de 0.1 mcg/kg/min e aumentar progressivamente</w:t>
      </w:r>
      <w:r w:rsidR="00EB4643" w:rsidRPr="005A22B2">
        <w:rPr>
          <w:rFonts w:ascii="Arial" w:hAnsi="Arial" w:cs="Arial"/>
          <w:sz w:val="20"/>
          <w:szCs w:val="20"/>
        </w:rPr>
        <w:t xml:space="preserve"> (0,1 a 1,0 mcg/kg/min)</w:t>
      </w:r>
      <w:r w:rsidR="00257975" w:rsidRPr="005A22B2">
        <w:rPr>
          <w:rFonts w:ascii="Arial" w:hAnsi="Arial" w:cs="Arial"/>
          <w:sz w:val="20"/>
          <w:szCs w:val="20"/>
        </w:rPr>
        <w:t xml:space="preserve"> se necessário conforme avaliação clínica. Em caso de hipotensão refratária, associar noradrenalina</w:t>
      </w:r>
      <w:r w:rsidR="00EB4643" w:rsidRPr="005A22B2">
        <w:rPr>
          <w:rFonts w:ascii="Arial" w:hAnsi="Arial" w:cs="Arial"/>
          <w:sz w:val="20"/>
          <w:szCs w:val="20"/>
        </w:rPr>
        <w:t xml:space="preserve"> (0,1 a 1,0 mcg/kg/min)</w:t>
      </w:r>
      <w:r w:rsidR="00257975" w:rsidRPr="005A22B2">
        <w:rPr>
          <w:rFonts w:ascii="Arial" w:hAnsi="Arial" w:cs="Arial"/>
          <w:sz w:val="20"/>
          <w:szCs w:val="20"/>
        </w:rPr>
        <w:t xml:space="preserve">. </w:t>
      </w:r>
    </w:p>
    <w:p w14:paraId="6B63960E" w14:textId="77777777" w:rsidR="00EB4643" w:rsidRDefault="00257975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Outras drogas vasoativas podem ser necessárias, como a </w:t>
      </w:r>
      <w:proofErr w:type="spellStart"/>
      <w:r w:rsidRPr="005A22B2">
        <w:rPr>
          <w:rFonts w:ascii="Arial" w:hAnsi="Arial" w:cs="Arial"/>
          <w:sz w:val="20"/>
          <w:szCs w:val="20"/>
        </w:rPr>
        <w:t>Milrinona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>, no caso do choque frio, com resistência periférica aumentada</w:t>
      </w:r>
      <w:r w:rsidRPr="005A22B2">
        <w:rPr>
          <w:rFonts w:ascii="Arial" w:hAnsi="Arial" w:cs="Arial"/>
          <w:sz w:val="20"/>
          <w:szCs w:val="20"/>
        </w:rPr>
        <w:t>.</w:t>
      </w:r>
      <w:r w:rsidR="00EB4643" w:rsidRPr="005A22B2">
        <w:rPr>
          <w:rFonts w:ascii="Arial" w:hAnsi="Arial" w:cs="Arial"/>
          <w:sz w:val="20"/>
          <w:szCs w:val="20"/>
        </w:rPr>
        <w:t xml:space="preserve"> O que leva ao aumento da PA. (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Milrinona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0,25 a 0,75mcg/kg/min iniciar com dose baixa e aumentar lentamente, droga tem meia vida longa &gt;4h)</w:t>
      </w:r>
    </w:p>
    <w:p w14:paraId="668091F7" w14:textId="77777777" w:rsidR="009E20D8" w:rsidRDefault="009E20D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6D6CACBC" w14:textId="77777777" w:rsidR="009E20D8" w:rsidRDefault="002C423F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DROGAS VASOATIVAS, DOSES E APRESENTAÇÕES:</w:t>
      </w:r>
    </w:p>
    <w:tbl>
      <w:tblPr>
        <w:tblStyle w:val="Tabelacomgrade"/>
        <w:tblW w:w="8076" w:type="dxa"/>
        <w:tblInd w:w="720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C423F" w14:paraId="0CDDADCE" w14:textId="77777777" w:rsidTr="002C423F">
        <w:trPr>
          <w:trHeight w:val="398"/>
        </w:trPr>
        <w:tc>
          <w:tcPr>
            <w:tcW w:w="2019" w:type="dxa"/>
          </w:tcPr>
          <w:p w14:paraId="7D2B99BC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DROGA</w:t>
            </w:r>
          </w:p>
        </w:tc>
        <w:tc>
          <w:tcPr>
            <w:tcW w:w="2019" w:type="dxa"/>
          </w:tcPr>
          <w:p w14:paraId="0CB5C1CD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DOSE(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mcg/kg/min)</w:t>
            </w:r>
          </w:p>
        </w:tc>
        <w:tc>
          <w:tcPr>
            <w:tcW w:w="2019" w:type="dxa"/>
          </w:tcPr>
          <w:p w14:paraId="33D89CBB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2019" w:type="dxa"/>
          </w:tcPr>
          <w:p w14:paraId="180181CF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MCG/ML</w:t>
            </w:r>
          </w:p>
        </w:tc>
      </w:tr>
      <w:tr w:rsidR="002C423F" w14:paraId="39A0BA0A" w14:textId="77777777" w:rsidTr="002C423F">
        <w:trPr>
          <w:trHeight w:val="398"/>
        </w:trPr>
        <w:tc>
          <w:tcPr>
            <w:tcW w:w="2019" w:type="dxa"/>
          </w:tcPr>
          <w:p w14:paraId="2F6175E1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DOBUTAMINA</w:t>
            </w:r>
          </w:p>
        </w:tc>
        <w:tc>
          <w:tcPr>
            <w:tcW w:w="2019" w:type="dxa"/>
          </w:tcPr>
          <w:p w14:paraId="48F3FB80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  -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20</w:t>
            </w:r>
          </w:p>
        </w:tc>
        <w:tc>
          <w:tcPr>
            <w:tcW w:w="2019" w:type="dxa"/>
          </w:tcPr>
          <w:p w14:paraId="53043145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250mg/20ml</w:t>
            </w:r>
          </w:p>
        </w:tc>
        <w:tc>
          <w:tcPr>
            <w:tcW w:w="2019" w:type="dxa"/>
          </w:tcPr>
          <w:p w14:paraId="62E300C0" w14:textId="77777777" w:rsidR="002C423F" w:rsidRDefault="00684B9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12.500mcg/ml</w:t>
            </w:r>
          </w:p>
        </w:tc>
      </w:tr>
      <w:tr w:rsidR="002C423F" w14:paraId="50E6D9C5" w14:textId="77777777" w:rsidTr="002C423F">
        <w:trPr>
          <w:trHeight w:val="398"/>
        </w:trPr>
        <w:tc>
          <w:tcPr>
            <w:tcW w:w="2019" w:type="dxa"/>
          </w:tcPr>
          <w:p w14:paraId="660DE7E0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DOPAMINA</w:t>
            </w:r>
          </w:p>
        </w:tc>
        <w:tc>
          <w:tcPr>
            <w:tcW w:w="2019" w:type="dxa"/>
          </w:tcPr>
          <w:p w14:paraId="3E8558D6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  -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20</w:t>
            </w:r>
          </w:p>
        </w:tc>
        <w:tc>
          <w:tcPr>
            <w:tcW w:w="2019" w:type="dxa"/>
          </w:tcPr>
          <w:p w14:paraId="1CADE921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50mg/10ml</w:t>
            </w:r>
          </w:p>
        </w:tc>
        <w:tc>
          <w:tcPr>
            <w:tcW w:w="2019" w:type="dxa"/>
          </w:tcPr>
          <w:p w14:paraId="56D5533B" w14:textId="77777777" w:rsidR="002C423F" w:rsidRDefault="00684B9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5.000mcg/ml</w:t>
            </w:r>
          </w:p>
        </w:tc>
      </w:tr>
      <w:tr w:rsidR="002C423F" w14:paraId="3776CFF0" w14:textId="77777777" w:rsidTr="002C423F">
        <w:trPr>
          <w:trHeight w:val="398"/>
        </w:trPr>
        <w:tc>
          <w:tcPr>
            <w:tcW w:w="2019" w:type="dxa"/>
          </w:tcPr>
          <w:p w14:paraId="433D4484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EPINEFRINA</w:t>
            </w:r>
          </w:p>
        </w:tc>
        <w:tc>
          <w:tcPr>
            <w:tcW w:w="2019" w:type="dxa"/>
          </w:tcPr>
          <w:p w14:paraId="207A4FA6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  -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1,0</w:t>
            </w:r>
          </w:p>
        </w:tc>
        <w:tc>
          <w:tcPr>
            <w:tcW w:w="2019" w:type="dxa"/>
          </w:tcPr>
          <w:p w14:paraId="0F4E6907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1mg/ml</w:t>
            </w:r>
          </w:p>
        </w:tc>
        <w:tc>
          <w:tcPr>
            <w:tcW w:w="2019" w:type="dxa"/>
          </w:tcPr>
          <w:p w14:paraId="4E1FDD3A" w14:textId="77777777" w:rsidR="002C423F" w:rsidRDefault="00684B9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1.000mcg/ml</w:t>
            </w:r>
          </w:p>
        </w:tc>
      </w:tr>
      <w:tr w:rsidR="002C423F" w14:paraId="2E32458B" w14:textId="77777777" w:rsidTr="002C423F">
        <w:trPr>
          <w:trHeight w:val="398"/>
        </w:trPr>
        <w:tc>
          <w:tcPr>
            <w:tcW w:w="2019" w:type="dxa"/>
          </w:tcPr>
          <w:p w14:paraId="64140A2B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NOREPINEFRINA</w:t>
            </w:r>
          </w:p>
        </w:tc>
        <w:tc>
          <w:tcPr>
            <w:tcW w:w="2019" w:type="dxa"/>
          </w:tcPr>
          <w:p w14:paraId="6FD7079C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  -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1,0</w:t>
            </w:r>
          </w:p>
        </w:tc>
        <w:tc>
          <w:tcPr>
            <w:tcW w:w="2019" w:type="dxa"/>
          </w:tcPr>
          <w:p w14:paraId="274BCC68" w14:textId="77777777" w:rsidR="002C423F" w:rsidRDefault="00684B9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C423F">
              <w:rPr>
                <w:rFonts w:ascii="Arial" w:hAnsi="Arial" w:cs="Arial"/>
                <w:sz w:val="20"/>
                <w:szCs w:val="20"/>
              </w:rPr>
              <w:t>mg/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="002C423F">
              <w:rPr>
                <w:rFonts w:ascii="Arial" w:hAnsi="Arial" w:cs="Arial"/>
                <w:sz w:val="20"/>
                <w:szCs w:val="20"/>
              </w:rPr>
              <w:t>ml</w:t>
            </w:r>
            <w:r>
              <w:rPr>
                <w:rFonts w:ascii="Arial" w:hAnsi="Arial" w:cs="Arial"/>
                <w:sz w:val="20"/>
                <w:szCs w:val="20"/>
              </w:rPr>
              <w:t xml:space="preserve">  *</w:t>
            </w:r>
            <w:proofErr w:type="gramEnd"/>
          </w:p>
        </w:tc>
        <w:tc>
          <w:tcPr>
            <w:tcW w:w="2019" w:type="dxa"/>
          </w:tcPr>
          <w:p w14:paraId="21ED7871" w14:textId="77777777" w:rsidR="002C423F" w:rsidRDefault="00684B9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1.000mcg/ml</w:t>
            </w:r>
          </w:p>
        </w:tc>
      </w:tr>
      <w:tr w:rsidR="002C423F" w14:paraId="2651B362" w14:textId="77777777" w:rsidTr="002C423F">
        <w:trPr>
          <w:trHeight w:val="398"/>
        </w:trPr>
        <w:tc>
          <w:tcPr>
            <w:tcW w:w="2019" w:type="dxa"/>
          </w:tcPr>
          <w:p w14:paraId="59A2ABB4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MILRINONA</w:t>
            </w:r>
          </w:p>
        </w:tc>
        <w:tc>
          <w:tcPr>
            <w:tcW w:w="2019" w:type="dxa"/>
          </w:tcPr>
          <w:p w14:paraId="50A1F9CC" w14:textId="77777777" w:rsidR="002C423F" w:rsidRDefault="002C423F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25  -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0,75</w:t>
            </w:r>
          </w:p>
        </w:tc>
        <w:tc>
          <w:tcPr>
            <w:tcW w:w="2019" w:type="dxa"/>
          </w:tcPr>
          <w:p w14:paraId="70F8E60A" w14:textId="77777777" w:rsidR="002C423F" w:rsidRDefault="00684B9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20mg/20ml</w:t>
            </w:r>
          </w:p>
        </w:tc>
        <w:tc>
          <w:tcPr>
            <w:tcW w:w="2019" w:type="dxa"/>
          </w:tcPr>
          <w:p w14:paraId="179E1328" w14:textId="77777777" w:rsidR="002C423F" w:rsidRDefault="00684B95" w:rsidP="007869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1.000mcg/ml</w:t>
            </w:r>
          </w:p>
        </w:tc>
      </w:tr>
    </w:tbl>
    <w:p w14:paraId="275B85E1" w14:textId="77777777" w:rsidR="002C423F" w:rsidRPr="00684B95" w:rsidRDefault="00684B95" w:rsidP="007869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*HEMITARTARATO DE NOREPINEFRINA, na ampola há descrição de 2mg/ml, no entanto apenas 1mg é a parte ativa da solução. A outra parte é apenas veículo, sendo a dose=1mg/ml</w:t>
      </w:r>
    </w:p>
    <w:p w14:paraId="7D2BC2F4" w14:textId="77777777" w:rsidR="009E20D8" w:rsidRDefault="009E20D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12E31004" w14:textId="77777777" w:rsidR="009E20D8" w:rsidRDefault="009E20D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3708B44" wp14:editId="7F9B88A4">
            <wp:extent cx="502920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200" t="20762" r="6122" b="19030"/>
                    <a:stretch/>
                  </pic:blipFill>
                  <pic:spPr bwMode="auto">
                    <a:xfrm>
                      <a:off x="0" y="0"/>
                      <a:ext cx="5038442" cy="223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A2938" w14:textId="77777777" w:rsidR="009E20D8" w:rsidRDefault="009E20D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513C12EC" w14:textId="77777777" w:rsidR="009E20D8" w:rsidRDefault="009E20D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0CD603BA" wp14:editId="0959ABB3">
            <wp:extent cx="4993844" cy="1828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66" t="29800" r="6702" b="11852"/>
                    <a:stretch/>
                  </pic:blipFill>
                  <pic:spPr bwMode="auto">
                    <a:xfrm>
                      <a:off x="0" y="0"/>
                      <a:ext cx="4993862" cy="182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ECFD0" w14:textId="77777777" w:rsidR="009E20D8" w:rsidRDefault="009E20D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5671D81" w14:textId="77777777" w:rsidR="009E20D8" w:rsidRPr="005A22B2" w:rsidRDefault="009E20D8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01C9D2F" wp14:editId="74C705E3">
            <wp:extent cx="4991100" cy="239572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866" t="31997" r="5997" b="11539"/>
                    <a:stretch/>
                  </pic:blipFill>
                  <pic:spPr bwMode="auto">
                    <a:xfrm>
                      <a:off x="0" y="0"/>
                      <a:ext cx="5001660" cy="240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3A784" w14:textId="77777777" w:rsidR="00EB4643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6B9E61FF" w14:textId="77777777" w:rsidR="00E23C34" w:rsidRDefault="00E23C34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62254D2" w14:textId="77777777" w:rsidR="00E23C34" w:rsidRPr="005A22B2" w:rsidRDefault="00E23C34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5E1CC664" w14:textId="77777777" w:rsidR="00257975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3</w:t>
      </w:r>
      <w:r w:rsidR="00257975" w:rsidRPr="005A22B2">
        <w:rPr>
          <w:rFonts w:ascii="Arial" w:hAnsi="Arial" w:cs="Arial"/>
          <w:sz w:val="20"/>
          <w:szCs w:val="20"/>
        </w:rPr>
        <w:t>.2.5 Nível de Hemoglobina A meta para nível de hemoglobina é de 7 g/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dL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>. Nos pacientes descompensados mais graves, considerar transfusão para obter nível igual ou maior a 9 g/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dL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>. Nas crianças com anemia grave (&lt; 5 g/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dL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 xml:space="preserve">), por hemólise autoimune, sangramento ou crise de </w:t>
      </w:r>
      <w:proofErr w:type="spellStart"/>
      <w:r w:rsidR="00257975" w:rsidRPr="005A22B2">
        <w:rPr>
          <w:rFonts w:ascii="Arial" w:hAnsi="Arial" w:cs="Arial"/>
          <w:sz w:val="20"/>
          <w:szCs w:val="20"/>
        </w:rPr>
        <w:t>falcização</w:t>
      </w:r>
      <w:proofErr w:type="spellEnd"/>
      <w:r w:rsidR="00257975" w:rsidRPr="005A22B2">
        <w:rPr>
          <w:rFonts w:ascii="Arial" w:hAnsi="Arial" w:cs="Arial"/>
          <w:sz w:val="20"/>
          <w:szCs w:val="20"/>
        </w:rPr>
        <w:t>, não expandir com cristaloides, devem receber primeiro concentrado de hemácias.</w:t>
      </w:r>
    </w:p>
    <w:p w14:paraId="10F3DCD2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766B2CBE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B4643" w:rsidRPr="005A22B2">
        <w:rPr>
          <w:rFonts w:ascii="Arial" w:hAnsi="Arial" w:cs="Arial"/>
          <w:sz w:val="20"/>
          <w:szCs w:val="20"/>
        </w:rPr>
        <w:t xml:space="preserve">.2.6 Correção de </w:t>
      </w:r>
      <w:proofErr w:type="gramStart"/>
      <w:r w:rsidR="00EB4643" w:rsidRPr="005A22B2">
        <w:rPr>
          <w:rFonts w:ascii="Arial" w:hAnsi="Arial" w:cs="Arial"/>
          <w:sz w:val="20"/>
          <w:szCs w:val="20"/>
        </w:rPr>
        <w:t>glicose e cálcio Recomenda-se</w:t>
      </w:r>
      <w:proofErr w:type="gramEnd"/>
      <w:r w:rsidR="00EB4643" w:rsidRPr="005A22B2">
        <w:rPr>
          <w:rFonts w:ascii="Arial" w:hAnsi="Arial" w:cs="Arial"/>
          <w:sz w:val="20"/>
          <w:szCs w:val="20"/>
        </w:rPr>
        <w:t xml:space="preserve"> 1 mg/kg de glicose em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bolus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: lactentes e crianças SG 25% 4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mL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/kg; adolescentes SG25% 4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mL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/kg ou SG 50% 20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mL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Gluconato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de Cálcio a 10%, na dose de 1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mL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/kg, máximo de 20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mL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, infusão em 30 minutos. Fazer em acesso central. </w:t>
      </w:r>
    </w:p>
    <w:p w14:paraId="08A067AB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0CB5BB4E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B4643" w:rsidRPr="005A22B2">
        <w:rPr>
          <w:rFonts w:ascii="Arial" w:hAnsi="Arial" w:cs="Arial"/>
          <w:sz w:val="20"/>
          <w:szCs w:val="20"/>
        </w:rPr>
        <w:t xml:space="preserve">.2.7 Antibióticos Devem ser administrados o quanto antes, dentro da primeira hora de atendimento.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Ceftriaxona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para criança com foco domiciliar, previamente hígida. Associar clindamicina se síndrome do choque tóxico. Crianças com doença de base, foco intra-hospitalar ou internação prévia recente: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cefepime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ou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meropenem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+ vancomicina (se dispositivos invasivos ou imunodeprimido) Considerar indicações de antivirais ou antifúngicos conforme o caso. </w:t>
      </w:r>
    </w:p>
    <w:p w14:paraId="32DF4AF2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3B4AF4D0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B4643" w:rsidRPr="005A22B2">
        <w:rPr>
          <w:rFonts w:ascii="Arial" w:hAnsi="Arial" w:cs="Arial"/>
          <w:sz w:val="20"/>
          <w:szCs w:val="20"/>
        </w:rPr>
        <w:t xml:space="preserve">.2.8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Corticóide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Nos casos </w:t>
      </w:r>
      <w:proofErr w:type="gramStart"/>
      <w:r w:rsidR="00EB4643" w:rsidRPr="005A22B2">
        <w:rPr>
          <w:rFonts w:ascii="Arial" w:hAnsi="Arial" w:cs="Arial"/>
          <w:sz w:val="20"/>
          <w:szCs w:val="20"/>
        </w:rPr>
        <w:t>de Purpura</w:t>
      </w:r>
      <w:proofErr w:type="gramEnd"/>
      <w:r w:rsidR="00EB4643"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fulminans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ou uso crônico de corticosteroides. Hidrocortisona 2 mg/kg/dia dividida em 3 doses. Diminuição gradual após 5 dias.</w:t>
      </w:r>
    </w:p>
    <w:p w14:paraId="459EB3AB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745F745F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0D0044C5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B4643" w:rsidRPr="005A22B2">
        <w:rPr>
          <w:rFonts w:ascii="Arial" w:hAnsi="Arial" w:cs="Arial"/>
          <w:sz w:val="20"/>
          <w:szCs w:val="20"/>
        </w:rPr>
        <w:t xml:space="preserve">.3 MONITORIZAÇÃO </w:t>
      </w:r>
    </w:p>
    <w:p w14:paraId="5E5AEE8A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617E0E14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</w:t>
      </w:r>
      <w:r w:rsidR="00EB4643" w:rsidRPr="005A22B2">
        <w:rPr>
          <w:rFonts w:ascii="Arial" w:hAnsi="Arial" w:cs="Arial"/>
          <w:sz w:val="20"/>
          <w:szCs w:val="20"/>
        </w:rPr>
        <w:t xml:space="preserve">.3.1 Na Primeira Hora do Choque 1. Oximetria de Pulso Contínua (dar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preferencia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ao Oxímetro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Masimo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e monitorizar o Índice de Perfusão) 2. Monitorização Cardíaca: ECG Contínuo 3. Controle de pressão arterial (PA) de 15/15 minutos 4. Monitorização de Temperatura 5. Monitorização de débito urinário por sonda vesical 6. Ecocardiograma funcional, se disponível </w:t>
      </w:r>
    </w:p>
    <w:p w14:paraId="3BEF0F53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5D2BB8DE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B4643" w:rsidRPr="005A22B2">
        <w:rPr>
          <w:rFonts w:ascii="Arial" w:hAnsi="Arial" w:cs="Arial"/>
          <w:sz w:val="20"/>
          <w:szCs w:val="20"/>
        </w:rPr>
        <w:t xml:space="preserve">.3.2 Após a Primeira Hora 1. Monitorização da Pressão Arterial Invasiva (Pai) através de </w:t>
      </w:r>
      <w:proofErr w:type="spellStart"/>
      <w:r w:rsidR="00EB4643" w:rsidRPr="005A22B2">
        <w:rPr>
          <w:rFonts w:ascii="Arial" w:hAnsi="Arial" w:cs="Arial"/>
          <w:sz w:val="20"/>
          <w:szCs w:val="20"/>
        </w:rPr>
        <w:t>Cateterização</w:t>
      </w:r>
      <w:proofErr w:type="spellEnd"/>
      <w:r w:rsidR="00EB4643" w:rsidRPr="005A22B2">
        <w:rPr>
          <w:rFonts w:ascii="Arial" w:hAnsi="Arial" w:cs="Arial"/>
          <w:sz w:val="20"/>
          <w:szCs w:val="20"/>
        </w:rPr>
        <w:t xml:space="preserve"> arterial 2. Monitorização da Saturação Venosa Central de Oxigênio: através da coleta de gasometria venosa central seriada 3. Ecocardiograma funcional: avaliação do débito cardíaco e complacência da veia cava inferior;</w:t>
      </w:r>
    </w:p>
    <w:p w14:paraId="7160150E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0E14B652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B4643" w:rsidRPr="005A22B2">
        <w:rPr>
          <w:rFonts w:ascii="Arial" w:hAnsi="Arial" w:cs="Arial"/>
          <w:sz w:val="20"/>
          <w:szCs w:val="20"/>
        </w:rPr>
        <w:t xml:space="preserve">.4 OUTRAS CONSIDERAÇÕES: </w:t>
      </w:r>
    </w:p>
    <w:p w14:paraId="4BA3218F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1. PLASMA: se </w:t>
      </w:r>
      <w:proofErr w:type="spellStart"/>
      <w:r w:rsidRPr="005A22B2">
        <w:rPr>
          <w:rFonts w:ascii="Arial" w:hAnsi="Arial" w:cs="Arial"/>
          <w:sz w:val="20"/>
          <w:szCs w:val="20"/>
        </w:rPr>
        <w:t>coagulopatia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presente E sangramento ativo ou necessidade de procedimento invasivo </w:t>
      </w:r>
    </w:p>
    <w:p w14:paraId="4C4B4683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2. PLAQUETAS: se plaquetas &lt; 50.000 mm3 </w:t>
      </w:r>
    </w:p>
    <w:p w14:paraId="7EDCE814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3. VENTILAÇÃO MECÃNICA: estratégias de ventilação protetora. </w:t>
      </w:r>
    </w:p>
    <w:p w14:paraId="7BC034F5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4. SEDAÇÃO E ANALGESIA: evitar uso de </w:t>
      </w:r>
      <w:proofErr w:type="spellStart"/>
      <w:r w:rsidRPr="005A22B2">
        <w:rPr>
          <w:rFonts w:ascii="Arial" w:hAnsi="Arial" w:cs="Arial"/>
          <w:sz w:val="20"/>
          <w:szCs w:val="20"/>
        </w:rPr>
        <w:t>etomidato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(bloqueio da adrenal) e </w:t>
      </w:r>
      <w:proofErr w:type="spellStart"/>
      <w:r w:rsidRPr="005A22B2">
        <w:rPr>
          <w:rFonts w:ascii="Arial" w:hAnsi="Arial" w:cs="Arial"/>
          <w:sz w:val="20"/>
          <w:szCs w:val="20"/>
        </w:rPr>
        <w:t>propofol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(hipotensão).</w:t>
      </w:r>
    </w:p>
    <w:p w14:paraId="17BC9836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 5. CONTROLE DA GLICEMIA: manter glicemia abaixo de 180 mg%. </w:t>
      </w:r>
    </w:p>
    <w:p w14:paraId="3928172D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6. DIURÉTICOS: usar diuréticos de forma precoce, uma vez atingida a estabilidade hemodinâmica para evitar balanço hídrico acumulado positivo acima de 10% do peso corporal. </w:t>
      </w:r>
    </w:p>
    <w:p w14:paraId="520DDEBB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7. NUTRIÇÃO: dar preferência a nutrição enteral. </w:t>
      </w:r>
    </w:p>
    <w:p w14:paraId="79268D6A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8. IMUNOGLOBULINA ENDOVENOSA: considerar no choque tóxico e </w:t>
      </w:r>
      <w:proofErr w:type="spellStart"/>
      <w:r w:rsidRPr="005A22B2">
        <w:rPr>
          <w:rFonts w:ascii="Arial" w:hAnsi="Arial" w:cs="Arial"/>
          <w:sz w:val="20"/>
          <w:szCs w:val="20"/>
        </w:rPr>
        <w:t>fascite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necrosante.</w:t>
      </w:r>
    </w:p>
    <w:p w14:paraId="570C0169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>.</w:t>
      </w:r>
    </w:p>
    <w:p w14:paraId="029EF430" w14:textId="77777777" w:rsidR="00EB4643" w:rsidRPr="005A22B2" w:rsidRDefault="00E4589A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B4643" w:rsidRPr="005A22B2">
        <w:rPr>
          <w:rFonts w:ascii="Arial" w:hAnsi="Arial" w:cs="Arial"/>
          <w:sz w:val="20"/>
          <w:szCs w:val="20"/>
        </w:rPr>
        <w:t xml:space="preserve">. INDICADORES </w:t>
      </w:r>
    </w:p>
    <w:p w14:paraId="270A7D27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Mortalidade institucional de sepse e choque séptico; </w:t>
      </w:r>
    </w:p>
    <w:p w14:paraId="586FFEFC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Taxa de aderência ao tratamento inicial (antibióticos, fluido, inotrópico, hemocultura, acessos venosos, monitorização) </w:t>
      </w:r>
    </w:p>
    <w:p w14:paraId="5B95F4C5" w14:textId="77777777" w:rsidR="00EB4643" w:rsidRPr="005A22B2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Tempo para dose de antibióticos (meta &lt; 60 minutos) </w:t>
      </w:r>
    </w:p>
    <w:p w14:paraId="22DC00A3" w14:textId="77777777" w:rsidR="00EB4643" w:rsidRDefault="00EB464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Tempo para fluidos (SF) (meta 40 </w:t>
      </w:r>
      <w:proofErr w:type="spellStart"/>
      <w:r w:rsidRPr="005A22B2">
        <w:rPr>
          <w:rFonts w:ascii="Arial" w:hAnsi="Arial" w:cs="Arial"/>
          <w:sz w:val="20"/>
          <w:szCs w:val="20"/>
        </w:rPr>
        <w:t>mL</w:t>
      </w:r>
      <w:proofErr w:type="spellEnd"/>
      <w:r w:rsidRPr="005A22B2">
        <w:rPr>
          <w:rFonts w:ascii="Arial" w:hAnsi="Arial" w:cs="Arial"/>
          <w:sz w:val="20"/>
          <w:szCs w:val="20"/>
        </w:rPr>
        <w:t>/kg &lt; 60 minutos)</w:t>
      </w:r>
    </w:p>
    <w:p w14:paraId="6D11233C" w14:textId="77777777" w:rsidR="005A22B2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14:paraId="4581B393" w14:textId="77777777" w:rsidR="005A22B2" w:rsidRDefault="00E4589A" w:rsidP="007869F0">
      <w:pPr>
        <w:pStyle w:val="PargrafodaLista"/>
        <w:ind w:left="0"/>
      </w:pPr>
      <w:r>
        <w:t>5</w:t>
      </w:r>
      <w:r w:rsidR="005A22B2">
        <w:t xml:space="preserve">. REFERÊNCIA </w:t>
      </w:r>
    </w:p>
    <w:p w14:paraId="1BD2F522" w14:textId="77777777" w:rsidR="005A22B2" w:rsidRPr="005A22B2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proofErr w:type="spellStart"/>
      <w:r w:rsidRPr="005A22B2">
        <w:rPr>
          <w:rFonts w:ascii="Arial" w:hAnsi="Arial" w:cs="Arial"/>
          <w:sz w:val="20"/>
          <w:szCs w:val="20"/>
        </w:rPr>
        <w:t>Dellinger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R, et al. </w:t>
      </w:r>
      <w:proofErr w:type="spellStart"/>
      <w:r w:rsidRPr="005A22B2">
        <w:rPr>
          <w:rFonts w:ascii="Arial" w:hAnsi="Arial" w:cs="Arial"/>
          <w:sz w:val="20"/>
          <w:szCs w:val="20"/>
        </w:rPr>
        <w:t>Surviving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Sepsis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Campaign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A22B2">
        <w:rPr>
          <w:rFonts w:ascii="Arial" w:hAnsi="Arial" w:cs="Arial"/>
          <w:sz w:val="20"/>
          <w:szCs w:val="20"/>
        </w:rPr>
        <w:t>International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Guidelines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for Management </w:t>
      </w:r>
      <w:proofErr w:type="spellStart"/>
      <w:r w:rsidRPr="005A22B2">
        <w:rPr>
          <w:rFonts w:ascii="Arial" w:hAnsi="Arial" w:cs="Arial"/>
          <w:sz w:val="20"/>
          <w:szCs w:val="20"/>
        </w:rPr>
        <w:t>of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Severe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Sepsis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and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Septic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Shock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: 2012. </w:t>
      </w:r>
      <w:proofErr w:type="spellStart"/>
      <w:r w:rsidRPr="005A22B2">
        <w:rPr>
          <w:rFonts w:ascii="Arial" w:hAnsi="Arial" w:cs="Arial"/>
          <w:sz w:val="20"/>
          <w:szCs w:val="20"/>
        </w:rPr>
        <w:t>CritCareMed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2013 </w:t>
      </w:r>
      <w:proofErr w:type="spellStart"/>
      <w:r w:rsidRPr="005A22B2">
        <w:rPr>
          <w:rFonts w:ascii="Arial" w:hAnsi="Arial" w:cs="Arial"/>
          <w:sz w:val="20"/>
          <w:szCs w:val="20"/>
        </w:rPr>
        <w:t>Vol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41, No. 2 </w:t>
      </w:r>
    </w:p>
    <w:p w14:paraId="68F01BAE" w14:textId="77777777" w:rsidR="00B926B3" w:rsidRDefault="00B926B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0712CDF4" w14:textId="56B13FF9" w:rsidR="005A22B2" w:rsidRPr="005A22B2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proofErr w:type="spellStart"/>
      <w:r w:rsidRPr="005A22B2">
        <w:rPr>
          <w:rFonts w:ascii="Arial" w:hAnsi="Arial" w:cs="Arial"/>
          <w:sz w:val="20"/>
          <w:szCs w:val="20"/>
        </w:rPr>
        <w:t>Brierley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J, et al. </w:t>
      </w:r>
      <w:proofErr w:type="spellStart"/>
      <w:r w:rsidRPr="005A22B2">
        <w:rPr>
          <w:rFonts w:ascii="Arial" w:hAnsi="Arial" w:cs="Arial"/>
          <w:sz w:val="20"/>
          <w:szCs w:val="20"/>
        </w:rPr>
        <w:t>Clinical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practice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parameters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5A22B2">
        <w:rPr>
          <w:rFonts w:ascii="Arial" w:hAnsi="Arial" w:cs="Arial"/>
          <w:sz w:val="20"/>
          <w:szCs w:val="20"/>
        </w:rPr>
        <w:t>hemodynamic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support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of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pediatric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and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neonatal </w:t>
      </w:r>
      <w:proofErr w:type="spellStart"/>
      <w:r w:rsidRPr="005A22B2">
        <w:rPr>
          <w:rFonts w:ascii="Arial" w:hAnsi="Arial" w:cs="Arial"/>
          <w:sz w:val="20"/>
          <w:szCs w:val="20"/>
        </w:rPr>
        <w:t>septic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shock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: 2007 update </w:t>
      </w:r>
      <w:proofErr w:type="spellStart"/>
      <w:r w:rsidRPr="005A22B2">
        <w:rPr>
          <w:rFonts w:ascii="Arial" w:hAnsi="Arial" w:cs="Arial"/>
          <w:sz w:val="20"/>
          <w:szCs w:val="20"/>
        </w:rPr>
        <w:t>from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the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American </w:t>
      </w:r>
      <w:proofErr w:type="spellStart"/>
      <w:r w:rsidRPr="005A22B2">
        <w:rPr>
          <w:rFonts w:ascii="Arial" w:hAnsi="Arial" w:cs="Arial"/>
          <w:sz w:val="20"/>
          <w:szCs w:val="20"/>
        </w:rPr>
        <w:t>College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of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Critical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Care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Medicine. </w:t>
      </w:r>
      <w:proofErr w:type="spellStart"/>
      <w:r w:rsidRPr="005A22B2">
        <w:rPr>
          <w:rFonts w:ascii="Arial" w:hAnsi="Arial" w:cs="Arial"/>
          <w:sz w:val="20"/>
          <w:szCs w:val="20"/>
        </w:rPr>
        <w:t>Crit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Care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Med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2009 Vol. 37, No. 2 </w:t>
      </w:r>
    </w:p>
    <w:p w14:paraId="10A3848E" w14:textId="77777777" w:rsidR="00B926B3" w:rsidRDefault="00B926B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49CA4497" w14:textId="77777777" w:rsidR="00B926B3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5A22B2">
        <w:rPr>
          <w:rFonts w:ascii="Arial" w:hAnsi="Arial" w:cs="Arial"/>
          <w:sz w:val="20"/>
          <w:szCs w:val="20"/>
        </w:rPr>
        <w:t xml:space="preserve">Goldstein B, et al. </w:t>
      </w:r>
      <w:proofErr w:type="spellStart"/>
      <w:r w:rsidRPr="005A22B2">
        <w:rPr>
          <w:rFonts w:ascii="Arial" w:hAnsi="Arial" w:cs="Arial"/>
          <w:sz w:val="20"/>
          <w:szCs w:val="20"/>
        </w:rPr>
        <w:t>International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pediatric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sepsis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consensus </w:t>
      </w:r>
      <w:proofErr w:type="spellStart"/>
      <w:r w:rsidRPr="005A22B2">
        <w:rPr>
          <w:rFonts w:ascii="Arial" w:hAnsi="Arial" w:cs="Arial"/>
          <w:sz w:val="20"/>
          <w:szCs w:val="20"/>
        </w:rPr>
        <w:t>conference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A22B2">
        <w:rPr>
          <w:rFonts w:ascii="Arial" w:hAnsi="Arial" w:cs="Arial"/>
          <w:sz w:val="20"/>
          <w:szCs w:val="20"/>
        </w:rPr>
        <w:t>Definitions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5A22B2">
        <w:rPr>
          <w:rFonts w:ascii="Arial" w:hAnsi="Arial" w:cs="Arial"/>
          <w:sz w:val="20"/>
          <w:szCs w:val="20"/>
        </w:rPr>
        <w:t>sepsis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and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organ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dysfunction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A22B2">
        <w:rPr>
          <w:rFonts w:ascii="Arial" w:hAnsi="Arial" w:cs="Arial"/>
          <w:sz w:val="20"/>
          <w:szCs w:val="20"/>
        </w:rPr>
        <w:t>pediatric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A22B2">
        <w:rPr>
          <w:rFonts w:ascii="Arial" w:hAnsi="Arial" w:cs="Arial"/>
          <w:sz w:val="20"/>
          <w:szCs w:val="20"/>
        </w:rPr>
        <w:t>PediatrCrit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Care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Med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2005 Vol. 6, No. 1 </w:t>
      </w:r>
    </w:p>
    <w:p w14:paraId="3E211232" w14:textId="77777777" w:rsidR="00B926B3" w:rsidRDefault="00B926B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7773D0BF" w14:textId="6FB64279" w:rsidR="005A22B2" w:rsidRPr="005A22B2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proofErr w:type="spellStart"/>
      <w:r w:rsidRPr="005A22B2">
        <w:rPr>
          <w:rFonts w:ascii="Arial" w:hAnsi="Arial" w:cs="Arial"/>
          <w:sz w:val="20"/>
          <w:szCs w:val="20"/>
        </w:rPr>
        <w:t>Kissoon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N. </w:t>
      </w:r>
      <w:proofErr w:type="spellStart"/>
      <w:r w:rsidRPr="005A22B2">
        <w:rPr>
          <w:rFonts w:ascii="Arial" w:hAnsi="Arial" w:cs="Arial"/>
          <w:sz w:val="20"/>
          <w:szCs w:val="20"/>
        </w:rPr>
        <w:t>Sepsis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guideline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implementation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A22B2">
        <w:rPr>
          <w:rFonts w:ascii="Arial" w:hAnsi="Arial" w:cs="Arial"/>
          <w:sz w:val="20"/>
          <w:szCs w:val="20"/>
        </w:rPr>
        <w:t>benefits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A22B2">
        <w:rPr>
          <w:rFonts w:ascii="Arial" w:hAnsi="Arial" w:cs="Arial"/>
          <w:sz w:val="20"/>
          <w:szCs w:val="20"/>
        </w:rPr>
        <w:t>pitfalls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and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possible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solutions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. </w:t>
      </w:r>
    </w:p>
    <w:p w14:paraId="311C17B0" w14:textId="77777777" w:rsidR="005A22B2" w:rsidRPr="005A22B2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proofErr w:type="spellStart"/>
      <w:r w:rsidRPr="005A22B2">
        <w:rPr>
          <w:rFonts w:ascii="Arial" w:hAnsi="Arial" w:cs="Arial"/>
          <w:sz w:val="20"/>
          <w:szCs w:val="20"/>
        </w:rPr>
        <w:t>Crit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Care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. 2014;18(2):207. </w:t>
      </w:r>
    </w:p>
    <w:p w14:paraId="14A5AA5A" w14:textId="77777777" w:rsidR="00B926B3" w:rsidRDefault="00B926B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3F037250" w14:textId="2FB00F25" w:rsidR="005A22B2" w:rsidRPr="005A22B2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proofErr w:type="spellStart"/>
      <w:r w:rsidRPr="005A22B2">
        <w:rPr>
          <w:rFonts w:ascii="Arial" w:hAnsi="Arial" w:cs="Arial"/>
          <w:sz w:val="20"/>
          <w:szCs w:val="20"/>
        </w:rPr>
        <w:t>Kissoon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N. </w:t>
      </w:r>
      <w:proofErr w:type="spellStart"/>
      <w:r w:rsidRPr="005A22B2">
        <w:rPr>
          <w:rFonts w:ascii="Arial" w:hAnsi="Arial" w:cs="Arial"/>
          <w:sz w:val="20"/>
          <w:szCs w:val="20"/>
        </w:rPr>
        <w:t>Sepsis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guidelines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A22B2">
        <w:rPr>
          <w:rFonts w:ascii="Arial" w:hAnsi="Arial" w:cs="Arial"/>
          <w:sz w:val="20"/>
          <w:szCs w:val="20"/>
        </w:rPr>
        <w:t>Suggestions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to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improve </w:t>
      </w:r>
      <w:proofErr w:type="spellStart"/>
      <w:r w:rsidRPr="005A22B2">
        <w:rPr>
          <w:rFonts w:ascii="Arial" w:hAnsi="Arial" w:cs="Arial"/>
          <w:sz w:val="20"/>
          <w:szCs w:val="20"/>
        </w:rPr>
        <w:t>adherence</w:t>
      </w:r>
      <w:proofErr w:type="spellEnd"/>
      <w:r w:rsidRPr="005A22B2">
        <w:rPr>
          <w:rFonts w:ascii="Arial" w:hAnsi="Arial" w:cs="Arial"/>
          <w:sz w:val="20"/>
          <w:szCs w:val="20"/>
        </w:rPr>
        <w:t>.</w:t>
      </w:r>
      <w:r w:rsidR="00B926B3">
        <w:rPr>
          <w:rFonts w:ascii="Arial" w:hAnsi="Arial" w:cs="Arial"/>
          <w:sz w:val="20"/>
          <w:szCs w:val="20"/>
        </w:rPr>
        <w:t xml:space="preserve"> </w:t>
      </w:r>
      <w:r w:rsidRPr="005A22B2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5A22B2">
        <w:rPr>
          <w:rFonts w:ascii="Arial" w:hAnsi="Arial" w:cs="Arial"/>
          <w:sz w:val="20"/>
          <w:szCs w:val="20"/>
        </w:rPr>
        <w:t>Infect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. 2015;71 </w:t>
      </w:r>
      <w:proofErr w:type="spellStart"/>
      <w:r w:rsidRPr="005A22B2">
        <w:rPr>
          <w:rFonts w:ascii="Arial" w:hAnsi="Arial" w:cs="Arial"/>
          <w:sz w:val="20"/>
          <w:szCs w:val="20"/>
        </w:rPr>
        <w:t>Suppl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1:S36-41</w:t>
      </w:r>
    </w:p>
    <w:p w14:paraId="46DCCD4E" w14:textId="77777777" w:rsidR="00B926B3" w:rsidRDefault="00B926B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024530DF" w14:textId="1FBD08F2" w:rsidR="005A22B2" w:rsidRDefault="005A22B2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proofErr w:type="spellStart"/>
      <w:r w:rsidRPr="005A22B2">
        <w:rPr>
          <w:rFonts w:ascii="Arial" w:hAnsi="Arial" w:cs="Arial"/>
          <w:sz w:val="20"/>
          <w:szCs w:val="20"/>
        </w:rPr>
        <w:t>Noritomi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DT, </w:t>
      </w:r>
      <w:proofErr w:type="spellStart"/>
      <w:r w:rsidRPr="005A22B2">
        <w:rPr>
          <w:rFonts w:ascii="Arial" w:hAnsi="Arial" w:cs="Arial"/>
          <w:sz w:val="20"/>
          <w:szCs w:val="20"/>
        </w:rPr>
        <w:t>Ranzani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OT, Monteiro MB, Ferreira EM, Santos SR, </w:t>
      </w:r>
      <w:proofErr w:type="spellStart"/>
      <w:r w:rsidRPr="005A22B2">
        <w:rPr>
          <w:rFonts w:ascii="Arial" w:hAnsi="Arial" w:cs="Arial"/>
          <w:sz w:val="20"/>
          <w:szCs w:val="20"/>
        </w:rPr>
        <w:t>Leibel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F, et al. </w:t>
      </w:r>
      <w:proofErr w:type="spellStart"/>
      <w:r w:rsidRPr="005A22B2">
        <w:rPr>
          <w:rFonts w:ascii="Arial" w:hAnsi="Arial" w:cs="Arial"/>
          <w:sz w:val="20"/>
          <w:szCs w:val="20"/>
        </w:rPr>
        <w:t>Implementation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of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A22B2">
        <w:rPr>
          <w:rFonts w:ascii="Arial" w:hAnsi="Arial" w:cs="Arial"/>
          <w:sz w:val="20"/>
          <w:szCs w:val="20"/>
        </w:rPr>
        <w:t>multifaceted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sepsis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education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program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A22B2">
        <w:rPr>
          <w:rFonts w:ascii="Arial" w:hAnsi="Arial" w:cs="Arial"/>
          <w:sz w:val="20"/>
          <w:szCs w:val="20"/>
        </w:rPr>
        <w:t>an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emerging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country setting: </w:t>
      </w:r>
      <w:proofErr w:type="spellStart"/>
      <w:r w:rsidRPr="005A22B2">
        <w:rPr>
          <w:rFonts w:ascii="Arial" w:hAnsi="Arial" w:cs="Arial"/>
          <w:sz w:val="20"/>
          <w:szCs w:val="20"/>
        </w:rPr>
        <w:t>clinical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outcomes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and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cost-effectiveness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5A22B2">
        <w:rPr>
          <w:rFonts w:ascii="Arial" w:hAnsi="Arial" w:cs="Arial"/>
          <w:sz w:val="20"/>
          <w:szCs w:val="20"/>
        </w:rPr>
        <w:t>long-term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follow-up </w:t>
      </w:r>
      <w:proofErr w:type="spellStart"/>
      <w:r w:rsidRPr="005A22B2">
        <w:rPr>
          <w:rFonts w:ascii="Arial" w:hAnsi="Arial" w:cs="Arial"/>
          <w:sz w:val="20"/>
          <w:szCs w:val="20"/>
        </w:rPr>
        <w:t>study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A22B2">
        <w:rPr>
          <w:rFonts w:ascii="Arial" w:hAnsi="Arial" w:cs="Arial"/>
          <w:sz w:val="20"/>
          <w:szCs w:val="20"/>
        </w:rPr>
        <w:t>Intensive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2B2">
        <w:rPr>
          <w:rFonts w:ascii="Arial" w:hAnsi="Arial" w:cs="Arial"/>
          <w:sz w:val="20"/>
          <w:szCs w:val="20"/>
        </w:rPr>
        <w:t>Care</w:t>
      </w:r>
      <w:proofErr w:type="spellEnd"/>
      <w:r w:rsidRPr="005A22B2">
        <w:rPr>
          <w:rFonts w:ascii="Arial" w:hAnsi="Arial" w:cs="Arial"/>
          <w:sz w:val="20"/>
          <w:szCs w:val="20"/>
        </w:rPr>
        <w:t xml:space="preserve"> Med. 2014;40(2):182-91</w:t>
      </w:r>
    </w:p>
    <w:p w14:paraId="320CFD10" w14:textId="37551DCA" w:rsidR="00B926B3" w:rsidRDefault="00B926B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57649317" w14:textId="5F9D4304" w:rsidR="00B926B3" w:rsidRPr="005A22B2" w:rsidRDefault="00B926B3" w:rsidP="007869F0">
      <w:pPr>
        <w:pStyle w:val="Pargrafoda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Responsável pela </w:t>
      </w:r>
      <w:r w:rsidR="009638D7">
        <w:rPr>
          <w:rFonts w:ascii="Arial" w:hAnsi="Arial" w:cs="Arial"/>
          <w:sz w:val="20"/>
          <w:szCs w:val="20"/>
        </w:rPr>
        <w:t xml:space="preserve">elaboração da </w:t>
      </w:r>
      <w:r>
        <w:rPr>
          <w:rFonts w:ascii="Arial" w:hAnsi="Arial" w:cs="Arial"/>
          <w:sz w:val="20"/>
          <w:szCs w:val="20"/>
        </w:rPr>
        <w:t xml:space="preserve">rotina: Dr. Rafael </w:t>
      </w:r>
      <w:proofErr w:type="spellStart"/>
      <w:r>
        <w:rPr>
          <w:rFonts w:ascii="Arial" w:hAnsi="Arial" w:cs="Arial"/>
          <w:sz w:val="20"/>
          <w:szCs w:val="20"/>
        </w:rPr>
        <w:t>Belotti</w:t>
      </w:r>
      <w:proofErr w:type="spellEnd"/>
      <w:r>
        <w:rPr>
          <w:rFonts w:ascii="Arial" w:hAnsi="Arial" w:cs="Arial"/>
          <w:sz w:val="20"/>
          <w:szCs w:val="20"/>
        </w:rPr>
        <w:t xml:space="preserve"> Fialho</w:t>
      </w:r>
    </w:p>
    <w:sectPr w:rsidR="00B926B3" w:rsidRPr="005A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33E"/>
    <w:multiLevelType w:val="hybridMultilevel"/>
    <w:tmpl w:val="67AA5E28"/>
    <w:lvl w:ilvl="0" w:tplc="3CB41498">
      <w:start w:val="1"/>
      <w:numFmt w:val="bullet"/>
      <w:lvlText w:val=""/>
      <w:lvlJc w:val="left"/>
      <w:pPr>
        <w:ind w:left="97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2875542A"/>
    <w:multiLevelType w:val="hybridMultilevel"/>
    <w:tmpl w:val="26922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4CA2"/>
    <w:multiLevelType w:val="hybridMultilevel"/>
    <w:tmpl w:val="865E4C7C"/>
    <w:lvl w:ilvl="0" w:tplc="11E49ED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CC452D"/>
    <w:multiLevelType w:val="hybridMultilevel"/>
    <w:tmpl w:val="B4BACE5C"/>
    <w:lvl w:ilvl="0" w:tplc="ACDE73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23A"/>
    <w:rsid w:val="00076DC8"/>
    <w:rsid w:val="00257975"/>
    <w:rsid w:val="002C423F"/>
    <w:rsid w:val="005A22B2"/>
    <w:rsid w:val="005F523A"/>
    <w:rsid w:val="00684B95"/>
    <w:rsid w:val="007869F0"/>
    <w:rsid w:val="00946DF2"/>
    <w:rsid w:val="009638D7"/>
    <w:rsid w:val="009E20D8"/>
    <w:rsid w:val="00B926B3"/>
    <w:rsid w:val="00C17F5A"/>
    <w:rsid w:val="00D53B1E"/>
    <w:rsid w:val="00E23C34"/>
    <w:rsid w:val="00E4589A"/>
    <w:rsid w:val="00EB4643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78C3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23A"/>
    <w:pPr>
      <w:ind w:left="720"/>
      <w:contextualSpacing/>
    </w:pPr>
  </w:style>
  <w:style w:type="table" w:styleId="Tabelacomgrade">
    <w:name w:val="Table Grid"/>
    <w:basedOn w:val="Tabelanormal"/>
    <w:uiPriority w:val="59"/>
    <w:rsid w:val="00C1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E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1514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rbfialho</dc:creator>
  <cp:lastModifiedBy>RODOLFO ROCHANETO</cp:lastModifiedBy>
  <cp:revision>5</cp:revision>
  <dcterms:created xsi:type="dcterms:W3CDTF">2019-09-10T02:16:00Z</dcterms:created>
  <dcterms:modified xsi:type="dcterms:W3CDTF">2020-05-18T00:39:00Z</dcterms:modified>
</cp:coreProperties>
</file>