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84DC" w14:textId="2D3A11A3" w:rsidR="00FE30BA" w:rsidRPr="005B5ACE" w:rsidRDefault="005B5ACE" w:rsidP="00FE30BA">
      <w:pPr>
        <w:rPr>
          <w:rFonts w:ascii="Arial" w:hAnsi="Arial" w:cs="Arial"/>
          <w:sz w:val="28"/>
          <w:szCs w:val="28"/>
        </w:rPr>
      </w:pPr>
      <w:r w:rsidRPr="005B5ACE">
        <w:rPr>
          <w:rFonts w:ascii="Arial" w:hAnsi="Arial" w:cs="Arial"/>
          <w:sz w:val="28"/>
          <w:szCs w:val="28"/>
        </w:rPr>
        <w:t>DOENÇA DO REFLUXO GASTROESOFÁGICO / REFLUXO GASTROESOFÁGICO FISIOLÓGICO</w:t>
      </w:r>
    </w:p>
    <w:p w14:paraId="5151DB6A" w14:textId="77777777" w:rsidR="00FE30BA" w:rsidRDefault="00FE30BA" w:rsidP="00FE30BA">
      <w:pPr>
        <w:rPr>
          <w:rFonts w:ascii="Arial" w:hAnsi="Arial" w:cs="Arial"/>
        </w:rPr>
      </w:pPr>
    </w:p>
    <w:p w14:paraId="4C5B5623" w14:textId="77777777" w:rsidR="00FE30BA" w:rsidRDefault="00FE30BA" w:rsidP="005B5ACE">
      <w:pPr>
        <w:spacing w:line="276" w:lineRule="auto"/>
        <w:ind w:firstLine="720"/>
        <w:rPr>
          <w:rFonts w:ascii="Arial" w:hAnsi="Arial" w:cs="Arial"/>
          <w:sz w:val="20"/>
          <w:szCs w:val="20"/>
        </w:rPr>
      </w:pPr>
      <w:r w:rsidRPr="00FE30BA">
        <w:rPr>
          <w:rFonts w:ascii="Arial" w:hAnsi="Arial" w:cs="Arial"/>
          <w:sz w:val="20"/>
          <w:szCs w:val="20"/>
        </w:rPr>
        <w:t>O retorno</w:t>
      </w:r>
      <w:r w:rsidR="00650A28">
        <w:rPr>
          <w:rFonts w:ascii="Arial" w:hAnsi="Arial" w:cs="Arial"/>
          <w:sz w:val="20"/>
          <w:szCs w:val="20"/>
        </w:rPr>
        <w:t xml:space="preserve"> esporádico</w:t>
      </w:r>
      <w:r w:rsidRPr="00FE30BA">
        <w:rPr>
          <w:rFonts w:ascii="Arial" w:hAnsi="Arial" w:cs="Arial"/>
          <w:sz w:val="20"/>
          <w:szCs w:val="20"/>
        </w:rPr>
        <w:t xml:space="preserve"> do conteúdo gástrico para o esôfago é um acontecimento fisiológico</w:t>
      </w:r>
      <w:r w:rsidR="003D4F2B">
        <w:rPr>
          <w:rFonts w:ascii="Arial" w:hAnsi="Arial" w:cs="Arial"/>
          <w:sz w:val="20"/>
          <w:szCs w:val="20"/>
        </w:rPr>
        <w:t xml:space="preserve"> em qualquer idade, porém muito mais frequente nos lactentes menores de 1 ano devido ao desenvolvimento anatômico e funcional do tubo digestivo.</w:t>
      </w:r>
      <w:r w:rsidR="00650A28">
        <w:rPr>
          <w:rFonts w:ascii="Arial" w:hAnsi="Arial" w:cs="Arial"/>
          <w:sz w:val="20"/>
          <w:szCs w:val="20"/>
        </w:rPr>
        <w:t xml:space="preserve"> Quando esse retorno excede nos seus limites pode causar sinais e sintomas tornando-se patológico.</w:t>
      </w:r>
      <w:r w:rsidR="00B0793F">
        <w:rPr>
          <w:rFonts w:ascii="Arial" w:hAnsi="Arial" w:cs="Arial"/>
          <w:sz w:val="20"/>
          <w:szCs w:val="20"/>
        </w:rPr>
        <w:t xml:space="preserve"> </w:t>
      </w:r>
    </w:p>
    <w:p w14:paraId="67045461" w14:textId="77777777" w:rsidR="00B0793F" w:rsidRDefault="00B0793F" w:rsidP="005B5ACE">
      <w:pPr>
        <w:spacing w:line="276" w:lineRule="auto"/>
        <w:ind w:firstLine="720"/>
        <w:rPr>
          <w:rFonts w:ascii="Arial" w:hAnsi="Arial" w:cs="Arial"/>
          <w:sz w:val="20"/>
          <w:szCs w:val="20"/>
        </w:rPr>
      </w:pPr>
      <w:r>
        <w:rPr>
          <w:rFonts w:ascii="Arial" w:hAnsi="Arial" w:cs="Arial"/>
          <w:sz w:val="20"/>
          <w:szCs w:val="20"/>
        </w:rPr>
        <w:t xml:space="preserve">Para o aparecimento do refluxo é necessário que a pressão </w:t>
      </w:r>
      <w:proofErr w:type="spellStart"/>
      <w:r>
        <w:rPr>
          <w:rFonts w:ascii="Arial" w:hAnsi="Arial" w:cs="Arial"/>
          <w:sz w:val="20"/>
          <w:szCs w:val="20"/>
        </w:rPr>
        <w:t>intragástrica</w:t>
      </w:r>
      <w:proofErr w:type="spellEnd"/>
      <w:r>
        <w:rPr>
          <w:rFonts w:ascii="Arial" w:hAnsi="Arial" w:cs="Arial"/>
          <w:sz w:val="20"/>
          <w:szCs w:val="20"/>
        </w:rPr>
        <w:t xml:space="preserve"> seja maior que a pressão no nível do EIE.</w:t>
      </w:r>
    </w:p>
    <w:p w14:paraId="2C25FB02" w14:textId="77777777" w:rsidR="00650A28" w:rsidRDefault="00650A28" w:rsidP="005B5ACE">
      <w:pPr>
        <w:spacing w:line="276" w:lineRule="auto"/>
        <w:rPr>
          <w:rFonts w:ascii="Arial" w:hAnsi="Arial" w:cs="Arial"/>
          <w:sz w:val="20"/>
          <w:szCs w:val="20"/>
        </w:rPr>
      </w:pPr>
      <w:r>
        <w:rPr>
          <w:rFonts w:ascii="Arial" w:hAnsi="Arial" w:cs="Arial"/>
          <w:sz w:val="20"/>
          <w:szCs w:val="20"/>
        </w:rPr>
        <w:tab/>
        <w:t xml:space="preserve">A prevalência da </w:t>
      </w:r>
      <w:r w:rsidRPr="00CF0C8D">
        <w:rPr>
          <w:rFonts w:ascii="Arial" w:hAnsi="Arial" w:cs="Arial"/>
          <w:sz w:val="20"/>
          <w:szCs w:val="20"/>
          <w:u w:val="single"/>
        </w:rPr>
        <w:t>doença</w:t>
      </w:r>
      <w:r>
        <w:rPr>
          <w:rFonts w:ascii="Arial" w:hAnsi="Arial" w:cs="Arial"/>
          <w:sz w:val="20"/>
          <w:szCs w:val="20"/>
        </w:rPr>
        <w:t xml:space="preserve"> é baixa</w:t>
      </w:r>
      <w:r w:rsidR="00251FBA">
        <w:rPr>
          <w:rFonts w:ascii="Arial" w:hAnsi="Arial" w:cs="Arial"/>
          <w:sz w:val="20"/>
          <w:szCs w:val="20"/>
        </w:rPr>
        <w:t xml:space="preserve"> (em torno de 20%)</w:t>
      </w:r>
      <w:r>
        <w:rPr>
          <w:rFonts w:ascii="Arial" w:hAnsi="Arial" w:cs="Arial"/>
          <w:sz w:val="20"/>
          <w:szCs w:val="20"/>
        </w:rPr>
        <w:t>, mas frequentemente as condições fisiológica e patológica são confundidas, levando a diagnósticos excessivos</w:t>
      </w:r>
      <w:r w:rsidR="00E91C0E">
        <w:rPr>
          <w:rFonts w:ascii="Arial" w:hAnsi="Arial" w:cs="Arial"/>
          <w:sz w:val="20"/>
          <w:szCs w:val="20"/>
        </w:rPr>
        <w:t xml:space="preserve"> e consequentemente exames e ocupação</w:t>
      </w:r>
      <w:r w:rsidR="00AA275D">
        <w:rPr>
          <w:rFonts w:ascii="Arial" w:hAnsi="Arial" w:cs="Arial"/>
          <w:sz w:val="20"/>
          <w:szCs w:val="20"/>
        </w:rPr>
        <w:t xml:space="preserve"> de</w:t>
      </w:r>
      <w:r w:rsidR="00E91C0E">
        <w:rPr>
          <w:rFonts w:ascii="Arial" w:hAnsi="Arial" w:cs="Arial"/>
          <w:sz w:val="20"/>
          <w:szCs w:val="20"/>
        </w:rPr>
        <w:t xml:space="preserve"> ambulatórios de especialidades desnecessariamente.</w:t>
      </w:r>
    </w:p>
    <w:p w14:paraId="481B5989" w14:textId="77777777" w:rsidR="00CF0C8D" w:rsidRDefault="00CF0C8D" w:rsidP="00FE30BA">
      <w:pPr>
        <w:rPr>
          <w:rFonts w:ascii="Arial" w:hAnsi="Arial" w:cs="Arial"/>
          <w:sz w:val="20"/>
          <w:szCs w:val="20"/>
        </w:rPr>
      </w:pPr>
      <w:r>
        <w:rPr>
          <w:rFonts w:ascii="Arial" w:hAnsi="Arial" w:cs="Arial"/>
          <w:sz w:val="20"/>
          <w:szCs w:val="20"/>
        </w:rPr>
        <w:tab/>
      </w:r>
    </w:p>
    <w:p w14:paraId="5C46C67E" w14:textId="77777777" w:rsidR="00AA275D" w:rsidRDefault="00AA275D" w:rsidP="00FE30BA">
      <w:pPr>
        <w:rPr>
          <w:rFonts w:ascii="Arial" w:hAnsi="Arial" w:cs="Arial"/>
          <w:sz w:val="20"/>
          <w:szCs w:val="20"/>
        </w:rPr>
      </w:pPr>
    </w:p>
    <w:p w14:paraId="2239B4EE" w14:textId="77777777" w:rsidR="00AA275D" w:rsidRDefault="00AA275D" w:rsidP="00FE30BA">
      <w:pPr>
        <w:rPr>
          <w:rFonts w:ascii="Arial" w:hAnsi="Arial" w:cs="Arial"/>
          <w:sz w:val="20"/>
          <w:szCs w:val="20"/>
        </w:rPr>
      </w:pPr>
      <w:r>
        <w:rPr>
          <w:rFonts w:ascii="Arial" w:hAnsi="Arial" w:cs="Arial"/>
          <w:sz w:val="20"/>
          <w:szCs w:val="20"/>
        </w:rPr>
        <w:t xml:space="preserve">Fatores que contribuem para a barreira </w:t>
      </w:r>
      <w:proofErr w:type="spellStart"/>
      <w:r>
        <w:rPr>
          <w:rFonts w:ascii="Arial" w:hAnsi="Arial" w:cs="Arial"/>
          <w:sz w:val="20"/>
          <w:szCs w:val="20"/>
        </w:rPr>
        <w:t>antirefluxo</w:t>
      </w:r>
      <w:proofErr w:type="spellEnd"/>
      <w:r>
        <w:rPr>
          <w:rFonts w:ascii="Arial" w:hAnsi="Arial" w:cs="Arial"/>
          <w:sz w:val="20"/>
          <w:szCs w:val="20"/>
        </w:rPr>
        <w:t>:</w:t>
      </w:r>
    </w:p>
    <w:p w14:paraId="1ADECA2E" w14:textId="77777777" w:rsidR="00AA275D" w:rsidRPr="00AA275D" w:rsidRDefault="00AA275D" w:rsidP="00AA275D">
      <w:pPr>
        <w:pStyle w:val="PargrafodaLista"/>
        <w:numPr>
          <w:ilvl w:val="0"/>
          <w:numId w:val="3"/>
        </w:numPr>
        <w:rPr>
          <w:rFonts w:ascii="Arial" w:hAnsi="Arial" w:cs="Arial"/>
          <w:sz w:val="20"/>
          <w:szCs w:val="20"/>
        </w:rPr>
      </w:pPr>
      <w:r>
        <w:rPr>
          <w:rFonts w:ascii="Arial" w:hAnsi="Arial" w:cs="Arial"/>
          <w:sz w:val="20"/>
          <w:szCs w:val="20"/>
        </w:rPr>
        <w:t>e</w:t>
      </w:r>
      <w:r w:rsidR="00D01775">
        <w:rPr>
          <w:rFonts w:ascii="Arial" w:hAnsi="Arial" w:cs="Arial"/>
          <w:sz w:val="20"/>
          <w:szCs w:val="20"/>
        </w:rPr>
        <w:t>sfíncter inferior do esôfago (EIE</w:t>
      </w:r>
      <w:r w:rsidRPr="00AA275D">
        <w:rPr>
          <w:rFonts w:ascii="Arial" w:hAnsi="Arial" w:cs="Arial"/>
          <w:sz w:val="20"/>
          <w:szCs w:val="20"/>
        </w:rPr>
        <w:t>)</w:t>
      </w:r>
    </w:p>
    <w:p w14:paraId="6FFF17A2" w14:textId="77777777" w:rsidR="00AA275D" w:rsidRDefault="00AA275D" w:rsidP="00AA275D">
      <w:pPr>
        <w:pStyle w:val="PargrafodaLista"/>
        <w:numPr>
          <w:ilvl w:val="0"/>
          <w:numId w:val="3"/>
        </w:numPr>
        <w:rPr>
          <w:rFonts w:ascii="Arial" w:hAnsi="Arial" w:cs="Arial"/>
          <w:sz w:val="20"/>
          <w:szCs w:val="20"/>
        </w:rPr>
      </w:pPr>
      <w:r>
        <w:rPr>
          <w:rFonts w:ascii="Arial" w:hAnsi="Arial" w:cs="Arial"/>
          <w:sz w:val="20"/>
          <w:szCs w:val="20"/>
        </w:rPr>
        <w:t>ângulo de His</w:t>
      </w:r>
    </w:p>
    <w:p w14:paraId="283A8249" w14:textId="77777777" w:rsidR="00AA275D" w:rsidRDefault="00AA275D" w:rsidP="00AA275D">
      <w:pPr>
        <w:pStyle w:val="PargrafodaLista"/>
        <w:numPr>
          <w:ilvl w:val="0"/>
          <w:numId w:val="3"/>
        </w:numPr>
        <w:rPr>
          <w:rFonts w:ascii="Arial" w:hAnsi="Arial" w:cs="Arial"/>
          <w:sz w:val="20"/>
          <w:szCs w:val="20"/>
        </w:rPr>
      </w:pPr>
      <w:r>
        <w:rPr>
          <w:rFonts w:ascii="Arial" w:hAnsi="Arial" w:cs="Arial"/>
          <w:sz w:val="20"/>
          <w:szCs w:val="20"/>
        </w:rPr>
        <w:t>ligamento freno-esofágico</w:t>
      </w:r>
    </w:p>
    <w:p w14:paraId="67A4FBAA" w14:textId="77777777" w:rsidR="00AA275D" w:rsidRDefault="00231CF3" w:rsidP="00AA275D">
      <w:pPr>
        <w:pStyle w:val="PargrafodaLista"/>
        <w:numPr>
          <w:ilvl w:val="0"/>
          <w:numId w:val="3"/>
        </w:numPr>
        <w:rPr>
          <w:rFonts w:ascii="Arial" w:hAnsi="Arial" w:cs="Arial"/>
          <w:sz w:val="20"/>
          <w:szCs w:val="20"/>
        </w:rPr>
      </w:pPr>
      <w:proofErr w:type="spellStart"/>
      <w:r>
        <w:rPr>
          <w:rFonts w:ascii="Arial" w:hAnsi="Arial" w:cs="Arial"/>
          <w:sz w:val="20"/>
          <w:szCs w:val="20"/>
        </w:rPr>
        <w:t>pinçamento</w:t>
      </w:r>
      <w:proofErr w:type="spellEnd"/>
      <w:r>
        <w:rPr>
          <w:rFonts w:ascii="Arial" w:hAnsi="Arial" w:cs="Arial"/>
          <w:sz w:val="20"/>
          <w:szCs w:val="20"/>
        </w:rPr>
        <w:t xml:space="preserve"> diafragm</w:t>
      </w:r>
      <w:r w:rsidR="00CF0C8D">
        <w:rPr>
          <w:rFonts w:ascii="Arial" w:hAnsi="Arial" w:cs="Arial"/>
          <w:sz w:val="20"/>
          <w:szCs w:val="20"/>
        </w:rPr>
        <w:t>á</w:t>
      </w:r>
      <w:r>
        <w:rPr>
          <w:rFonts w:ascii="Arial" w:hAnsi="Arial" w:cs="Arial"/>
          <w:sz w:val="20"/>
          <w:szCs w:val="20"/>
        </w:rPr>
        <w:t>tico</w:t>
      </w:r>
    </w:p>
    <w:p w14:paraId="3F579E19" w14:textId="77777777" w:rsidR="00AA275D" w:rsidRDefault="00AA275D" w:rsidP="00231CF3">
      <w:pPr>
        <w:rPr>
          <w:rFonts w:ascii="Arial" w:hAnsi="Arial" w:cs="Arial"/>
          <w:sz w:val="20"/>
          <w:szCs w:val="20"/>
        </w:rPr>
      </w:pPr>
    </w:p>
    <w:p w14:paraId="1F58E9CB" w14:textId="77777777" w:rsidR="00231CF3" w:rsidRDefault="00231CF3" w:rsidP="00231CF3">
      <w:pPr>
        <w:rPr>
          <w:rFonts w:ascii="Arial" w:hAnsi="Arial" w:cs="Arial"/>
          <w:sz w:val="20"/>
          <w:szCs w:val="20"/>
        </w:rPr>
      </w:pPr>
      <w:r>
        <w:rPr>
          <w:rFonts w:ascii="Arial" w:hAnsi="Arial" w:cs="Arial"/>
          <w:sz w:val="20"/>
          <w:szCs w:val="20"/>
        </w:rPr>
        <w:t>Fatores que contribuem para o</w:t>
      </w:r>
      <w:r w:rsidR="00CF0C8D">
        <w:rPr>
          <w:rFonts w:ascii="Arial" w:hAnsi="Arial" w:cs="Arial"/>
          <w:sz w:val="20"/>
          <w:szCs w:val="20"/>
        </w:rPr>
        <w:t>s</w:t>
      </w:r>
      <w:r>
        <w:rPr>
          <w:rFonts w:ascii="Arial" w:hAnsi="Arial" w:cs="Arial"/>
          <w:sz w:val="20"/>
          <w:szCs w:val="20"/>
        </w:rPr>
        <w:t xml:space="preserve"> episódio</w:t>
      </w:r>
      <w:r w:rsidR="00CF0C8D">
        <w:rPr>
          <w:rFonts w:ascii="Arial" w:hAnsi="Arial" w:cs="Arial"/>
          <w:sz w:val="20"/>
          <w:szCs w:val="20"/>
        </w:rPr>
        <w:t>s</w:t>
      </w:r>
      <w:r>
        <w:rPr>
          <w:rFonts w:ascii="Arial" w:hAnsi="Arial" w:cs="Arial"/>
          <w:sz w:val="20"/>
          <w:szCs w:val="20"/>
        </w:rPr>
        <w:t xml:space="preserve"> de refluxo:</w:t>
      </w:r>
    </w:p>
    <w:p w14:paraId="310DD9E1" w14:textId="77777777" w:rsidR="00CF0C8D" w:rsidRDefault="00CF0C8D" w:rsidP="00CF0C8D">
      <w:pPr>
        <w:pStyle w:val="PargrafodaLista"/>
        <w:numPr>
          <w:ilvl w:val="0"/>
          <w:numId w:val="4"/>
        </w:numPr>
        <w:rPr>
          <w:rFonts w:ascii="Arial" w:hAnsi="Arial" w:cs="Arial"/>
          <w:sz w:val="20"/>
          <w:szCs w:val="20"/>
        </w:rPr>
      </w:pPr>
      <w:r>
        <w:rPr>
          <w:rFonts w:ascii="Arial" w:hAnsi="Arial" w:cs="Arial"/>
          <w:sz w:val="20"/>
          <w:szCs w:val="20"/>
        </w:rPr>
        <w:t>pressão baixa no nível do EIE e relaxamento transitório do EIE</w:t>
      </w:r>
    </w:p>
    <w:p w14:paraId="7B6C4B00" w14:textId="77777777" w:rsidR="00CF0C8D" w:rsidRDefault="00CF0C8D" w:rsidP="00CF0C8D">
      <w:pPr>
        <w:pStyle w:val="PargrafodaLista"/>
        <w:numPr>
          <w:ilvl w:val="0"/>
          <w:numId w:val="4"/>
        </w:numPr>
        <w:rPr>
          <w:rFonts w:ascii="Arial" w:hAnsi="Arial" w:cs="Arial"/>
          <w:sz w:val="20"/>
          <w:szCs w:val="20"/>
        </w:rPr>
      </w:pPr>
      <w:r>
        <w:rPr>
          <w:rFonts w:ascii="Arial" w:hAnsi="Arial" w:cs="Arial"/>
          <w:sz w:val="20"/>
          <w:szCs w:val="20"/>
        </w:rPr>
        <w:t>ângulo de His obtuso no RN e lactente jovem</w:t>
      </w:r>
    </w:p>
    <w:p w14:paraId="04863D09" w14:textId="77777777" w:rsidR="00CF0C8D" w:rsidRPr="00CF0C8D" w:rsidRDefault="00CF0C8D" w:rsidP="00CF0C8D">
      <w:pPr>
        <w:pStyle w:val="PargrafodaLista"/>
        <w:numPr>
          <w:ilvl w:val="0"/>
          <w:numId w:val="4"/>
        </w:numPr>
        <w:rPr>
          <w:rFonts w:ascii="Arial" w:hAnsi="Arial" w:cs="Arial"/>
          <w:sz w:val="20"/>
          <w:szCs w:val="20"/>
        </w:rPr>
      </w:pPr>
      <w:r>
        <w:rPr>
          <w:rFonts w:ascii="Arial" w:hAnsi="Arial" w:cs="Arial"/>
          <w:sz w:val="20"/>
          <w:szCs w:val="20"/>
        </w:rPr>
        <w:t>esôfago abdominal curto</w:t>
      </w:r>
    </w:p>
    <w:p w14:paraId="2CE02377" w14:textId="77777777" w:rsidR="00231CF3" w:rsidRDefault="00231CF3" w:rsidP="00231CF3">
      <w:pPr>
        <w:pStyle w:val="PargrafodaLista"/>
        <w:numPr>
          <w:ilvl w:val="0"/>
          <w:numId w:val="4"/>
        </w:numPr>
        <w:rPr>
          <w:rFonts w:ascii="Arial" w:hAnsi="Arial" w:cs="Arial"/>
          <w:sz w:val="20"/>
          <w:szCs w:val="20"/>
        </w:rPr>
      </w:pPr>
      <w:r>
        <w:rPr>
          <w:rFonts w:ascii="Arial" w:hAnsi="Arial" w:cs="Arial"/>
          <w:sz w:val="20"/>
          <w:szCs w:val="20"/>
        </w:rPr>
        <w:t>enchimento excessivo do estômago</w:t>
      </w:r>
    </w:p>
    <w:p w14:paraId="2DBD519E" w14:textId="77777777" w:rsidR="00231CF3" w:rsidRDefault="00231CF3" w:rsidP="00231CF3">
      <w:pPr>
        <w:pStyle w:val="PargrafodaLista"/>
        <w:numPr>
          <w:ilvl w:val="0"/>
          <w:numId w:val="4"/>
        </w:numPr>
        <w:rPr>
          <w:rFonts w:ascii="Arial" w:hAnsi="Arial" w:cs="Arial"/>
          <w:sz w:val="20"/>
          <w:szCs w:val="20"/>
        </w:rPr>
      </w:pPr>
      <w:r>
        <w:rPr>
          <w:rFonts w:ascii="Arial" w:hAnsi="Arial" w:cs="Arial"/>
          <w:sz w:val="20"/>
          <w:szCs w:val="20"/>
        </w:rPr>
        <w:t>tosse intensa</w:t>
      </w:r>
    </w:p>
    <w:p w14:paraId="52F0D584" w14:textId="77777777" w:rsidR="00231CF3" w:rsidRDefault="00231CF3" w:rsidP="00231CF3">
      <w:pPr>
        <w:pStyle w:val="PargrafodaLista"/>
        <w:numPr>
          <w:ilvl w:val="0"/>
          <w:numId w:val="4"/>
        </w:numPr>
        <w:rPr>
          <w:rFonts w:ascii="Arial" w:hAnsi="Arial" w:cs="Arial"/>
          <w:sz w:val="20"/>
          <w:szCs w:val="20"/>
        </w:rPr>
      </w:pPr>
      <w:r>
        <w:rPr>
          <w:rFonts w:ascii="Arial" w:hAnsi="Arial" w:cs="Arial"/>
          <w:sz w:val="20"/>
          <w:szCs w:val="20"/>
        </w:rPr>
        <w:t>compressão do abdome</w:t>
      </w:r>
    </w:p>
    <w:p w14:paraId="7C3C0EDA" w14:textId="77777777" w:rsidR="00231CF3" w:rsidRDefault="00231CF3" w:rsidP="00231CF3">
      <w:pPr>
        <w:pStyle w:val="PargrafodaLista"/>
        <w:numPr>
          <w:ilvl w:val="0"/>
          <w:numId w:val="4"/>
        </w:numPr>
        <w:rPr>
          <w:rFonts w:ascii="Arial" w:hAnsi="Arial" w:cs="Arial"/>
          <w:sz w:val="20"/>
          <w:szCs w:val="20"/>
        </w:rPr>
      </w:pPr>
      <w:r>
        <w:rPr>
          <w:rFonts w:ascii="Arial" w:hAnsi="Arial" w:cs="Arial"/>
          <w:sz w:val="20"/>
          <w:szCs w:val="20"/>
        </w:rPr>
        <w:t>obesidade</w:t>
      </w:r>
    </w:p>
    <w:p w14:paraId="2712C299" w14:textId="77777777" w:rsidR="00231CF3" w:rsidRDefault="00231CF3" w:rsidP="00231CF3">
      <w:pPr>
        <w:pStyle w:val="PargrafodaLista"/>
        <w:numPr>
          <w:ilvl w:val="0"/>
          <w:numId w:val="4"/>
        </w:numPr>
        <w:rPr>
          <w:rFonts w:ascii="Arial" w:hAnsi="Arial" w:cs="Arial"/>
          <w:sz w:val="20"/>
          <w:szCs w:val="20"/>
        </w:rPr>
      </w:pPr>
      <w:r>
        <w:rPr>
          <w:rFonts w:ascii="Arial" w:hAnsi="Arial" w:cs="Arial"/>
          <w:sz w:val="20"/>
          <w:szCs w:val="20"/>
        </w:rPr>
        <w:t>dieta rica em gordura</w:t>
      </w:r>
    </w:p>
    <w:p w14:paraId="15C035BC" w14:textId="77777777" w:rsidR="00B0793F" w:rsidRPr="00B0793F" w:rsidRDefault="00B0793F" w:rsidP="00B0793F">
      <w:pPr>
        <w:rPr>
          <w:rFonts w:ascii="Arial" w:hAnsi="Arial" w:cs="Arial"/>
          <w:sz w:val="20"/>
          <w:szCs w:val="20"/>
        </w:rPr>
      </w:pPr>
    </w:p>
    <w:p w14:paraId="09DA3216" w14:textId="77777777" w:rsidR="00527DF2" w:rsidRDefault="00527DF2" w:rsidP="00FE30BA">
      <w:pPr>
        <w:rPr>
          <w:rFonts w:ascii="Arial" w:hAnsi="Arial" w:cs="Arial"/>
        </w:rPr>
      </w:pPr>
      <w:r>
        <w:rPr>
          <w:rFonts w:ascii="Arial" w:hAnsi="Arial" w:cs="Arial"/>
        </w:rPr>
        <w:t>Doença do Refluxo Gastroesofágica (DRGE)</w:t>
      </w:r>
    </w:p>
    <w:p w14:paraId="12C01FBB" w14:textId="77777777" w:rsidR="002F538F" w:rsidRDefault="002F538F" w:rsidP="002F538F">
      <w:pPr>
        <w:rPr>
          <w:rFonts w:ascii="Arial" w:hAnsi="Arial" w:cs="Arial"/>
          <w:sz w:val="20"/>
          <w:szCs w:val="20"/>
        </w:rPr>
      </w:pPr>
      <w:r>
        <w:rPr>
          <w:rFonts w:ascii="Arial" w:hAnsi="Arial" w:cs="Arial"/>
        </w:rPr>
        <w:tab/>
      </w:r>
      <w:r>
        <w:rPr>
          <w:rFonts w:ascii="Arial" w:hAnsi="Arial" w:cs="Arial"/>
          <w:sz w:val="20"/>
          <w:szCs w:val="20"/>
        </w:rPr>
        <w:t xml:space="preserve">O diagnóstico é basicamente clínico, podendo ser muito ou pouco sintomático. A ausência das regurgitações não exclui o diagnóstico. </w:t>
      </w:r>
    </w:p>
    <w:p w14:paraId="6F8E0313" w14:textId="77777777" w:rsidR="002F538F" w:rsidRDefault="002F538F" w:rsidP="00FE30BA">
      <w:pPr>
        <w:rPr>
          <w:rFonts w:ascii="Arial" w:hAnsi="Arial" w:cs="Arial"/>
        </w:rPr>
      </w:pPr>
    </w:p>
    <w:p w14:paraId="3618EE4F" w14:textId="77777777" w:rsidR="00527DF2" w:rsidRDefault="00527DF2" w:rsidP="00FE30BA">
      <w:pPr>
        <w:rPr>
          <w:rFonts w:ascii="Arial" w:hAnsi="Arial" w:cs="Arial"/>
          <w:sz w:val="20"/>
          <w:szCs w:val="20"/>
        </w:rPr>
      </w:pPr>
      <w:r>
        <w:rPr>
          <w:rFonts w:ascii="Arial" w:hAnsi="Arial" w:cs="Arial"/>
          <w:sz w:val="20"/>
          <w:szCs w:val="20"/>
        </w:rPr>
        <w:t>Manifestações clínicas</w:t>
      </w:r>
      <w:r w:rsidR="002F538F">
        <w:rPr>
          <w:rFonts w:ascii="Arial" w:hAnsi="Arial" w:cs="Arial"/>
          <w:sz w:val="20"/>
          <w:szCs w:val="20"/>
        </w:rPr>
        <w:t xml:space="preserve"> frequentes</w:t>
      </w:r>
      <w:r>
        <w:rPr>
          <w:rFonts w:ascii="Arial" w:hAnsi="Arial" w:cs="Arial"/>
          <w:sz w:val="20"/>
          <w:szCs w:val="20"/>
        </w:rPr>
        <w:t>:</w:t>
      </w:r>
    </w:p>
    <w:p w14:paraId="757B10A8" w14:textId="77777777" w:rsidR="00527DF2" w:rsidRDefault="00527DF2" w:rsidP="00527DF2">
      <w:pPr>
        <w:pStyle w:val="PargrafodaLista"/>
        <w:numPr>
          <w:ilvl w:val="0"/>
          <w:numId w:val="5"/>
        </w:numPr>
        <w:rPr>
          <w:rFonts w:ascii="Arial" w:hAnsi="Arial" w:cs="Arial"/>
          <w:sz w:val="20"/>
          <w:szCs w:val="20"/>
        </w:rPr>
      </w:pPr>
      <w:r>
        <w:rPr>
          <w:rFonts w:ascii="Arial" w:hAnsi="Arial" w:cs="Arial"/>
          <w:sz w:val="20"/>
          <w:szCs w:val="20"/>
        </w:rPr>
        <w:t>regurgitações e/ou vômitos frequentes (80 a 90% dos casos)</w:t>
      </w:r>
    </w:p>
    <w:p w14:paraId="0D3AF392" w14:textId="77777777" w:rsidR="00527DF2" w:rsidRDefault="00527DF2" w:rsidP="00527DF2">
      <w:pPr>
        <w:pStyle w:val="PargrafodaLista"/>
        <w:numPr>
          <w:ilvl w:val="0"/>
          <w:numId w:val="5"/>
        </w:numPr>
        <w:rPr>
          <w:rFonts w:ascii="Arial" w:hAnsi="Arial" w:cs="Arial"/>
          <w:sz w:val="20"/>
          <w:szCs w:val="20"/>
        </w:rPr>
      </w:pPr>
      <w:r>
        <w:rPr>
          <w:rFonts w:ascii="Arial" w:hAnsi="Arial" w:cs="Arial"/>
          <w:sz w:val="20"/>
          <w:szCs w:val="20"/>
        </w:rPr>
        <w:t>irritabilidade</w:t>
      </w:r>
    </w:p>
    <w:p w14:paraId="299EE94E" w14:textId="77777777" w:rsidR="00527DF2" w:rsidRDefault="00527DF2" w:rsidP="00527DF2">
      <w:pPr>
        <w:pStyle w:val="PargrafodaLista"/>
        <w:numPr>
          <w:ilvl w:val="0"/>
          <w:numId w:val="5"/>
        </w:numPr>
        <w:rPr>
          <w:rFonts w:ascii="Arial" w:hAnsi="Arial" w:cs="Arial"/>
          <w:sz w:val="20"/>
          <w:szCs w:val="20"/>
        </w:rPr>
      </w:pPr>
      <w:r>
        <w:rPr>
          <w:rFonts w:ascii="Arial" w:hAnsi="Arial" w:cs="Arial"/>
          <w:sz w:val="20"/>
          <w:szCs w:val="20"/>
        </w:rPr>
        <w:t>choro constante</w:t>
      </w:r>
    </w:p>
    <w:p w14:paraId="506910D4" w14:textId="77777777" w:rsidR="00527DF2" w:rsidRDefault="00527DF2" w:rsidP="00527DF2">
      <w:pPr>
        <w:pStyle w:val="PargrafodaLista"/>
        <w:numPr>
          <w:ilvl w:val="0"/>
          <w:numId w:val="5"/>
        </w:numPr>
        <w:rPr>
          <w:rFonts w:ascii="Arial" w:hAnsi="Arial" w:cs="Arial"/>
          <w:sz w:val="20"/>
          <w:szCs w:val="20"/>
        </w:rPr>
      </w:pPr>
      <w:r>
        <w:rPr>
          <w:rFonts w:ascii="Arial" w:hAnsi="Arial" w:cs="Arial"/>
          <w:sz w:val="20"/>
          <w:szCs w:val="20"/>
        </w:rPr>
        <w:t>recusa alimentar</w:t>
      </w:r>
    </w:p>
    <w:p w14:paraId="69B77765" w14:textId="77777777" w:rsidR="00527DF2" w:rsidRDefault="00527DF2" w:rsidP="00527DF2">
      <w:pPr>
        <w:pStyle w:val="PargrafodaLista"/>
        <w:numPr>
          <w:ilvl w:val="0"/>
          <w:numId w:val="5"/>
        </w:numPr>
        <w:rPr>
          <w:rFonts w:ascii="Arial" w:hAnsi="Arial" w:cs="Arial"/>
          <w:sz w:val="20"/>
          <w:szCs w:val="20"/>
        </w:rPr>
      </w:pPr>
      <w:r>
        <w:rPr>
          <w:rFonts w:ascii="Arial" w:hAnsi="Arial" w:cs="Arial"/>
          <w:sz w:val="20"/>
          <w:szCs w:val="20"/>
        </w:rPr>
        <w:t>baixo ganho de peso</w:t>
      </w:r>
    </w:p>
    <w:p w14:paraId="3E6C4A7D" w14:textId="77777777" w:rsidR="00DB453C" w:rsidRDefault="00DB453C" w:rsidP="00527DF2">
      <w:pPr>
        <w:pStyle w:val="PargrafodaLista"/>
        <w:numPr>
          <w:ilvl w:val="0"/>
          <w:numId w:val="5"/>
        </w:numPr>
        <w:rPr>
          <w:rFonts w:ascii="Arial" w:hAnsi="Arial" w:cs="Arial"/>
          <w:sz w:val="20"/>
          <w:szCs w:val="20"/>
        </w:rPr>
      </w:pPr>
      <w:r>
        <w:rPr>
          <w:rFonts w:ascii="Arial" w:hAnsi="Arial" w:cs="Arial"/>
          <w:sz w:val="20"/>
          <w:szCs w:val="20"/>
        </w:rPr>
        <w:t>ruminação</w:t>
      </w:r>
    </w:p>
    <w:p w14:paraId="5B726D5B" w14:textId="77777777" w:rsidR="00DB453C" w:rsidRDefault="00DB453C" w:rsidP="00527DF2">
      <w:pPr>
        <w:pStyle w:val="PargrafodaLista"/>
        <w:numPr>
          <w:ilvl w:val="0"/>
          <w:numId w:val="5"/>
        </w:numPr>
        <w:rPr>
          <w:rFonts w:ascii="Arial" w:hAnsi="Arial" w:cs="Arial"/>
          <w:sz w:val="20"/>
          <w:szCs w:val="20"/>
        </w:rPr>
      </w:pPr>
      <w:r>
        <w:rPr>
          <w:rFonts w:ascii="Arial" w:hAnsi="Arial" w:cs="Arial"/>
          <w:sz w:val="20"/>
          <w:szCs w:val="20"/>
        </w:rPr>
        <w:t>desgaste do esmalte dentário</w:t>
      </w:r>
    </w:p>
    <w:p w14:paraId="4FDA34FE" w14:textId="77777777" w:rsidR="00527DF2" w:rsidRDefault="00DB453C" w:rsidP="00527DF2">
      <w:pPr>
        <w:pStyle w:val="PargrafodaLista"/>
        <w:numPr>
          <w:ilvl w:val="0"/>
          <w:numId w:val="5"/>
        </w:numPr>
        <w:rPr>
          <w:rFonts w:ascii="Arial" w:hAnsi="Arial" w:cs="Arial"/>
          <w:sz w:val="20"/>
          <w:szCs w:val="20"/>
        </w:rPr>
      </w:pPr>
      <w:r>
        <w:rPr>
          <w:rFonts w:ascii="Arial" w:hAnsi="Arial" w:cs="Arial"/>
          <w:sz w:val="20"/>
          <w:szCs w:val="20"/>
        </w:rPr>
        <w:t xml:space="preserve">sintomas de vias aéreas de repetição (tosse, </w:t>
      </w:r>
      <w:proofErr w:type="spellStart"/>
      <w:r>
        <w:rPr>
          <w:rFonts w:ascii="Arial" w:hAnsi="Arial" w:cs="Arial"/>
          <w:sz w:val="20"/>
          <w:szCs w:val="20"/>
        </w:rPr>
        <w:t>sibilância</w:t>
      </w:r>
      <w:proofErr w:type="spellEnd"/>
      <w:r>
        <w:rPr>
          <w:rFonts w:ascii="Arial" w:hAnsi="Arial" w:cs="Arial"/>
          <w:sz w:val="20"/>
          <w:szCs w:val="20"/>
        </w:rPr>
        <w:t>, pneumonias, otite, rouquidão)</w:t>
      </w:r>
    </w:p>
    <w:p w14:paraId="012FD48F" w14:textId="77777777" w:rsidR="00DB453C" w:rsidRDefault="00DB453C" w:rsidP="00527DF2">
      <w:pPr>
        <w:pStyle w:val="PargrafodaLista"/>
        <w:numPr>
          <w:ilvl w:val="0"/>
          <w:numId w:val="5"/>
        </w:numPr>
        <w:rPr>
          <w:rFonts w:ascii="Arial" w:hAnsi="Arial" w:cs="Arial"/>
          <w:sz w:val="20"/>
          <w:szCs w:val="20"/>
        </w:rPr>
      </w:pPr>
      <w:r>
        <w:rPr>
          <w:rFonts w:ascii="Arial" w:hAnsi="Arial" w:cs="Arial"/>
          <w:sz w:val="20"/>
          <w:szCs w:val="20"/>
        </w:rPr>
        <w:t xml:space="preserve">hiperextensão cervical (síndrome de </w:t>
      </w:r>
      <w:proofErr w:type="spellStart"/>
      <w:r>
        <w:rPr>
          <w:rFonts w:ascii="Arial" w:hAnsi="Arial" w:cs="Arial"/>
          <w:sz w:val="20"/>
          <w:szCs w:val="20"/>
        </w:rPr>
        <w:t>sandifer</w:t>
      </w:r>
      <w:proofErr w:type="spellEnd"/>
      <w:r>
        <w:rPr>
          <w:rFonts w:ascii="Arial" w:hAnsi="Arial" w:cs="Arial"/>
          <w:sz w:val="20"/>
          <w:szCs w:val="20"/>
        </w:rPr>
        <w:t>)</w:t>
      </w:r>
    </w:p>
    <w:p w14:paraId="22FA3516" w14:textId="77777777" w:rsidR="00DB453C" w:rsidRPr="00DB453C" w:rsidRDefault="00DB453C" w:rsidP="00DB453C">
      <w:pPr>
        <w:rPr>
          <w:rFonts w:ascii="Arial" w:hAnsi="Arial" w:cs="Arial"/>
          <w:sz w:val="20"/>
          <w:szCs w:val="20"/>
        </w:rPr>
      </w:pPr>
    </w:p>
    <w:p w14:paraId="73D35D3D" w14:textId="77777777" w:rsidR="00FE30BA" w:rsidRDefault="00FE30BA" w:rsidP="00FE30BA">
      <w:pPr>
        <w:rPr>
          <w:rFonts w:ascii="Arial" w:hAnsi="Arial" w:cs="Arial"/>
          <w:sz w:val="20"/>
          <w:szCs w:val="20"/>
        </w:rPr>
      </w:pPr>
      <w:r>
        <w:rPr>
          <w:rFonts w:ascii="Arial" w:hAnsi="Arial" w:cs="Arial"/>
          <w:sz w:val="20"/>
          <w:szCs w:val="20"/>
        </w:rPr>
        <w:t>Fatores de risco:</w:t>
      </w:r>
    </w:p>
    <w:p w14:paraId="0EACE71C" w14:textId="77777777" w:rsidR="00FE30BA" w:rsidRDefault="00DB453C" w:rsidP="00FE30BA">
      <w:pPr>
        <w:pStyle w:val="PargrafodaLista"/>
        <w:numPr>
          <w:ilvl w:val="0"/>
          <w:numId w:val="1"/>
        </w:numPr>
        <w:rPr>
          <w:rFonts w:ascii="Arial" w:hAnsi="Arial" w:cs="Arial"/>
          <w:sz w:val="20"/>
          <w:szCs w:val="20"/>
        </w:rPr>
      </w:pPr>
      <w:r>
        <w:rPr>
          <w:rFonts w:ascii="Arial" w:hAnsi="Arial" w:cs="Arial"/>
          <w:sz w:val="20"/>
          <w:szCs w:val="20"/>
        </w:rPr>
        <w:t>e</w:t>
      </w:r>
      <w:r w:rsidR="00FE30BA">
        <w:rPr>
          <w:rFonts w:ascii="Arial" w:hAnsi="Arial" w:cs="Arial"/>
          <w:sz w:val="20"/>
          <w:szCs w:val="20"/>
        </w:rPr>
        <w:t>ncefalopatias</w:t>
      </w:r>
    </w:p>
    <w:p w14:paraId="1A2AD54C" w14:textId="77777777" w:rsidR="00DB453C" w:rsidRDefault="00DB453C" w:rsidP="00FE30BA">
      <w:pPr>
        <w:pStyle w:val="PargrafodaLista"/>
        <w:numPr>
          <w:ilvl w:val="0"/>
          <w:numId w:val="1"/>
        </w:numPr>
        <w:rPr>
          <w:rFonts w:ascii="Arial" w:hAnsi="Arial" w:cs="Arial"/>
          <w:sz w:val="20"/>
          <w:szCs w:val="20"/>
        </w:rPr>
      </w:pPr>
      <w:r>
        <w:rPr>
          <w:rFonts w:ascii="Arial" w:hAnsi="Arial" w:cs="Arial"/>
          <w:sz w:val="20"/>
          <w:szCs w:val="20"/>
        </w:rPr>
        <w:t>tabagismo passivo</w:t>
      </w:r>
    </w:p>
    <w:p w14:paraId="784579F5" w14:textId="77777777" w:rsidR="00DB453C" w:rsidRDefault="00DB453C" w:rsidP="00FE30BA">
      <w:pPr>
        <w:pStyle w:val="PargrafodaLista"/>
        <w:numPr>
          <w:ilvl w:val="0"/>
          <w:numId w:val="1"/>
        </w:numPr>
        <w:rPr>
          <w:rFonts w:ascii="Arial" w:hAnsi="Arial" w:cs="Arial"/>
          <w:sz w:val="20"/>
          <w:szCs w:val="20"/>
        </w:rPr>
      </w:pPr>
      <w:r>
        <w:rPr>
          <w:rFonts w:ascii="Arial" w:hAnsi="Arial" w:cs="Arial"/>
          <w:sz w:val="20"/>
          <w:szCs w:val="20"/>
        </w:rPr>
        <w:t>APLV</w:t>
      </w:r>
    </w:p>
    <w:p w14:paraId="1C64926F" w14:textId="77777777" w:rsidR="00DB453C" w:rsidRDefault="00DB453C" w:rsidP="00FE30BA">
      <w:pPr>
        <w:pStyle w:val="PargrafodaLista"/>
        <w:numPr>
          <w:ilvl w:val="0"/>
          <w:numId w:val="1"/>
        </w:numPr>
        <w:rPr>
          <w:rFonts w:ascii="Arial" w:hAnsi="Arial" w:cs="Arial"/>
          <w:sz w:val="20"/>
          <w:szCs w:val="20"/>
        </w:rPr>
      </w:pPr>
      <w:r>
        <w:rPr>
          <w:rFonts w:ascii="Arial" w:hAnsi="Arial" w:cs="Arial"/>
          <w:sz w:val="20"/>
          <w:szCs w:val="20"/>
        </w:rPr>
        <w:t>mal formações congênitas</w:t>
      </w:r>
    </w:p>
    <w:p w14:paraId="59526B7D" w14:textId="77777777" w:rsidR="00DB453C" w:rsidRDefault="00DB453C" w:rsidP="00FE30BA">
      <w:pPr>
        <w:pStyle w:val="PargrafodaLista"/>
        <w:numPr>
          <w:ilvl w:val="0"/>
          <w:numId w:val="1"/>
        </w:numPr>
        <w:rPr>
          <w:rFonts w:ascii="Arial" w:hAnsi="Arial" w:cs="Arial"/>
          <w:sz w:val="20"/>
          <w:szCs w:val="20"/>
        </w:rPr>
      </w:pPr>
      <w:r>
        <w:rPr>
          <w:rFonts w:ascii="Arial" w:hAnsi="Arial" w:cs="Arial"/>
          <w:sz w:val="20"/>
          <w:szCs w:val="20"/>
        </w:rPr>
        <w:t>doenças obstrutivas do trato digestivo</w:t>
      </w:r>
    </w:p>
    <w:p w14:paraId="49F278F8" w14:textId="77777777" w:rsidR="00DB453C" w:rsidRPr="00DB453C" w:rsidRDefault="00DB453C" w:rsidP="00DB453C">
      <w:pPr>
        <w:rPr>
          <w:rFonts w:ascii="Arial" w:hAnsi="Arial" w:cs="Arial"/>
          <w:sz w:val="20"/>
          <w:szCs w:val="20"/>
        </w:rPr>
      </w:pPr>
    </w:p>
    <w:p w14:paraId="7617A4C5" w14:textId="77777777" w:rsidR="00FE30BA" w:rsidRDefault="00DB453C" w:rsidP="00FE30BA">
      <w:pPr>
        <w:rPr>
          <w:rFonts w:ascii="Arial" w:hAnsi="Arial" w:cs="Arial"/>
        </w:rPr>
      </w:pPr>
      <w:r>
        <w:rPr>
          <w:rFonts w:ascii="Arial" w:hAnsi="Arial" w:cs="Arial"/>
        </w:rPr>
        <w:t>Exames complementares</w:t>
      </w:r>
      <w:r w:rsidR="00FE30BA" w:rsidRPr="006573FC">
        <w:rPr>
          <w:rFonts w:ascii="Arial" w:hAnsi="Arial" w:cs="Arial"/>
        </w:rPr>
        <w:t>:</w:t>
      </w:r>
    </w:p>
    <w:p w14:paraId="0419223D" w14:textId="77777777" w:rsidR="002F538F" w:rsidRDefault="002F538F" w:rsidP="005B5ACE">
      <w:pPr>
        <w:spacing w:line="276" w:lineRule="auto"/>
        <w:rPr>
          <w:rFonts w:ascii="Arial" w:hAnsi="Arial" w:cs="Arial"/>
          <w:sz w:val="20"/>
          <w:szCs w:val="20"/>
        </w:rPr>
      </w:pPr>
      <w:r>
        <w:rPr>
          <w:rFonts w:ascii="Arial" w:hAnsi="Arial" w:cs="Arial"/>
          <w:sz w:val="20"/>
          <w:szCs w:val="20"/>
        </w:rPr>
        <w:lastRenderedPageBreak/>
        <w:t>Os exames complementar</w:t>
      </w:r>
      <w:r w:rsidR="00447C1A">
        <w:rPr>
          <w:rFonts w:ascii="Arial" w:hAnsi="Arial" w:cs="Arial"/>
          <w:sz w:val="20"/>
          <w:szCs w:val="20"/>
        </w:rPr>
        <w:t xml:space="preserve">es nem sempre são necessários, pode evidenciar o episódio de refluxo mas </w:t>
      </w:r>
      <w:r>
        <w:rPr>
          <w:rFonts w:ascii="Arial" w:hAnsi="Arial" w:cs="Arial"/>
          <w:sz w:val="20"/>
          <w:szCs w:val="20"/>
        </w:rPr>
        <w:t>nem sempre confirmam o diagnóstico</w:t>
      </w:r>
      <w:r w:rsidR="00447C1A">
        <w:rPr>
          <w:rFonts w:ascii="Arial" w:hAnsi="Arial" w:cs="Arial"/>
          <w:sz w:val="20"/>
          <w:szCs w:val="20"/>
        </w:rPr>
        <w:t xml:space="preserve"> de DRGE, porém</w:t>
      </w:r>
      <w:r>
        <w:rPr>
          <w:rFonts w:ascii="Arial" w:hAnsi="Arial" w:cs="Arial"/>
          <w:sz w:val="20"/>
          <w:szCs w:val="20"/>
        </w:rPr>
        <w:t xml:space="preserve"> podem aumentar o número de informações e auxiliar/reforçar o diagnóstico clínico</w:t>
      </w:r>
      <w:r w:rsidR="00447C1A">
        <w:rPr>
          <w:rFonts w:ascii="Arial" w:hAnsi="Arial" w:cs="Arial"/>
          <w:sz w:val="20"/>
          <w:szCs w:val="20"/>
        </w:rPr>
        <w:t xml:space="preserve"> em algumas situações</w:t>
      </w:r>
      <w:r>
        <w:rPr>
          <w:rFonts w:ascii="Arial" w:hAnsi="Arial" w:cs="Arial"/>
          <w:sz w:val="20"/>
          <w:szCs w:val="20"/>
        </w:rPr>
        <w:t>.</w:t>
      </w:r>
    </w:p>
    <w:p w14:paraId="3EB8E663" w14:textId="77777777" w:rsidR="005B5ACE" w:rsidRDefault="005B5ACE" w:rsidP="005B5ACE">
      <w:pPr>
        <w:spacing w:line="276" w:lineRule="auto"/>
        <w:rPr>
          <w:rFonts w:ascii="Arial" w:hAnsi="Arial" w:cs="Arial"/>
        </w:rPr>
      </w:pPr>
    </w:p>
    <w:p w14:paraId="53433DA0" w14:textId="7ED7FAAE" w:rsidR="00C059D3" w:rsidRDefault="00447C1A" w:rsidP="005B5ACE">
      <w:pPr>
        <w:spacing w:line="276" w:lineRule="auto"/>
        <w:rPr>
          <w:rFonts w:ascii="Arial" w:hAnsi="Arial" w:cs="Arial"/>
        </w:rPr>
      </w:pPr>
      <w:r>
        <w:rPr>
          <w:rFonts w:ascii="Arial" w:hAnsi="Arial" w:cs="Arial"/>
        </w:rPr>
        <w:t>Ultrassonografia</w:t>
      </w:r>
    </w:p>
    <w:p w14:paraId="559FF732" w14:textId="77777777" w:rsidR="00C059D3" w:rsidRPr="00C059D3" w:rsidRDefault="00C059D3" w:rsidP="005B5ACE">
      <w:pPr>
        <w:spacing w:line="276" w:lineRule="auto"/>
        <w:rPr>
          <w:rFonts w:ascii="Arial" w:hAnsi="Arial" w:cs="Arial"/>
          <w:sz w:val="20"/>
          <w:szCs w:val="20"/>
        </w:rPr>
      </w:pPr>
      <w:r>
        <w:rPr>
          <w:rFonts w:ascii="Arial" w:hAnsi="Arial" w:cs="Arial"/>
          <w:sz w:val="20"/>
          <w:szCs w:val="20"/>
        </w:rPr>
        <w:t xml:space="preserve">Apesar de muito solicitada e realizada, é um exame muito </w:t>
      </w:r>
      <w:proofErr w:type="spellStart"/>
      <w:r>
        <w:rPr>
          <w:rFonts w:ascii="Arial" w:hAnsi="Arial" w:cs="Arial"/>
          <w:sz w:val="20"/>
          <w:szCs w:val="20"/>
        </w:rPr>
        <w:t>controvérsio</w:t>
      </w:r>
      <w:proofErr w:type="spellEnd"/>
      <w:r>
        <w:rPr>
          <w:rFonts w:ascii="Arial" w:hAnsi="Arial" w:cs="Arial"/>
          <w:sz w:val="20"/>
          <w:szCs w:val="20"/>
        </w:rPr>
        <w:t xml:space="preserve">, de baixa </w:t>
      </w:r>
      <w:r w:rsidR="00CC6C50">
        <w:rPr>
          <w:rFonts w:ascii="Arial" w:hAnsi="Arial" w:cs="Arial"/>
          <w:sz w:val="20"/>
          <w:szCs w:val="20"/>
        </w:rPr>
        <w:t>sensibilidade e especificidade e, consequentemente, não comprova o diagnóstico. Deve ser desestimulada a solicitação desse exame com esse fim.</w:t>
      </w:r>
      <w:r>
        <w:rPr>
          <w:rFonts w:ascii="Arial" w:hAnsi="Arial" w:cs="Arial"/>
          <w:sz w:val="20"/>
          <w:szCs w:val="20"/>
        </w:rPr>
        <w:t xml:space="preserve"> </w:t>
      </w:r>
    </w:p>
    <w:p w14:paraId="6C094FAD" w14:textId="77777777" w:rsidR="005B5ACE" w:rsidRDefault="005B5ACE" w:rsidP="005B5ACE">
      <w:pPr>
        <w:spacing w:line="276" w:lineRule="auto"/>
        <w:rPr>
          <w:rFonts w:ascii="Arial" w:hAnsi="Arial" w:cs="Arial"/>
        </w:rPr>
      </w:pPr>
    </w:p>
    <w:p w14:paraId="74DB0B5C" w14:textId="566B437F" w:rsidR="00DB453C" w:rsidRDefault="002F538F" w:rsidP="005B5ACE">
      <w:pPr>
        <w:spacing w:line="276" w:lineRule="auto"/>
        <w:rPr>
          <w:rFonts w:ascii="Arial" w:hAnsi="Arial" w:cs="Arial"/>
        </w:rPr>
      </w:pPr>
      <w:r w:rsidRPr="002F538F">
        <w:rPr>
          <w:rFonts w:ascii="Arial" w:hAnsi="Arial" w:cs="Arial"/>
        </w:rPr>
        <w:t>EED (</w:t>
      </w:r>
      <w:proofErr w:type="spellStart"/>
      <w:r w:rsidRPr="002F538F">
        <w:rPr>
          <w:rFonts w:ascii="Arial" w:hAnsi="Arial" w:cs="Arial"/>
        </w:rPr>
        <w:t>Rx</w:t>
      </w:r>
      <w:proofErr w:type="spellEnd"/>
      <w:r w:rsidRPr="002F538F">
        <w:rPr>
          <w:rFonts w:ascii="Arial" w:hAnsi="Arial" w:cs="Arial"/>
        </w:rPr>
        <w:t xml:space="preserve"> contrastado de esôfago, estômago e duodeno)</w:t>
      </w:r>
    </w:p>
    <w:p w14:paraId="124FAC3B" w14:textId="77777777" w:rsidR="002F538F" w:rsidRDefault="002F538F" w:rsidP="005B5ACE">
      <w:pPr>
        <w:spacing w:line="276" w:lineRule="auto"/>
        <w:rPr>
          <w:rFonts w:ascii="Arial" w:hAnsi="Arial" w:cs="Arial"/>
          <w:sz w:val="20"/>
          <w:szCs w:val="20"/>
        </w:rPr>
      </w:pPr>
      <w:r>
        <w:rPr>
          <w:rFonts w:ascii="Arial" w:hAnsi="Arial" w:cs="Arial"/>
          <w:sz w:val="20"/>
          <w:szCs w:val="20"/>
        </w:rPr>
        <w:t>Útil para detectar alterações anatômicas do trato digestivo</w:t>
      </w:r>
      <w:r w:rsidR="00C059D3">
        <w:rPr>
          <w:rFonts w:ascii="Arial" w:hAnsi="Arial" w:cs="Arial"/>
          <w:sz w:val="20"/>
          <w:szCs w:val="20"/>
        </w:rPr>
        <w:t xml:space="preserve"> assim como alterações de motilidade. Não é útil para confirmação de DRGE.</w:t>
      </w:r>
    </w:p>
    <w:p w14:paraId="6200301B" w14:textId="77777777" w:rsidR="005B5ACE" w:rsidRDefault="005B5ACE" w:rsidP="005B5ACE">
      <w:pPr>
        <w:spacing w:line="276" w:lineRule="auto"/>
        <w:rPr>
          <w:rFonts w:ascii="Arial" w:hAnsi="Arial" w:cs="Arial"/>
        </w:rPr>
      </w:pPr>
    </w:p>
    <w:p w14:paraId="158F04D0" w14:textId="3C42994F" w:rsidR="00CC6C50" w:rsidRDefault="00447C1A" w:rsidP="005B5ACE">
      <w:pPr>
        <w:spacing w:line="276" w:lineRule="auto"/>
        <w:rPr>
          <w:rFonts w:ascii="Arial" w:hAnsi="Arial" w:cs="Arial"/>
        </w:rPr>
      </w:pPr>
      <w:r>
        <w:rPr>
          <w:rFonts w:ascii="Arial" w:hAnsi="Arial" w:cs="Arial"/>
        </w:rPr>
        <w:t>Cintilografia esofágica</w:t>
      </w:r>
    </w:p>
    <w:p w14:paraId="2AB86DF0" w14:textId="77777777" w:rsidR="00447C1A" w:rsidRDefault="00447C1A" w:rsidP="005B5ACE">
      <w:pPr>
        <w:spacing w:line="276" w:lineRule="auto"/>
        <w:rPr>
          <w:rFonts w:ascii="Arial" w:hAnsi="Arial" w:cs="Arial"/>
          <w:sz w:val="20"/>
          <w:szCs w:val="20"/>
        </w:rPr>
      </w:pPr>
      <w:r>
        <w:rPr>
          <w:rFonts w:ascii="Arial" w:hAnsi="Arial" w:cs="Arial"/>
          <w:sz w:val="20"/>
          <w:szCs w:val="20"/>
        </w:rPr>
        <w:t>Método útil para auxiliar na detecção de aspiração pulmonar, exame de baixa sensibilidade, não deve ser realizada de rotina em pacientes com suspeita de DRGE.</w:t>
      </w:r>
    </w:p>
    <w:p w14:paraId="5CADBB7F" w14:textId="77777777" w:rsidR="005B5ACE" w:rsidRDefault="005B5ACE" w:rsidP="005B5ACE">
      <w:pPr>
        <w:spacing w:line="276" w:lineRule="auto"/>
        <w:rPr>
          <w:rFonts w:ascii="Arial" w:hAnsi="Arial" w:cs="Arial"/>
        </w:rPr>
      </w:pPr>
    </w:p>
    <w:p w14:paraId="005E69E2" w14:textId="3C4275CB" w:rsidR="00447C1A" w:rsidRDefault="00447C1A" w:rsidP="005B5ACE">
      <w:pPr>
        <w:spacing w:line="276" w:lineRule="auto"/>
        <w:rPr>
          <w:rFonts w:ascii="Arial" w:hAnsi="Arial" w:cs="Arial"/>
        </w:rPr>
      </w:pPr>
      <w:proofErr w:type="spellStart"/>
      <w:r>
        <w:rPr>
          <w:rFonts w:ascii="Arial" w:hAnsi="Arial" w:cs="Arial"/>
        </w:rPr>
        <w:t>Manometria</w:t>
      </w:r>
      <w:proofErr w:type="spellEnd"/>
      <w:r>
        <w:rPr>
          <w:rFonts w:ascii="Arial" w:hAnsi="Arial" w:cs="Arial"/>
        </w:rPr>
        <w:t xml:space="preserve"> esofágica</w:t>
      </w:r>
    </w:p>
    <w:p w14:paraId="4110A079" w14:textId="77777777" w:rsidR="00447C1A" w:rsidRDefault="00447C1A" w:rsidP="005B5ACE">
      <w:pPr>
        <w:spacing w:line="276" w:lineRule="auto"/>
        <w:rPr>
          <w:rFonts w:ascii="Arial" w:hAnsi="Arial" w:cs="Arial"/>
          <w:sz w:val="20"/>
          <w:szCs w:val="20"/>
        </w:rPr>
      </w:pPr>
      <w:r>
        <w:rPr>
          <w:rFonts w:ascii="Arial" w:hAnsi="Arial" w:cs="Arial"/>
          <w:sz w:val="20"/>
          <w:szCs w:val="20"/>
        </w:rPr>
        <w:t>Pouco realizado em crianças, avalia a pressão dos esfíncteres esofágicos e do corpo do esôfago, não tem valor diagnóstico para DRGE.</w:t>
      </w:r>
    </w:p>
    <w:p w14:paraId="3D16FED4" w14:textId="77777777" w:rsidR="005B5ACE" w:rsidRDefault="005B5ACE" w:rsidP="005B5ACE">
      <w:pPr>
        <w:spacing w:line="276" w:lineRule="auto"/>
        <w:rPr>
          <w:rFonts w:ascii="Arial" w:hAnsi="Arial" w:cs="Arial"/>
        </w:rPr>
      </w:pPr>
    </w:p>
    <w:p w14:paraId="35E92397" w14:textId="0FFECD4F" w:rsidR="00447C1A" w:rsidRDefault="00447C1A" w:rsidP="005B5ACE">
      <w:pPr>
        <w:spacing w:line="276" w:lineRule="auto"/>
        <w:rPr>
          <w:rFonts w:ascii="Arial" w:hAnsi="Arial" w:cs="Arial"/>
        </w:rPr>
      </w:pPr>
      <w:proofErr w:type="spellStart"/>
      <w:r w:rsidRPr="00447C1A">
        <w:rPr>
          <w:rFonts w:ascii="Arial" w:hAnsi="Arial" w:cs="Arial"/>
        </w:rPr>
        <w:t>pHmetria</w:t>
      </w:r>
      <w:proofErr w:type="spellEnd"/>
      <w:r>
        <w:rPr>
          <w:rFonts w:ascii="Arial" w:hAnsi="Arial" w:cs="Arial"/>
        </w:rPr>
        <w:t xml:space="preserve"> esofágica prolongada</w:t>
      </w:r>
    </w:p>
    <w:p w14:paraId="4C0733B8" w14:textId="77777777" w:rsidR="00447C1A" w:rsidRDefault="00447C1A" w:rsidP="005B5ACE">
      <w:pPr>
        <w:spacing w:line="276" w:lineRule="auto"/>
        <w:rPr>
          <w:rFonts w:ascii="Arial" w:hAnsi="Arial" w:cs="Arial"/>
          <w:sz w:val="20"/>
          <w:szCs w:val="20"/>
        </w:rPr>
      </w:pPr>
      <w:r w:rsidRPr="00447C1A">
        <w:rPr>
          <w:rFonts w:ascii="Arial" w:hAnsi="Arial" w:cs="Arial"/>
          <w:sz w:val="20"/>
          <w:szCs w:val="20"/>
        </w:rPr>
        <w:t xml:space="preserve">Avalia </w:t>
      </w:r>
      <w:r>
        <w:rPr>
          <w:rFonts w:ascii="Arial" w:hAnsi="Arial" w:cs="Arial"/>
          <w:sz w:val="20"/>
          <w:szCs w:val="20"/>
        </w:rPr>
        <w:t xml:space="preserve">o pH </w:t>
      </w:r>
      <w:proofErr w:type="spellStart"/>
      <w:r>
        <w:rPr>
          <w:rFonts w:ascii="Arial" w:hAnsi="Arial" w:cs="Arial"/>
          <w:sz w:val="20"/>
          <w:szCs w:val="20"/>
        </w:rPr>
        <w:t>intraesofágico</w:t>
      </w:r>
      <w:proofErr w:type="spellEnd"/>
      <w:r>
        <w:rPr>
          <w:rFonts w:ascii="Arial" w:hAnsi="Arial" w:cs="Arial"/>
          <w:sz w:val="20"/>
          <w:szCs w:val="20"/>
        </w:rPr>
        <w:t xml:space="preserve"> em terço superior, médio e inferior durante 24h através de uma sonda esofágica com eletrodo. Consegue avaliar número de episódios de refluxo, pH do conteúdo refluído</w:t>
      </w:r>
      <w:r w:rsidR="00D82DE4">
        <w:rPr>
          <w:rFonts w:ascii="Arial" w:hAnsi="Arial" w:cs="Arial"/>
          <w:sz w:val="20"/>
          <w:szCs w:val="20"/>
        </w:rPr>
        <w:t xml:space="preserve"> e a duração do refluxo. Útil para confirmação do diagnóstico de refluxo patológico em suspeitas clínicas, em pacientes com sintomas </w:t>
      </w:r>
      <w:proofErr w:type="spellStart"/>
      <w:r w:rsidR="00D82DE4">
        <w:rPr>
          <w:rFonts w:ascii="Arial" w:hAnsi="Arial" w:cs="Arial"/>
          <w:sz w:val="20"/>
          <w:szCs w:val="20"/>
        </w:rPr>
        <w:t>extraesofágicos</w:t>
      </w:r>
      <w:proofErr w:type="spellEnd"/>
      <w:r w:rsidR="00D82DE4">
        <w:rPr>
          <w:rFonts w:ascii="Arial" w:hAnsi="Arial" w:cs="Arial"/>
          <w:sz w:val="20"/>
          <w:szCs w:val="20"/>
        </w:rPr>
        <w:t xml:space="preserve"> (refluxo oculto), pacientes com sintomas típicos de DRGE sem melhora com o tratamento clínico, avaliação pré-operatória de gastrostomia, avaliação da eficácia da </w:t>
      </w:r>
      <w:proofErr w:type="spellStart"/>
      <w:r w:rsidR="00D82DE4">
        <w:rPr>
          <w:rFonts w:ascii="Arial" w:hAnsi="Arial" w:cs="Arial"/>
          <w:sz w:val="20"/>
          <w:szCs w:val="20"/>
        </w:rPr>
        <w:t>fundoplicatura</w:t>
      </w:r>
      <w:proofErr w:type="spellEnd"/>
      <w:r w:rsidR="00D82DE4">
        <w:rPr>
          <w:rFonts w:ascii="Arial" w:hAnsi="Arial" w:cs="Arial"/>
          <w:sz w:val="20"/>
          <w:szCs w:val="20"/>
        </w:rPr>
        <w:t xml:space="preserve"> em pacientes operados e que persistem com sintomas de DRGE.</w:t>
      </w:r>
    </w:p>
    <w:p w14:paraId="0DDD468D" w14:textId="77777777" w:rsidR="005B5ACE" w:rsidRDefault="005B5ACE" w:rsidP="005B5ACE">
      <w:pPr>
        <w:spacing w:line="276" w:lineRule="auto"/>
        <w:rPr>
          <w:rFonts w:ascii="Arial" w:hAnsi="Arial" w:cs="Arial"/>
        </w:rPr>
      </w:pPr>
    </w:p>
    <w:p w14:paraId="4B57E7D8" w14:textId="363AEE85" w:rsidR="00D82DE4" w:rsidRDefault="00D82DE4" w:rsidP="005B5ACE">
      <w:pPr>
        <w:spacing w:line="276" w:lineRule="auto"/>
        <w:rPr>
          <w:rFonts w:ascii="Arial" w:hAnsi="Arial" w:cs="Arial"/>
        </w:rPr>
      </w:pPr>
      <w:proofErr w:type="spellStart"/>
      <w:r>
        <w:rPr>
          <w:rFonts w:ascii="Arial" w:hAnsi="Arial" w:cs="Arial"/>
        </w:rPr>
        <w:t>Impedanciometria</w:t>
      </w:r>
      <w:proofErr w:type="spellEnd"/>
      <w:r>
        <w:rPr>
          <w:rFonts w:ascii="Arial" w:hAnsi="Arial" w:cs="Arial"/>
        </w:rPr>
        <w:t xml:space="preserve"> e </w:t>
      </w:r>
      <w:proofErr w:type="spellStart"/>
      <w:r>
        <w:rPr>
          <w:rFonts w:ascii="Arial" w:hAnsi="Arial" w:cs="Arial"/>
        </w:rPr>
        <w:t>impedancio-pHmetria</w:t>
      </w:r>
      <w:proofErr w:type="spellEnd"/>
      <w:r>
        <w:rPr>
          <w:rFonts w:ascii="Arial" w:hAnsi="Arial" w:cs="Arial"/>
        </w:rPr>
        <w:t xml:space="preserve"> esofágica intraluminal</w:t>
      </w:r>
    </w:p>
    <w:p w14:paraId="066626AF" w14:textId="77777777" w:rsidR="00D82DE4" w:rsidRDefault="00965333" w:rsidP="005B5ACE">
      <w:pPr>
        <w:spacing w:line="276" w:lineRule="auto"/>
        <w:rPr>
          <w:rFonts w:ascii="Arial" w:hAnsi="Arial" w:cs="Arial"/>
          <w:sz w:val="20"/>
          <w:szCs w:val="20"/>
        </w:rPr>
      </w:pPr>
      <w:r>
        <w:rPr>
          <w:rFonts w:ascii="Arial" w:hAnsi="Arial" w:cs="Arial"/>
          <w:sz w:val="20"/>
          <w:szCs w:val="20"/>
        </w:rPr>
        <w:t xml:space="preserve">Através de um cateter com eletrodo introduzido via esofágica, detecta refluxos ácidos e não ácidos, altura do esôfago que o refluxo alcança e a duração dos refluxos. Exame superior à </w:t>
      </w:r>
      <w:proofErr w:type="spellStart"/>
      <w:r>
        <w:rPr>
          <w:rFonts w:ascii="Arial" w:hAnsi="Arial" w:cs="Arial"/>
          <w:sz w:val="20"/>
          <w:szCs w:val="20"/>
        </w:rPr>
        <w:t>pHmetria</w:t>
      </w:r>
      <w:proofErr w:type="spellEnd"/>
      <w:r>
        <w:rPr>
          <w:rFonts w:ascii="Arial" w:hAnsi="Arial" w:cs="Arial"/>
          <w:sz w:val="20"/>
          <w:szCs w:val="20"/>
        </w:rPr>
        <w:t>. Deve associar os sintomas clínicos com o episódio de refluxo.</w:t>
      </w:r>
    </w:p>
    <w:p w14:paraId="76143608" w14:textId="77777777" w:rsidR="005B5ACE" w:rsidRDefault="005B5ACE" w:rsidP="005B5ACE">
      <w:pPr>
        <w:spacing w:line="276" w:lineRule="auto"/>
        <w:rPr>
          <w:rFonts w:ascii="Arial" w:hAnsi="Arial" w:cs="Arial"/>
        </w:rPr>
      </w:pPr>
    </w:p>
    <w:p w14:paraId="17E6B98E" w14:textId="7CE847B7" w:rsidR="00965333" w:rsidRDefault="00965333" w:rsidP="005B5ACE">
      <w:pPr>
        <w:spacing w:line="276" w:lineRule="auto"/>
        <w:rPr>
          <w:rFonts w:ascii="Arial" w:hAnsi="Arial" w:cs="Arial"/>
        </w:rPr>
      </w:pPr>
      <w:r w:rsidRPr="00965333">
        <w:rPr>
          <w:rFonts w:ascii="Arial" w:hAnsi="Arial" w:cs="Arial"/>
        </w:rPr>
        <w:t>Endoscopia e biópsia</w:t>
      </w:r>
    </w:p>
    <w:p w14:paraId="096935FC" w14:textId="77777777" w:rsidR="00965333" w:rsidRPr="00965333" w:rsidRDefault="00965333" w:rsidP="005B5ACE">
      <w:pPr>
        <w:spacing w:line="276" w:lineRule="auto"/>
        <w:rPr>
          <w:rFonts w:ascii="Arial" w:hAnsi="Arial" w:cs="Arial"/>
          <w:sz w:val="20"/>
          <w:szCs w:val="20"/>
        </w:rPr>
      </w:pPr>
      <w:r w:rsidRPr="00965333">
        <w:rPr>
          <w:rFonts w:ascii="Arial" w:hAnsi="Arial" w:cs="Arial"/>
          <w:sz w:val="20"/>
          <w:szCs w:val="20"/>
        </w:rPr>
        <w:t>Exame também pouco utilizado na pediatria</w:t>
      </w:r>
      <w:r>
        <w:rPr>
          <w:rFonts w:ascii="Arial" w:hAnsi="Arial" w:cs="Arial"/>
          <w:sz w:val="20"/>
          <w:szCs w:val="20"/>
        </w:rPr>
        <w:t>, tem indicação quando se suspeita de esofagite ou algumas outras complicações como estenose, úlceras e esôfago de Barrett. A biópsia sempre é recomendada ao realizar a endoscopia pois auxilia nos diagnósticos diferenciais.</w:t>
      </w:r>
    </w:p>
    <w:p w14:paraId="2448BD45" w14:textId="77777777" w:rsidR="00C059D3" w:rsidRPr="002F538F" w:rsidRDefault="00C059D3" w:rsidP="005B5ACE">
      <w:pPr>
        <w:spacing w:line="276" w:lineRule="auto"/>
        <w:rPr>
          <w:rFonts w:ascii="Arial" w:hAnsi="Arial" w:cs="Arial"/>
          <w:sz w:val="20"/>
          <w:szCs w:val="20"/>
        </w:rPr>
      </w:pPr>
    </w:p>
    <w:p w14:paraId="1591C6CD" w14:textId="77777777" w:rsidR="00FE30BA" w:rsidRDefault="005527B2" w:rsidP="005B5ACE">
      <w:pPr>
        <w:spacing w:line="276" w:lineRule="auto"/>
        <w:rPr>
          <w:rFonts w:ascii="Arial" w:hAnsi="Arial" w:cs="Arial"/>
        </w:rPr>
      </w:pPr>
      <w:r>
        <w:rPr>
          <w:rFonts w:ascii="Arial" w:hAnsi="Arial" w:cs="Arial"/>
        </w:rPr>
        <w:t>Tratamento</w:t>
      </w:r>
      <w:r w:rsidR="00FE30BA">
        <w:rPr>
          <w:rFonts w:ascii="Arial" w:hAnsi="Arial" w:cs="Arial"/>
        </w:rPr>
        <w:t>:</w:t>
      </w:r>
    </w:p>
    <w:p w14:paraId="14846BEF" w14:textId="77777777" w:rsidR="005527B2" w:rsidRDefault="005527B2" w:rsidP="005B5ACE">
      <w:pPr>
        <w:spacing w:line="276" w:lineRule="auto"/>
        <w:ind w:firstLine="720"/>
        <w:rPr>
          <w:rFonts w:ascii="Arial" w:hAnsi="Arial" w:cs="Arial"/>
          <w:sz w:val="20"/>
          <w:szCs w:val="20"/>
        </w:rPr>
      </w:pPr>
      <w:r>
        <w:rPr>
          <w:rFonts w:ascii="Arial" w:hAnsi="Arial" w:cs="Arial"/>
          <w:sz w:val="20"/>
          <w:szCs w:val="20"/>
        </w:rPr>
        <w:t>O tratamento é diferente se tratamos de refluxo fisiológico ou de doença do refluxo. No refluxo gastroesofágico fisiológico, devemos apenas tranquilizar os pais, e tomar medidas que amenizem os episódios de regurgitações como fracionamento da dieta</w:t>
      </w:r>
      <w:r w:rsidR="00BF7D97">
        <w:rPr>
          <w:rFonts w:ascii="Arial" w:hAnsi="Arial" w:cs="Arial"/>
          <w:sz w:val="20"/>
          <w:szCs w:val="20"/>
        </w:rPr>
        <w:t xml:space="preserve"> e em pequenos volumes. A posição de decúbito deve ser a supina mesmo, evitando a prona e lateral devido ao risco de morte súbita. Em casos de refluxo fisiológico de pacientes que não estão em aleitamento materno, uma opção é espessar a dieta, porém sabendo que irá diminuir apenas o número de refluxos visíveis e os vômitos, não diminuindo o retorno do conteúdo gástrico para o esôfago.</w:t>
      </w:r>
    </w:p>
    <w:p w14:paraId="372D71E9" w14:textId="77777777" w:rsidR="00BF7D97" w:rsidRPr="005527B2" w:rsidRDefault="00BF7D97" w:rsidP="005B5ACE">
      <w:pPr>
        <w:spacing w:line="276" w:lineRule="auto"/>
        <w:ind w:firstLine="720"/>
        <w:rPr>
          <w:rFonts w:ascii="Arial" w:hAnsi="Arial" w:cs="Arial"/>
          <w:sz w:val="20"/>
          <w:szCs w:val="20"/>
        </w:rPr>
      </w:pPr>
      <w:r>
        <w:rPr>
          <w:rFonts w:ascii="Arial" w:hAnsi="Arial" w:cs="Arial"/>
          <w:sz w:val="20"/>
          <w:szCs w:val="20"/>
        </w:rPr>
        <w:lastRenderedPageBreak/>
        <w:t>Nos casos de doença do refluxo, devemos além de fracionar a dieta, ainda aumentar a atenção para não ingerir líquidos durante as refeições, evitar de deitar após as refeições, evitar alimentos que mostrem ter relação com aumento dos sintomas, por exemplo leite em pacientes com APLV, evitar alimentos muito gordurosos. Evitar a exposição ao tabagismo.</w:t>
      </w:r>
    </w:p>
    <w:p w14:paraId="75573EA0" w14:textId="77777777" w:rsidR="005B5ACE" w:rsidRDefault="005B5ACE" w:rsidP="005B5ACE">
      <w:pPr>
        <w:spacing w:line="276" w:lineRule="auto"/>
        <w:rPr>
          <w:rFonts w:ascii="Arial" w:hAnsi="Arial" w:cs="Arial"/>
        </w:rPr>
      </w:pPr>
    </w:p>
    <w:p w14:paraId="6577D96D" w14:textId="0069C92C" w:rsidR="00FE30BA" w:rsidRDefault="00FE30BA" w:rsidP="005B5ACE">
      <w:pPr>
        <w:spacing w:line="276" w:lineRule="auto"/>
        <w:rPr>
          <w:rFonts w:ascii="Arial" w:hAnsi="Arial" w:cs="Arial"/>
        </w:rPr>
      </w:pPr>
      <w:proofErr w:type="gramStart"/>
      <w:r w:rsidRPr="005969D1">
        <w:rPr>
          <w:rFonts w:ascii="Arial" w:hAnsi="Arial" w:cs="Arial"/>
        </w:rPr>
        <w:t xml:space="preserve">Tratamento  </w:t>
      </w:r>
      <w:r>
        <w:rPr>
          <w:rFonts w:ascii="Arial" w:hAnsi="Arial" w:cs="Arial"/>
        </w:rPr>
        <w:t>medicamentoso</w:t>
      </w:r>
      <w:proofErr w:type="gramEnd"/>
      <w:r w:rsidR="00BF7D97">
        <w:rPr>
          <w:rFonts w:ascii="Arial" w:hAnsi="Arial" w:cs="Arial"/>
        </w:rPr>
        <w:t xml:space="preserve"> em DRGE</w:t>
      </w:r>
      <w:r>
        <w:rPr>
          <w:rFonts w:ascii="Arial" w:hAnsi="Arial" w:cs="Arial"/>
        </w:rPr>
        <w:t>:</w:t>
      </w:r>
    </w:p>
    <w:p w14:paraId="41DD0603" w14:textId="77777777" w:rsidR="005F5FAF" w:rsidRDefault="00BF7D97" w:rsidP="005B5ACE">
      <w:pPr>
        <w:spacing w:line="276" w:lineRule="auto"/>
        <w:rPr>
          <w:rFonts w:ascii="Arial" w:hAnsi="Arial" w:cs="Arial"/>
          <w:sz w:val="20"/>
          <w:szCs w:val="20"/>
        </w:rPr>
      </w:pPr>
      <w:r>
        <w:rPr>
          <w:rFonts w:ascii="Arial" w:hAnsi="Arial" w:cs="Arial"/>
          <w:sz w:val="20"/>
          <w:szCs w:val="20"/>
        </w:rPr>
        <w:tab/>
      </w:r>
      <w:r w:rsidR="005F5FAF">
        <w:rPr>
          <w:rFonts w:ascii="Arial" w:hAnsi="Arial" w:cs="Arial"/>
          <w:sz w:val="20"/>
          <w:szCs w:val="20"/>
        </w:rPr>
        <w:t>O tratamento medicamentoso é limitado, seja por baixa eficácia ou por riscos de efeitos colaterais e deve ser usado com critério.</w:t>
      </w:r>
    </w:p>
    <w:p w14:paraId="6505001A" w14:textId="77777777" w:rsidR="005F122F" w:rsidRDefault="007270E2" w:rsidP="005B5ACE">
      <w:pPr>
        <w:spacing w:line="276" w:lineRule="auto"/>
        <w:ind w:firstLine="720"/>
        <w:rPr>
          <w:rFonts w:ascii="Arial" w:hAnsi="Arial" w:cs="Arial"/>
          <w:sz w:val="20"/>
          <w:szCs w:val="20"/>
        </w:rPr>
      </w:pPr>
      <w:r>
        <w:rPr>
          <w:rFonts w:ascii="Arial" w:hAnsi="Arial" w:cs="Arial"/>
          <w:sz w:val="20"/>
          <w:szCs w:val="20"/>
        </w:rPr>
        <w:t xml:space="preserve">Medicamentos </w:t>
      </w:r>
      <w:proofErr w:type="spellStart"/>
      <w:r>
        <w:rPr>
          <w:rFonts w:ascii="Arial" w:hAnsi="Arial" w:cs="Arial"/>
          <w:sz w:val="20"/>
          <w:szCs w:val="20"/>
        </w:rPr>
        <w:t>procinéticos</w:t>
      </w:r>
      <w:proofErr w:type="spellEnd"/>
      <w:r>
        <w:rPr>
          <w:rFonts w:ascii="Arial" w:hAnsi="Arial" w:cs="Arial"/>
          <w:sz w:val="20"/>
          <w:szCs w:val="20"/>
        </w:rPr>
        <w:t xml:space="preserve"> (</w:t>
      </w:r>
      <w:proofErr w:type="spellStart"/>
      <w:r>
        <w:rPr>
          <w:rFonts w:ascii="Arial" w:hAnsi="Arial" w:cs="Arial"/>
          <w:sz w:val="20"/>
          <w:szCs w:val="20"/>
        </w:rPr>
        <w:t>domperidona</w:t>
      </w:r>
      <w:proofErr w:type="spellEnd"/>
      <w:r>
        <w:rPr>
          <w:rFonts w:ascii="Arial" w:hAnsi="Arial" w:cs="Arial"/>
          <w:sz w:val="20"/>
          <w:szCs w:val="20"/>
        </w:rPr>
        <w:t xml:space="preserve">, </w:t>
      </w:r>
      <w:proofErr w:type="spellStart"/>
      <w:r>
        <w:rPr>
          <w:rFonts w:ascii="Arial" w:hAnsi="Arial" w:cs="Arial"/>
          <w:sz w:val="20"/>
          <w:szCs w:val="20"/>
        </w:rPr>
        <w:t>bromoprida</w:t>
      </w:r>
      <w:proofErr w:type="spellEnd"/>
      <w:r>
        <w:rPr>
          <w:rFonts w:ascii="Arial" w:hAnsi="Arial" w:cs="Arial"/>
          <w:sz w:val="20"/>
          <w:szCs w:val="20"/>
        </w:rPr>
        <w:t xml:space="preserve"> e </w:t>
      </w:r>
      <w:proofErr w:type="spellStart"/>
      <w:r>
        <w:rPr>
          <w:rFonts w:ascii="Arial" w:hAnsi="Arial" w:cs="Arial"/>
          <w:sz w:val="20"/>
          <w:szCs w:val="20"/>
        </w:rPr>
        <w:t>metoclopramida</w:t>
      </w:r>
      <w:proofErr w:type="spellEnd"/>
      <w:r>
        <w:rPr>
          <w:rFonts w:ascii="Arial" w:hAnsi="Arial" w:cs="Arial"/>
          <w:sz w:val="20"/>
          <w:szCs w:val="20"/>
        </w:rPr>
        <w:t>) não apresentam eficácia e apresentam riscos de efeitos colaterais indesejados</w:t>
      </w:r>
      <w:r w:rsidR="005F122F">
        <w:rPr>
          <w:rFonts w:ascii="Arial" w:hAnsi="Arial" w:cs="Arial"/>
          <w:sz w:val="20"/>
          <w:szCs w:val="20"/>
        </w:rPr>
        <w:t xml:space="preserve">, </w:t>
      </w:r>
      <w:r>
        <w:rPr>
          <w:rFonts w:ascii="Arial" w:hAnsi="Arial" w:cs="Arial"/>
          <w:sz w:val="20"/>
          <w:szCs w:val="20"/>
        </w:rPr>
        <w:t>não sendo então indicado</w:t>
      </w:r>
      <w:r w:rsidR="005F122F">
        <w:rPr>
          <w:rFonts w:ascii="Arial" w:hAnsi="Arial" w:cs="Arial"/>
          <w:sz w:val="20"/>
          <w:szCs w:val="20"/>
        </w:rPr>
        <w:t xml:space="preserve"> de rotina</w:t>
      </w:r>
      <w:r>
        <w:rPr>
          <w:rFonts w:ascii="Arial" w:hAnsi="Arial" w:cs="Arial"/>
          <w:sz w:val="20"/>
          <w:szCs w:val="20"/>
        </w:rPr>
        <w:t xml:space="preserve"> no tratamento da doença.</w:t>
      </w:r>
      <w:r w:rsidR="005F122F">
        <w:rPr>
          <w:rFonts w:ascii="Arial" w:hAnsi="Arial" w:cs="Arial"/>
          <w:sz w:val="20"/>
          <w:szCs w:val="20"/>
        </w:rPr>
        <w:t xml:space="preserve"> </w:t>
      </w:r>
    </w:p>
    <w:p w14:paraId="573C6BA4" w14:textId="0BE1E0C8" w:rsidR="007270E2" w:rsidRDefault="005F122F" w:rsidP="005B5ACE">
      <w:pPr>
        <w:spacing w:line="276" w:lineRule="auto"/>
        <w:ind w:firstLine="720"/>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bromoprida</w:t>
      </w:r>
      <w:proofErr w:type="spellEnd"/>
      <w:r>
        <w:rPr>
          <w:rFonts w:ascii="Arial" w:hAnsi="Arial" w:cs="Arial"/>
          <w:sz w:val="20"/>
          <w:szCs w:val="20"/>
        </w:rPr>
        <w:t xml:space="preserve"> e </w:t>
      </w:r>
      <w:proofErr w:type="spellStart"/>
      <w:r>
        <w:rPr>
          <w:rFonts w:ascii="Arial" w:hAnsi="Arial" w:cs="Arial"/>
          <w:sz w:val="20"/>
          <w:szCs w:val="20"/>
        </w:rPr>
        <w:t>metoclopramida</w:t>
      </w:r>
      <w:proofErr w:type="spellEnd"/>
      <w:r>
        <w:rPr>
          <w:rFonts w:ascii="Arial" w:hAnsi="Arial" w:cs="Arial"/>
          <w:sz w:val="20"/>
          <w:szCs w:val="20"/>
        </w:rPr>
        <w:t xml:space="preserve"> tem elevados índices de efeitos colaterais e não devem ser prescritos, a </w:t>
      </w:r>
      <w:proofErr w:type="spellStart"/>
      <w:r>
        <w:rPr>
          <w:rFonts w:ascii="Arial" w:hAnsi="Arial" w:cs="Arial"/>
          <w:sz w:val="20"/>
          <w:szCs w:val="20"/>
        </w:rPr>
        <w:t>domperidona</w:t>
      </w:r>
      <w:proofErr w:type="spellEnd"/>
      <w:r>
        <w:rPr>
          <w:rFonts w:ascii="Arial" w:hAnsi="Arial" w:cs="Arial"/>
          <w:sz w:val="20"/>
          <w:szCs w:val="20"/>
        </w:rPr>
        <w:t xml:space="preserve"> apresenta menores índices de efeitos colaterais mas não evita o retorno do conteúdo gástrico para o esôfago inferior, diminui apenas a quantidade de retorno do conteúdo gástrico até a boca e esôfago superior.</w:t>
      </w:r>
    </w:p>
    <w:p w14:paraId="46720AAA" w14:textId="0DAB9770" w:rsidR="007805B6" w:rsidRDefault="007805B6" w:rsidP="005B5ACE">
      <w:pPr>
        <w:spacing w:line="276" w:lineRule="auto"/>
        <w:ind w:firstLine="720"/>
        <w:rPr>
          <w:rFonts w:ascii="Arial" w:hAnsi="Arial" w:cs="Arial"/>
          <w:sz w:val="20"/>
          <w:szCs w:val="20"/>
        </w:rPr>
      </w:pPr>
      <w:r>
        <w:rPr>
          <w:rFonts w:ascii="Arial" w:hAnsi="Arial" w:cs="Arial"/>
          <w:sz w:val="20"/>
          <w:szCs w:val="20"/>
        </w:rPr>
        <w:t xml:space="preserve">A </w:t>
      </w:r>
      <w:r w:rsidR="009839CD">
        <w:rPr>
          <w:rFonts w:ascii="Arial" w:hAnsi="Arial" w:cs="Arial"/>
          <w:sz w:val="20"/>
          <w:szCs w:val="20"/>
        </w:rPr>
        <w:t xml:space="preserve">apresentação da </w:t>
      </w:r>
      <w:proofErr w:type="spellStart"/>
      <w:r w:rsidR="009839CD">
        <w:rPr>
          <w:rFonts w:ascii="Arial" w:hAnsi="Arial" w:cs="Arial"/>
          <w:sz w:val="20"/>
          <w:szCs w:val="20"/>
        </w:rPr>
        <w:t>domperidona</w:t>
      </w:r>
      <w:proofErr w:type="spellEnd"/>
      <w:r w:rsidR="009839CD">
        <w:rPr>
          <w:rFonts w:ascii="Arial" w:hAnsi="Arial" w:cs="Arial"/>
          <w:sz w:val="20"/>
          <w:szCs w:val="20"/>
        </w:rPr>
        <w:t xml:space="preserve"> suspensão é 1mg/ml e a dose</w:t>
      </w:r>
      <w:r>
        <w:rPr>
          <w:rFonts w:ascii="Arial" w:hAnsi="Arial" w:cs="Arial"/>
          <w:sz w:val="20"/>
          <w:szCs w:val="20"/>
        </w:rPr>
        <w:t xml:space="preserve"> é 0,25mg/kg/dose 3x ao dia</w:t>
      </w:r>
      <w:r w:rsidR="009839CD">
        <w:rPr>
          <w:rFonts w:ascii="Arial" w:hAnsi="Arial" w:cs="Arial"/>
          <w:sz w:val="20"/>
          <w:szCs w:val="20"/>
        </w:rPr>
        <w:t>, não devendo exceder a dose de 1mg/kg/dia e no máximo 35mg/dia.</w:t>
      </w:r>
    </w:p>
    <w:p w14:paraId="43FA6884" w14:textId="5FEA0727" w:rsidR="00BF7D97" w:rsidRDefault="00BF7D97" w:rsidP="005B5ACE">
      <w:pPr>
        <w:spacing w:line="276" w:lineRule="auto"/>
        <w:ind w:firstLine="720"/>
        <w:rPr>
          <w:rFonts w:ascii="Arial" w:hAnsi="Arial" w:cs="Arial"/>
          <w:sz w:val="20"/>
          <w:szCs w:val="20"/>
        </w:rPr>
      </w:pPr>
      <w:r>
        <w:rPr>
          <w:rFonts w:ascii="Arial" w:hAnsi="Arial" w:cs="Arial"/>
          <w:sz w:val="20"/>
          <w:szCs w:val="20"/>
        </w:rPr>
        <w:t>Os medicamentos antagonistas dos receptores</w:t>
      </w:r>
      <w:r w:rsidR="007270E2">
        <w:rPr>
          <w:rFonts w:ascii="Arial" w:hAnsi="Arial" w:cs="Arial"/>
          <w:sz w:val="20"/>
          <w:szCs w:val="20"/>
        </w:rPr>
        <w:t xml:space="preserve"> H2 da histamina aliviam sintomas e ajudam na cicatrização esofágica e são indicados em casos leves</w:t>
      </w:r>
      <w:r w:rsidR="005F5FAF">
        <w:rPr>
          <w:rFonts w:ascii="Arial" w:hAnsi="Arial" w:cs="Arial"/>
          <w:sz w:val="20"/>
          <w:szCs w:val="20"/>
        </w:rPr>
        <w:t xml:space="preserve"> a moderados</w:t>
      </w:r>
      <w:r w:rsidR="007270E2">
        <w:rPr>
          <w:rFonts w:ascii="Arial" w:hAnsi="Arial" w:cs="Arial"/>
          <w:sz w:val="20"/>
          <w:szCs w:val="20"/>
        </w:rPr>
        <w:t xml:space="preserve">. Estes medicamentos apresentam </w:t>
      </w:r>
      <w:proofErr w:type="spellStart"/>
      <w:r w:rsidR="007270E2">
        <w:rPr>
          <w:rFonts w:ascii="Arial" w:hAnsi="Arial" w:cs="Arial"/>
          <w:sz w:val="20"/>
          <w:szCs w:val="20"/>
        </w:rPr>
        <w:t>taquifilaxia</w:t>
      </w:r>
      <w:proofErr w:type="spellEnd"/>
      <w:r w:rsidR="007270E2">
        <w:rPr>
          <w:rFonts w:ascii="Arial" w:hAnsi="Arial" w:cs="Arial"/>
          <w:sz w:val="20"/>
          <w:szCs w:val="20"/>
        </w:rPr>
        <w:t xml:space="preserve"> o que pode limitar o uso.</w:t>
      </w:r>
      <w:r w:rsidR="005F5FAF">
        <w:rPr>
          <w:rFonts w:ascii="Arial" w:hAnsi="Arial" w:cs="Arial"/>
          <w:sz w:val="20"/>
          <w:szCs w:val="20"/>
        </w:rPr>
        <w:t xml:space="preserve"> O mais usado é </w:t>
      </w:r>
      <w:proofErr w:type="spellStart"/>
      <w:r w:rsidR="005F5FAF">
        <w:rPr>
          <w:rFonts w:ascii="Arial" w:hAnsi="Arial" w:cs="Arial"/>
          <w:sz w:val="20"/>
          <w:szCs w:val="20"/>
        </w:rPr>
        <w:t>raniti</w:t>
      </w:r>
      <w:r w:rsidR="009839CD">
        <w:rPr>
          <w:rFonts w:ascii="Arial" w:hAnsi="Arial" w:cs="Arial"/>
          <w:sz w:val="20"/>
          <w:szCs w:val="20"/>
        </w:rPr>
        <w:t>dina</w:t>
      </w:r>
      <w:proofErr w:type="spellEnd"/>
      <w:r w:rsidR="009839CD">
        <w:rPr>
          <w:rFonts w:ascii="Arial" w:hAnsi="Arial" w:cs="Arial"/>
          <w:sz w:val="20"/>
          <w:szCs w:val="20"/>
        </w:rPr>
        <w:t xml:space="preserve"> na dose de 5 a 10mg/kg/dia 2x ao dia, e apresentação da solução oral é 15mg/ml.</w:t>
      </w:r>
    </w:p>
    <w:p w14:paraId="7888660B" w14:textId="43C25FE3" w:rsidR="007270E2" w:rsidRDefault="007270E2" w:rsidP="005B5ACE">
      <w:pPr>
        <w:spacing w:line="276" w:lineRule="auto"/>
        <w:ind w:firstLine="720"/>
        <w:rPr>
          <w:rFonts w:ascii="Arial" w:hAnsi="Arial" w:cs="Arial"/>
          <w:sz w:val="20"/>
          <w:szCs w:val="20"/>
        </w:rPr>
      </w:pPr>
      <w:r>
        <w:rPr>
          <w:rFonts w:ascii="Arial" w:hAnsi="Arial" w:cs="Arial"/>
          <w:sz w:val="20"/>
          <w:szCs w:val="20"/>
        </w:rPr>
        <w:t>Inibidores de bomba de prótons (IBP) estão indicados nos casos de sinais de esofagite grave, muito sintomática</w:t>
      </w:r>
      <w:r w:rsidR="005F5FAF">
        <w:rPr>
          <w:rFonts w:ascii="Arial" w:hAnsi="Arial" w:cs="Arial"/>
          <w:sz w:val="20"/>
          <w:szCs w:val="20"/>
        </w:rPr>
        <w:t>. O uso prolongado de IBP pode levar a gastroenterites de repetição e pneumonias, portanto o tempo deve ser o menor possível. O IBP mais usado é o omeprazol (</w:t>
      </w:r>
      <w:r w:rsidR="00383C03">
        <w:rPr>
          <w:rFonts w:ascii="Arial" w:hAnsi="Arial" w:cs="Arial"/>
          <w:sz w:val="20"/>
          <w:szCs w:val="20"/>
        </w:rPr>
        <w:t xml:space="preserve">0,5 a </w:t>
      </w:r>
      <w:r w:rsidR="005F5FAF">
        <w:rPr>
          <w:rFonts w:ascii="Arial" w:hAnsi="Arial" w:cs="Arial"/>
          <w:sz w:val="20"/>
          <w:szCs w:val="20"/>
        </w:rPr>
        <w:t>1mg/kg/dia 1 ou 2x ao dia).</w:t>
      </w:r>
      <w:r w:rsidR="009839CD">
        <w:rPr>
          <w:rFonts w:ascii="Arial" w:hAnsi="Arial" w:cs="Arial"/>
          <w:sz w:val="20"/>
          <w:szCs w:val="20"/>
        </w:rPr>
        <w:t xml:space="preserve"> O omeprazol apresenta instabilidade ao ser diluído, portanto deve ser administrado na formulação </w:t>
      </w:r>
      <w:proofErr w:type="spellStart"/>
      <w:r w:rsidR="009839CD">
        <w:rPr>
          <w:rFonts w:ascii="Arial" w:hAnsi="Arial" w:cs="Arial"/>
          <w:sz w:val="20"/>
          <w:szCs w:val="20"/>
        </w:rPr>
        <w:t>mups</w:t>
      </w:r>
      <w:proofErr w:type="spellEnd"/>
      <w:r w:rsidR="009839CD">
        <w:rPr>
          <w:rFonts w:ascii="Arial" w:hAnsi="Arial" w:cs="Arial"/>
          <w:sz w:val="20"/>
          <w:szCs w:val="20"/>
        </w:rPr>
        <w:t xml:space="preserve"> 10mg que será diluída e oferecida no mesmo momento, o comprimido não deve ser amassado</w:t>
      </w:r>
      <w:r w:rsidR="00383C03">
        <w:rPr>
          <w:rFonts w:ascii="Arial" w:hAnsi="Arial" w:cs="Arial"/>
          <w:sz w:val="20"/>
          <w:szCs w:val="20"/>
        </w:rPr>
        <w:t>.</w:t>
      </w:r>
    </w:p>
    <w:p w14:paraId="23BFA8E3" w14:textId="77777777" w:rsidR="005F5FAF" w:rsidRDefault="005F5FAF" w:rsidP="005B5ACE">
      <w:pPr>
        <w:spacing w:line="276" w:lineRule="auto"/>
        <w:rPr>
          <w:rFonts w:ascii="Arial" w:hAnsi="Arial" w:cs="Arial"/>
          <w:sz w:val="20"/>
          <w:szCs w:val="20"/>
        </w:rPr>
      </w:pPr>
      <w:r>
        <w:rPr>
          <w:rFonts w:ascii="Arial" w:hAnsi="Arial" w:cs="Arial"/>
          <w:sz w:val="20"/>
          <w:szCs w:val="20"/>
        </w:rPr>
        <w:tab/>
        <w:t>O tratamento cirúrgico é reservado a situações especiais, como refluxo patológico grave sem resposta ao tratamento clínico, manifestações com risco de morte (apneia e aspirações), esofagite grave com desnutrição, doenças graves do SNC, estenose esofágica e grandes hérnias hiatais.</w:t>
      </w:r>
    </w:p>
    <w:p w14:paraId="0ABECDBB" w14:textId="77777777" w:rsidR="00FE30BA" w:rsidRPr="00FB54F1" w:rsidRDefault="00FE30BA" w:rsidP="005B5ACE">
      <w:pPr>
        <w:spacing w:line="276" w:lineRule="auto"/>
        <w:rPr>
          <w:rFonts w:ascii="Arial" w:hAnsi="Arial" w:cs="Arial"/>
          <w:sz w:val="20"/>
          <w:szCs w:val="20"/>
        </w:rPr>
      </w:pPr>
    </w:p>
    <w:p w14:paraId="54E73A6D" w14:textId="77777777" w:rsidR="00FE30BA" w:rsidRDefault="00FE30BA" w:rsidP="005B5ACE">
      <w:pPr>
        <w:spacing w:line="276" w:lineRule="auto"/>
        <w:rPr>
          <w:rFonts w:ascii="Arial" w:hAnsi="Arial" w:cs="Arial"/>
        </w:rPr>
      </w:pPr>
      <w:r>
        <w:rPr>
          <w:rFonts w:ascii="Arial" w:hAnsi="Arial" w:cs="Arial"/>
        </w:rPr>
        <w:t>Referências:</w:t>
      </w:r>
    </w:p>
    <w:p w14:paraId="45B949FA"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1) </w:t>
      </w:r>
      <w:proofErr w:type="spellStart"/>
      <w:r w:rsidRPr="00FB54F1">
        <w:rPr>
          <w:rFonts w:ascii="Arial" w:hAnsi="Arial" w:cs="Arial"/>
          <w:sz w:val="20"/>
          <w:szCs w:val="20"/>
        </w:rPr>
        <w:t>Jenifer</w:t>
      </w:r>
      <w:proofErr w:type="spellEnd"/>
      <w:r w:rsidRPr="00FB54F1">
        <w:rPr>
          <w:rFonts w:ascii="Arial" w:hAnsi="Arial" w:cs="Arial"/>
          <w:sz w:val="20"/>
          <w:szCs w:val="20"/>
        </w:rPr>
        <w:t xml:space="preserve"> R. </w:t>
      </w:r>
      <w:proofErr w:type="spellStart"/>
      <w:r w:rsidRPr="00FB54F1">
        <w:rPr>
          <w:rFonts w:ascii="Arial" w:hAnsi="Arial" w:cs="Arial"/>
          <w:sz w:val="20"/>
          <w:szCs w:val="20"/>
        </w:rPr>
        <w:t>Lightdale</w:t>
      </w:r>
      <w:proofErr w:type="spellEnd"/>
      <w:r w:rsidRPr="00FB54F1">
        <w:rPr>
          <w:rFonts w:ascii="Arial" w:hAnsi="Arial" w:cs="Arial"/>
          <w:sz w:val="20"/>
          <w:szCs w:val="20"/>
        </w:rPr>
        <w:t xml:space="preserve">, David A. </w:t>
      </w:r>
      <w:proofErr w:type="spellStart"/>
      <w:r w:rsidRPr="00FB54F1">
        <w:rPr>
          <w:rFonts w:ascii="Arial" w:hAnsi="Arial" w:cs="Arial"/>
          <w:sz w:val="20"/>
          <w:szCs w:val="20"/>
        </w:rPr>
        <w:t>Gastroesophageal</w:t>
      </w:r>
      <w:proofErr w:type="spellEnd"/>
      <w:r w:rsidRPr="00FB54F1">
        <w:rPr>
          <w:rFonts w:ascii="Arial" w:hAnsi="Arial" w:cs="Arial"/>
          <w:sz w:val="20"/>
          <w:szCs w:val="20"/>
        </w:rPr>
        <w:t xml:space="preserve"> </w:t>
      </w:r>
      <w:proofErr w:type="spellStart"/>
      <w:r w:rsidRPr="00FB54F1">
        <w:rPr>
          <w:rFonts w:ascii="Arial" w:hAnsi="Arial" w:cs="Arial"/>
          <w:sz w:val="20"/>
          <w:szCs w:val="20"/>
        </w:rPr>
        <w:t>Reflux</w:t>
      </w:r>
      <w:proofErr w:type="spellEnd"/>
      <w:r w:rsidRPr="00FB54F1">
        <w:rPr>
          <w:rFonts w:ascii="Arial" w:hAnsi="Arial" w:cs="Arial"/>
          <w:sz w:val="20"/>
          <w:szCs w:val="20"/>
        </w:rPr>
        <w:t xml:space="preserve">: Management </w:t>
      </w:r>
      <w:proofErr w:type="spellStart"/>
      <w:r w:rsidRPr="00FB54F1">
        <w:rPr>
          <w:rFonts w:ascii="Arial" w:hAnsi="Arial" w:cs="Arial"/>
          <w:sz w:val="20"/>
          <w:szCs w:val="20"/>
        </w:rPr>
        <w:t>Guidance</w:t>
      </w:r>
      <w:proofErr w:type="spellEnd"/>
      <w:r w:rsidRPr="00FB54F1">
        <w:rPr>
          <w:rFonts w:ascii="Arial" w:hAnsi="Arial" w:cs="Arial"/>
          <w:sz w:val="20"/>
          <w:szCs w:val="20"/>
        </w:rPr>
        <w:t xml:space="preserve"> for </w:t>
      </w:r>
      <w:proofErr w:type="spellStart"/>
      <w:r w:rsidRPr="00FB54F1">
        <w:rPr>
          <w:rFonts w:ascii="Arial" w:hAnsi="Arial" w:cs="Arial"/>
          <w:sz w:val="20"/>
          <w:szCs w:val="20"/>
        </w:rPr>
        <w:t>the</w:t>
      </w:r>
      <w:proofErr w:type="spellEnd"/>
      <w:r w:rsidRPr="00FB54F1">
        <w:rPr>
          <w:rFonts w:ascii="Arial" w:hAnsi="Arial" w:cs="Arial"/>
          <w:sz w:val="20"/>
          <w:szCs w:val="20"/>
        </w:rPr>
        <w:t xml:space="preserve"> </w:t>
      </w:r>
      <w:proofErr w:type="spellStart"/>
      <w:r w:rsidRPr="00FB54F1">
        <w:rPr>
          <w:rFonts w:ascii="Arial" w:hAnsi="Arial" w:cs="Arial"/>
          <w:sz w:val="20"/>
          <w:szCs w:val="20"/>
        </w:rPr>
        <w:t>Pediatrician</w:t>
      </w:r>
      <w:proofErr w:type="spellEnd"/>
      <w:r w:rsidRPr="00FB54F1">
        <w:rPr>
          <w:rFonts w:ascii="Arial" w:hAnsi="Arial" w:cs="Arial"/>
          <w:sz w:val="20"/>
          <w:szCs w:val="20"/>
        </w:rPr>
        <w:t xml:space="preserve">. </w:t>
      </w:r>
      <w:proofErr w:type="spellStart"/>
      <w:r w:rsidRPr="00FB54F1">
        <w:rPr>
          <w:rFonts w:ascii="Arial" w:hAnsi="Arial" w:cs="Arial"/>
          <w:sz w:val="20"/>
          <w:szCs w:val="20"/>
        </w:rPr>
        <w:t>Pediatrics</w:t>
      </w:r>
      <w:proofErr w:type="spellEnd"/>
      <w:r w:rsidRPr="00FB54F1">
        <w:rPr>
          <w:rFonts w:ascii="Arial" w:hAnsi="Arial" w:cs="Arial"/>
          <w:sz w:val="20"/>
          <w:szCs w:val="20"/>
        </w:rPr>
        <w:t>. 2013;131:1684-1695</w:t>
      </w:r>
    </w:p>
    <w:p w14:paraId="7057E89D"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2) Andrea </w:t>
      </w:r>
      <w:proofErr w:type="spellStart"/>
      <w:r w:rsidRPr="00FB54F1">
        <w:rPr>
          <w:rFonts w:ascii="Arial" w:hAnsi="Arial" w:cs="Arial"/>
          <w:sz w:val="20"/>
          <w:szCs w:val="20"/>
        </w:rPr>
        <w:t>Horvath</w:t>
      </w:r>
      <w:proofErr w:type="spellEnd"/>
      <w:r w:rsidRPr="00FB54F1">
        <w:rPr>
          <w:rFonts w:ascii="Arial" w:hAnsi="Arial" w:cs="Arial"/>
          <w:sz w:val="20"/>
          <w:szCs w:val="20"/>
        </w:rPr>
        <w:t xml:space="preserve">, MD, </w:t>
      </w:r>
      <w:proofErr w:type="spellStart"/>
      <w:r w:rsidRPr="00FB54F1">
        <w:rPr>
          <w:rFonts w:ascii="Arial" w:hAnsi="Arial" w:cs="Arial"/>
          <w:sz w:val="20"/>
          <w:szCs w:val="20"/>
        </w:rPr>
        <w:t>Piotr</w:t>
      </w:r>
      <w:proofErr w:type="spellEnd"/>
      <w:r w:rsidRPr="00FB54F1">
        <w:rPr>
          <w:rFonts w:ascii="Arial" w:hAnsi="Arial" w:cs="Arial"/>
          <w:sz w:val="20"/>
          <w:szCs w:val="20"/>
        </w:rPr>
        <w:t xml:space="preserve"> </w:t>
      </w:r>
      <w:proofErr w:type="spellStart"/>
      <w:r w:rsidRPr="00FB54F1">
        <w:rPr>
          <w:rFonts w:ascii="Arial" w:hAnsi="Arial" w:cs="Arial"/>
          <w:sz w:val="20"/>
          <w:szCs w:val="20"/>
        </w:rPr>
        <w:t>Dziechciarz</w:t>
      </w:r>
      <w:proofErr w:type="spellEnd"/>
      <w:r w:rsidRPr="00FB54F1">
        <w:rPr>
          <w:rFonts w:ascii="Arial" w:hAnsi="Arial" w:cs="Arial"/>
          <w:sz w:val="20"/>
          <w:szCs w:val="20"/>
        </w:rPr>
        <w:t xml:space="preserve">, MD, </w:t>
      </w:r>
      <w:proofErr w:type="spellStart"/>
      <w:r w:rsidRPr="00FB54F1">
        <w:rPr>
          <w:rFonts w:ascii="Arial" w:hAnsi="Arial" w:cs="Arial"/>
          <w:sz w:val="20"/>
          <w:szCs w:val="20"/>
        </w:rPr>
        <w:t>Hania</w:t>
      </w:r>
      <w:proofErr w:type="spellEnd"/>
      <w:r w:rsidRPr="00FB54F1">
        <w:rPr>
          <w:rFonts w:ascii="Arial" w:hAnsi="Arial" w:cs="Arial"/>
          <w:sz w:val="20"/>
          <w:szCs w:val="20"/>
        </w:rPr>
        <w:t xml:space="preserve"> </w:t>
      </w:r>
      <w:proofErr w:type="spellStart"/>
      <w:r w:rsidRPr="00FB54F1">
        <w:rPr>
          <w:rFonts w:ascii="Arial" w:hAnsi="Arial" w:cs="Arial"/>
          <w:sz w:val="20"/>
          <w:szCs w:val="20"/>
        </w:rPr>
        <w:t>Szajewska</w:t>
      </w:r>
      <w:proofErr w:type="spellEnd"/>
      <w:r w:rsidRPr="00FB54F1">
        <w:rPr>
          <w:rFonts w:ascii="Arial" w:hAnsi="Arial" w:cs="Arial"/>
          <w:sz w:val="20"/>
          <w:szCs w:val="20"/>
        </w:rPr>
        <w:t xml:space="preserve">, MD. The </w:t>
      </w:r>
      <w:proofErr w:type="spellStart"/>
      <w:r w:rsidRPr="00FB54F1">
        <w:rPr>
          <w:rFonts w:ascii="Arial" w:hAnsi="Arial" w:cs="Arial"/>
          <w:sz w:val="20"/>
          <w:szCs w:val="20"/>
        </w:rPr>
        <w:t>Effect</w:t>
      </w:r>
      <w:proofErr w:type="spellEnd"/>
      <w:r w:rsidRPr="00FB54F1">
        <w:rPr>
          <w:rFonts w:ascii="Arial" w:hAnsi="Arial" w:cs="Arial"/>
          <w:sz w:val="20"/>
          <w:szCs w:val="20"/>
        </w:rPr>
        <w:t xml:space="preserve"> </w:t>
      </w:r>
      <w:proofErr w:type="spellStart"/>
      <w:r w:rsidRPr="00FB54F1">
        <w:rPr>
          <w:rFonts w:ascii="Arial" w:hAnsi="Arial" w:cs="Arial"/>
          <w:sz w:val="20"/>
          <w:szCs w:val="20"/>
        </w:rPr>
        <w:t>of</w:t>
      </w:r>
      <w:proofErr w:type="spellEnd"/>
      <w:r w:rsidRPr="00FB54F1">
        <w:rPr>
          <w:rFonts w:ascii="Arial" w:hAnsi="Arial" w:cs="Arial"/>
          <w:sz w:val="20"/>
          <w:szCs w:val="20"/>
        </w:rPr>
        <w:t xml:space="preserve"> </w:t>
      </w:r>
      <w:proofErr w:type="spellStart"/>
      <w:r w:rsidRPr="00FB54F1">
        <w:rPr>
          <w:rFonts w:ascii="Arial" w:hAnsi="Arial" w:cs="Arial"/>
          <w:sz w:val="20"/>
          <w:szCs w:val="20"/>
        </w:rPr>
        <w:t>Thickened</w:t>
      </w:r>
      <w:proofErr w:type="spellEnd"/>
      <w:r w:rsidRPr="00FB54F1">
        <w:rPr>
          <w:rFonts w:ascii="Arial" w:hAnsi="Arial" w:cs="Arial"/>
          <w:sz w:val="20"/>
          <w:szCs w:val="20"/>
        </w:rPr>
        <w:t xml:space="preserve">-Feed </w:t>
      </w:r>
      <w:proofErr w:type="spellStart"/>
      <w:r w:rsidRPr="00FB54F1">
        <w:rPr>
          <w:rFonts w:ascii="Arial" w:hAnsi="Arial" w:cs="Arial"/>
          <w:sz w:val="20"/>
          <w:szCs w:val="20"/>
        </w:rPr>
        <w:t>Interventions</w:t>
      </w:r>
      <w:proofErr w:type="spellEnd"/>
      <w:r w:rsidRPr="00FB54F1">
        <w:rPr>
          <w:rFonts w:ascii="Arial" w:hAnsi="Arial" w:cs="Arial"/>
          <w:sz w:val="20"/>
          <w:szCs w:val="20"/>
        </w:rPr>
        <w:t xml:space="preserve"> </w:t>
      </w:r>
      <w:proofErr w:type="spellStart"/>
      <w:r w:rsidRPr="00FB54F1">
        <w:rPr>
          <w:rFonts w:ascii="Arial" w:hAnsi="Arial" w:cs="Arial"/>
          <w:sz w:val="20"/>
          <w:szCs w:val="20"/>
        </w:rPr>
        <w:t>on</w:t>
      </w:r>
      <w:proofErr w:type="spellEnd"/>
      <w:r w:rsidRPr="00FB54F1">
        <w:rPr>
          <w:rFonts w:ascii="Arial" w:hAnsi="Arial" w:cs="Arial"/>
          <w:sz w:val="20"/>
          <w:szCs w:val="20"/>
        </w:rPr>
        <w:t xml:space="preserve"> </w:t>
      </w:r>
      <w:proofErr w:type="spellStart"/>
      <w:r w:rsidRPr="00FB54F1">
        <w:rPr>
          <w:rFonts w:ascii="Arial" w:hAnsi="Arial" w:cs="Arial"/>
          <w:sz w:val="20"/>
          <w:szCs w:val="20"/>
        </w:rPr>
        <w:t>Gastroesophageal</w:t>
      </w:r>
      <w:proofErr w:type="spellEnd"/>
      <w:r w:rsidRPr="00FB54F1">
        <w:rPr>
          <w:rFonts w:ascii="Arial" w:hAnsi="Arial" w:cs="Arial"/>
          <w:sz w:val="20"/>
          <w:szCs w:val="20"/>
        </w:rPr>
        <w:t xml:space="preserve"> </w:t>
      </w:r>
      <w:proofErr w:type="spellStart"/>
      <w:r w:rsidRPr="00FB54F1">
        <w:rPr>
          <w:rFonts w:ascii="Arial" w:hAnsi="Arial" w:cs="Arial"/>
          <w:sz w:val="20"/>
          <w:szCs w:val="20"/>
        </w:rPr>
        <w:t>Reflux</w:t>
      </w:r>
      <w:proofErr w:type="spellEnd"/>
      <w:r w:rsidRPr="00FB54F1">
        <w:rPr>
          <w:rFonts w:ascii="Arial" w:hAnsi="Arial" w:cs="Arial"/>
          <w:sz w:val="20"/>
          <w:szCs w:val="20"/>
        </w:rPr>
        <w:t xml:space="preserve"> in </w:t>
      </w:r>
      <w:proofErr w:type="spellStart"/>
      <w:r w:rsidRPr="00FB54F1">
        <w:rPr>
          <w:rFonts w:ascii="Arial" w:hAnsi="Arial" w:cs="Arial"/>
          <w:sz w:val="20"/>
          <w:szCs w:val="20"/>
        </w:rPr>
        <w:t>Infants</w:t>
      </w:r>
      <w:proofErr w:type="spellEnd"/>
      <w:r w:rsidRPr="00FB54F1">
        <w:rPr>
          <w:rFonts w:ascii="Arial" w:hAnsi="Arial" w:cs="Arial"/>
          <w:sz w:val="20"/>
          <w:szCs w:val="20"/>
        </w:rPr>
        <w:t xml:space="preserve">: </w:t>
      </w:r>
      <w:proofErr w:type="spellStart"/>
      <w:r w:rsidRPr="00FB54F1">
        <w:rPr>
          <w:rFonts w:ascii="Arial" w:hAnsi="Arial" w:cs="Arial"/>
          <w:sz w:val="20"/>
          <w:szCs w:val="20"/>
        </w:rPr>
        <w:t>Systematic</w:t>
      </w:r>
      <w:proofErr w:type="spellEnd"/>
      <w:r w:rsidRPr="00FB54F1">
        <w:rPr>
          <w:rFonts w:ascii="Arial" w:hAnsi="Arial" w:cs="Arial"/>
          <w:sz w:val="20"/>
          <w:szCs w:val="20"/>
        </w:rPr>
        <w:t xml:space="preserve"> Review </w:t>
      </w:r>
      <w:proofErr w:type="spellStart"/>
      <w:r w:rsidRPr="00FB54F1">
        <w:rPr>
          <w:rFonts w:ascii="Arial" w:hAnsi="Arial" w:cs="Arial"/>
          <w:sz w:val="20"/>
          <w:szCs w:val="20"/>
        </w:rPr>
        <w:t>and</w:t>
      </w:r>
      <w:proofErr w:type="spellEnd"/>
      <w:r w:rsidRPr="00FB54F1">
        <w:rPr>
          <w:rFonts w:ascii="Arial" w:hAnsi="Arial" w:cs="Arial"/>
          <w:sz w:val="20"/>
          <w:szCs w:val="20"/>
        </w:rPr>
        <w:t xml:space="preserve"> Meta-</w:t>
      </w:r>
      <w:proofErr w:type="spellStart"/>
      <w:r w:rsidRPr="00FB54F1">
        <w:rPr>
          <w:rFonts w:ascii="Arial" w:hAnsi="Arial" w:cs="Arial"/>
          <w:sz w:val="20"/>
          <w:szCs w:val="20"/>
        </w:rPr>
        <w:t>analysis</w:t>
      </w:r>
      <w:proofErr w:type="spellEnd"/>
      <w:r w:rsidRPr="00FB54F1">
        <w:rPr>
          <w:rFonts w:ascii="Arial" w:hAnsi="Arial" w:cs="Arial"/>
          <w:sz w:val="20"/>
          <w:szCs w:val="20"/>
        </w:rPr>
        <w:t xml:space="preserve"> </w:t>
      </w:r>
      <w:proofErr w:type="spellStart"/>
      <w:r w:rsidRPr="00FB54F1">
        <w:rPr>
          <w:rFonts w:ascii="Arial" w:hAnsi="Arial" w:cs="Arial"/>
          <w:sz w:val="20"/>
          <w:szCs w:val="20"/>
        </w:rPr>
        <w:t>of</w:t>
      </w:r>
      <w:proofErr w:type="spellEnd"/>
      <w:r w:rsidRPr="00FB54F1">
        <w:rPr>
          <w:rFonts w:ascii="Arial" w:hAnsi="Arial" w:cs="Arial"/>
          <w:sz w:val="20"/>
          <w:szCs w:val="20"/>
        </w:rPr>
        <w:t xml:space="preserve"> </w:t>
      </w:r>
      <w:proofErr w:type="spellStart"/>
      <w:r w:rsidRPr="00FB54F1">
        <w:rPr>
          <w:rFonts w:ascii="Arial" w:hAnsi="Arial" w:cs="Arial"/>
          <w:sz w:val="20"/>
          <w:szCs w:val="20"/>
        </w:rPr>
        <w:t>Randomized</w:t>
      </w:r>
      <w:proofErr w:type="spellEnd"/>
      <w:r w:rsidRPr="00FB54F1">
        <w:rPr>
          <w:rFonts w:ascii="Arial" w:hAnsi="Arial" w:cs="Arial"/>
          <w:sz w:val="20"/>
          <w:szCs w:val="20"/>
        </w:rPr>
        <w:t xml:space="preserve">, </w:t>
      </w:r>
      <w:proofErr w:type="spellStart"/>
      <w:r w:rsidRPr="00FB54F1">
        <w:rPr>
          <w:rFonts w:ascii="Arial" w:hAnsi="Arial" w:cs="Arial"/>
          <w:sz w:val="20"/>
          <w:szCs w:val="20"/>
        </w:rPr>
        <w:t>Controlled</w:t>
      </w:r>
      <w:proofErr w:type="spellEnd"/>
      <w:r w:rsidRPr="00FB54F1">
        <w:rPr>
          <w:rFonts w:ascii="Arial" w:hAnsi="Arial" w:cs="Arial"/>
          <w:sz w:val="20"/>
          <w:szCs w:val="20"/>
        </w:rPr>
        <w:t xml:space="preserve"> </w:t>
      </w:r>
      <w:proofErr w:type="spellStart"/>
      <w:r w:rsidRPr="00FB54F1">
        <w:rPr>
          <w:rFonts w:ascii="Arial" w:hAnsi="Arial" w:cs="Arial"/>
          <w:sz w:val="20"/>
          <w:szCs w:val="20"/>
        </w:rPr>
        <w:t>Trials</w:t>
      </w:r>
      <w:proofErr w:type="spellEnd"/>
      <w:r w:rsidRPr="00FB54F1">
        <w:rPr>
          <w:rFonts w:ascii="Arial" w:hAnsi="Arial" w:cs="Arial"/>
          <w:sz w:val="20"/>
          <w:szCs w:val="20"/>
        </w:rPr>
        <w:t xml:space="preserve">. </w:t>
      </w:r>
      <w:proofErr w:type="spellStart"/>
      <w:r w:rsidRPr="00FB54F1">
        <w:rPr>
          <w:rFonts w:ascii="Arial" w:hAnsi="Arial" w:cs="Arial"/>
          <w:sz w:val="20"/>
          <w:szCs w:val="20"/>
        </w:rPr>
        <w:t>Pediatrics</w:t>
      </w:r>
      <w:proofErr w:type="spellEnd"/>
      <w:r w:rsidRPr="00FB54F1">
        <w:rPr>
          <w:rFonts w:ascii="Arial" w:hAnsi="Arial" w:cs="Arial"/>
          <w:sz w:val="20"/>
          <w:szCs w:val="20"/>
        </w:rPr>
        <w:t xml:space="preserve"> </w:t>
      </w:r>
      <w:proofErr w:type="spellStart"/>
      <w:r w:rsidRPr="00FB54F1">
        <w:rPr>
          <w:rFonts w:ascii="Arial" w:hAnsi="Arial" w:cs="Arial"/>
          <w:sz w:val="20"/>
          <w:szCs w:val="20"/>
        </w:rPr>
        <w:t>December</w:t>
      </w:r>
      <w:proofErr w:type="spellEnd"/>
      <w:r w:rsidRPr="00FB54F1">
        <w:rPr>
          <w:rFonts w:ascii="Arial" w:hAnsi="Arial" w:cs="Arial"/>
          <w:sz w:val="20"/>
          <w:szCs w:val="20"/>
        </w:rPr>
        <w:t xml:space="preserve"> 2008; 122:6 e1268-e1277</w:t>
      </w:r>
    </w:p>
    <w:p w14:paraId="7783C558"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3) Carroll AE, </w:t>
      </w:r>
      <w:proofErr w:type="spellStart"/>
      <w:r w:rsidRPr="00FB54F1">
        <w:rPr>
          <w:rFonts w:ascii="Arial" w:hAnsi="Arial" w:cs="Arial"/>
          <w:sz w:val="20"/>
          <w:szCs w:val="20"/>
        </w:rPr>
        <w:t>Garrison</w:t>
      </w:r>
      <w:proofErr w:type="spellEnd"/>
      <w:r w:rsidRPr="00FB54F1">
        <w:rPr>
          <w:rFonts w:ascii="Arial" w:hAnsi="Arial" w:cs="Arial"/>
          <w:sz w:val="20"/>
          <w:szCs w:val="20"/>
        </w:rPr>
        <w:t xml:space="preserve"> MM, </w:t>
      </w:r>
      <w:proofErr w:type="spellStart"/>
      <w:r w:rsidRPr="00FB54F1">
        <w:rPr>
          <w:rFonts w:ascii="Arial" w:hAnsi="Arial" w:cs="Arial"/>
          <w:sz w:val="20"/>
          <w:szCs w:val="20"/>
        </w:rPr>
        <w:t>Christakis</w:t>
      </w:r>
      <w:proofErr w:type="spellEnd"/>
      <w:r w:rsidRPr="00FB54F1">
        <w:rPr>
          <w:rFonts w:ascii="Arial" w:hAnsi="Arial" w:cs="Arial"/>
          <w:sz w:val="20"/>
          <w:szCs w:val="20"/>
        </w:rPr>
        <w:t xml:space="preserve"> DA. A </w:t>
      </w:r>
      <w:proofErr w:type="spellStart"/>
      <w:r w:rsidRPr="00FB54F1">
        <w:rPr>
          <w:rFonts w:ascii="Arial" w:hAnsi="Arial" w:cs="Arial"/>
          <w:sz w:val="20"/>
          <w:szCs w:val="20"/>
        </w:rPr>
        <w:t>systematic</w:t>
      </w:r>
      <w:proofErr w:type="spellEnd"/>
      <w:r w:rsidRPr="00FB54F1">
        <w:rPr>
          <w:rFonts w:ascii="Arial" w:hAnsi="Arial" w:cs="Arial"/>
          <w:sz w:val="20"/>
          <w:szCs w:val="20"/>
        </w:rPr>
        <w:t xml:space="preserve"> review </w:t>
      </w:r>
      <w:proofErr w:type="spellStart"/>
      <w:r w:rsidRPr="00FB54F1">
        <w:rPr>
          <w:rFonts w:ascii="Arial" w:hAnsi="Arial" w:cs="Arial"/>
          <w:sz w:val="20"/>
          <w:szCs w:val="20"/>
        </w:rPr>
        <w:t>of</w:t>
      </w:r>
      <w:proofErr w:type="spellEnd"/>
      <w:r w:rsidRPr="00FB54F1">
        <w:rPr>
          <w:rFonts w:ascii="Arial" w:hAnsi="Arial" w:cs="Arial"/>
          <w:sz w:val="20"/>
          <w:szCs w:val="20"/>
        </w:rPr>
        <w:t xml:space="preserve"> </w:t>
      </w:r>
      <w:proofErr w:type="spellStart"/>
      <w:r w:rsidRPr="00FB54F1">
        <w:rPr>
          <w:rFonts w:ascii="Arial" w:hAnsi="Arial" w:cs="Arial"/>
          <w:sz w:val="20"/>
          <w:szCs w:val="20"/>
        </w:rPr>
        <w:t>nonpharmacological</w:t>
      </w:r>
      <w:proofErr w:type="spellEnd"/>
      <w:r w:rsidRPr="00FB54F1">
        <w:rPr>
          <w:rFonts w:ascii="Arial" w:hAnsi="Arial" w:cs="Arial"/>
          <w:sz w:val="20"/>
          <w:szCs w:val="20"/>
        </w:rPr>
        <w:t xml:space="preserve"> </w:t>
      </w:r>
      <w:proofErr w:type="spellStart"/>
      <w:r w:rsidRPr="00FB54F1">
        <w:rPr>
          <w:rFonts w:ascii="Arial" w:hAnsi="Arial" w:cs="Arial"/>
          <w:sz w:val="20"/>
          <w:szCs w:val="20"/>
        </w:rPr>
        <w:t>and</w:t>
      </w:r>
      <w:proofErr w:type="spellEnd"/>
      <w:r w:rsidRPr="00FB54F1">
        <w:rPr>
          <w:rFonts w:ascii="Arial" w:hAnsi="Arial" w:cs="Arial"/>
          <w:sz w:val="20"/>
          <w:szCs w:val="20"/>
        </w:rPr>
        <w:t xml:space="preserve"> </w:t>
      </w:r>
      <w:proofErr w:type="spellStart"/>
      <w:r w:rsidRPr="00FB54F1">
        <w:rPr>
          <w:rFonts w:ascii="Arial" w:hAnsi="Arial" w:cs="Arial"/>
          <w:sz w:val="20"/>
          <w:szCs w:val="20"/>
        </w:rPr>
        <w:t>nonsurgical</w:t>
      </w:r>
      <w:proofErr w:type="spellEnd"/>
      <w:r w:rsidRPr="00FB54F1">
        <w:rPr>
          <w:rFonts w:ascii="Arial" w:hAnsi="Arial" w:cs="Arial"/>
          <w:sz w:val="20"/>
          <w:szCs w:val="20"/>
        </w:rPr>
        <w:t xml:space="preserve"> </w:t>
      </w:r>
      <w:proofErr w:type="spellStart"/>
      <w:r w:rsidRPr="00FB54F1">
        <w:rPr>
          <w:rFonts w:ascii="Arial" w:hAnsi="Arial" w:cs="Arial"/>
          <w:sz w:val="20"/>
          <w:szCs w:val="20"/>
        </w:rPr>
        <w:t>therapies</w:t>
      </w:r>
      <w:proofErr w:type="spellEnd"/>
      <w:r w:rsidRPr="00FB54F1">
        <w:rPr>
          <w:rFonts w:ascii="Arial" w:hAnsi="Arial" w:cs="Arial"/>
          <w:sz w:val="20"/>
          <w:szCs w:val="20"/>
        </w:rPr>
        <w:t xml:space="preserve"> for </w:t>
      </w:r>
      <w:proofErr w:type="spellStart"/>
      <w:r w:rsidRPr="00FB54F1">
        <w:rPr>
          <w:rFonts w:ascii="Arial" w:hAnsi="Arial" w:cs="Arial"/>
          <w:sz w:val="20"/>
          <w:szCs w:val="20"/>
        </w:rPr>
        <w:t>gastroesophageal</w:t>
      </w:r>
      <w:proofErr w:type="spellEnd"/>
      <w:r w:rsidRPr="00FB54F1">
        <w:rPr>
          <w:rFonts w:ascii="Arial" w:hAnsi="Arial" w:cs="Arial"/>
          <w:sz w:val="20"/>
          <w:szCs w:val="20"/>
        </w:rPr>
        <w:t xml:space="preserve"> </w:t>
      </w:r>
      <w:proofErr w:type="spellStart"/>
      <w:r w:rsidRPr="00FB54F1">
        <w:rPr>
          <w:rFonts w:ascii="Arial" w:hAnsi="Arial" w:cs="Arial"/>
          <w:sz w:val="20"/>
          <w:szCs w:val="20"/>
        </w:rPr>
        <w:t>reflux</w:t>
      </w:r>
      <w:proofErr w:type="spellEnd"/>
      <w:r w:rsidRPr="00FB54F1">
        <w:rPr>
          <w:rFonts w:ascii="Arial" w:hAnsi="Arial" w:cs="Arial"/>
          <w:sz w:val="20"/>
          <w:szCs w:val="20"/>
        </w:rPr>
        <w:t xml:space="preserve"> in </w:t>
      </w:r>
      <w:proofErr w:type="spellStart"/>
      <w:r w:rsidRPr="00FB54F1">
        <w:rPr>
          <w:rFonts w:ascii="Arial" w:hAnsi="Arial" w:cs="Arial"/>
          <w:sz w:val="20"/>
          <w:szCs w:val="20"/>
        </w:rPr>
        <w:t>infants</w:t>
      </w:r>
      <w:proofErr w:type="spellEnd"/>
      <w:r w:rsidRPr="00FB54F1">
        <w:rPr>
          <w:rFonts w:ascii="Arial" w:hAnsi="Arial" w:cs="Arial"/>
          <w:sz w:val="20"/>
          <w:szCs w:val="20"/>
        </w:rPr>
        <w:t xml:space="preserve">. </w:t>
      </w:r>
      <w:proofErr w:type="spellStart"/>
      <w:r w:rsidRPr="00FB54F1">
        <w:rPr>
          <w:rFonts w:ascii="Arial" w:hAnsi="Arial" w:cs="Arial"/>
          <w:sz w:val="20"/>
          <w:szCs w:val="20"/>
        </w:rPr>
        <w:t>Arch</w:t>
      </w:r>
      <w:proofErr w:type="spellEnd"/>
      <w:r w:rsidRPr="00FB54F1">
        <w:rPr>
          <w:rFonts w:ascii="Arial" w:hAnsi="Arial" w:cs="Arial"/>
          <w:sz w:val="20"/>
          <w:szCs w:val="20"/>
        </w:rPr>
        <w:t xml:space="preserve"> </w:t>
      </w:r>
      <w:proofErr w:type="spellStart"/>
      <w:r w:rsidRPr="00FB54F1">
        <w:rPr>
          <w:rFonts w:ascii="Arial" w:hAnsi="Arial" w:cs="Arial"/>
          <w:sz w:val="20"/>
          <w:szCs w:val="20"/>
        </w:rPr>
        <w:t>Pediatr</w:t>
      </w:r>
      <w:proofErr w:type="spellEnd"/>
      <w:r w:rsidRPr="00FB54F1">
        <w:rPr>
          <w:rFonts w:ascii="Arial" w:hAnsi="Arial" w:cs="Arial"/>
          <w:sz w:val="20"/>
          <w:szCs w:val="20"/>
        </w:rPr>
        <w:t xml:space="preserve"> </w:t>
      </w:r>
      <w:proofErr w:type="spellStart"/>
      <w:r w:rsidRPr="00FB54F1">
        <w:rPr>
          <w:rFonts w:ascii="Arial" w:hAnsi="Arial" w:cs="Arial"/>
          <w:sz w:val="20"/>
          <w:szCs w:val="20"/>
        </w:rPr>
        <w:t>Adolesc</w:t>
      </w:r>
      <w:proofErr w:type="spellEnd"/>
      <w:r w:rsidRPr="00FB54F1">
        <w:rPr>
          <w:rFonts w:ascii="Arial" w:hAnsi="Arial" w:cs="Arial"/>
          <w:sz w:val="20"/>
          <w:szCs w:val="20"/>
        </w:rPr>
        <w:t xml:space="preserve"> Med. 2002 Feb;156(2):109-13.</w:t>
      </w:r>
    </w:p>
    <w:p w14:paraId="1536B9FB"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4) </w:t>
      </w:r>
      <w:proofErr w:type="spellStart"/>
      <w:r w:rsidRPr="00FB54F1">
        <w:rPr>
          <w:rFonts w:ascii="Arial" w:hAnsi="Arial" w:cs="Arial"/>
          <w:sz w:val="20"/>
          <w:szCs w:val="20"/>
        </w:rPr>
        <w:t>Rocksane</w:t>
      </w:r>
      <w:proofErr w:type="spellEnd"/>
      <w:r w:rsidRPr="00FB54F1">
        <w:rPr>
          <w:rFonts w:ascii="Arial" w:hAnsi="Arial" w:cs="Arial"/>
          <w:sz w:val="20"/>
          <w:szCs w:val="20"/>
        </w:rPr>
        <w:t xml:space="preserve"> C. Norton, Francisco J. Penna. </w:t>
      </w:r>
      <w:proofErr w:type="spellStart"/>
      <w:r w:rsidRPr="00FB54F1">
        <w:rPr>
          <w:rFonts w:ascii="Arial" w:hAnsi="Arial" w:cs="Arial"/>
          <w:sz w:val="20"/>
          <w:szCs w:val="20"/>
        </w:rPr>
        <w:t>Gastroesophageal</w:t>
      </w:r>
      <w:proofErr w:type="spellEnd"/>
      <w:r w:rsidRPr="00FB54F1">
        <w:rPr>
          <w:rFonts w:ascii="Arial" w:hAnsi="Arial" w:cs="Arial"/>
          <w:sz w:val="20"/>
          <w:szCs w:val="20"/>
        </w:rPr>
        <w:t xml:space="preserve"> </w:t>
      </w:r>
      <w:proofErr w:type="spellStart"/>
      <w:r w:rsidRPr="00FB54F1">
        <w:rPr>
          <w:rFonts w:ascii="Arial" w:hAnsi="Arial" w:cs="Arial"/>
          <w:sz w:val="20"/>
          <w:szCs w:val="20"/>
        </w:rPr>
        <w:t>reflux</w:t>
      </w:r>
      <w:proofErr w:type="spellEnd"/>
      <w:r w:rsidRPr="00FB54F1">
        <w:rPr>
          <w:rFonts w:ascii="Arial" w:hAnsi="Arial" w:cs="Arial"/>
          <w:sz w:val="20"/>
          <w:szCs w:val="20"/>
        </w:rPr>
        <w:t xml:space="preserve">. J. </w:t>
      </w:r>
      <w:proofErr w:type="spellStart"/>
      <w:r w:rsidRPr="00FB54F1">
        <w:rPr>
          <w:rFonts w:ascii="Arial" w:hAnsi="Arial" w:cs="Arial"/>
          <w:sz w:val="20"/>
          <w:szCs w:val="20"/>
        </w:rPr>
        <w:t>pediatr</w:t>
      </w:r>
      <w:proofErr w:type="spellEnd"/>
      <w:r w:rsidRPr="00FB54F1">
        <w:rPr>
          <w:rFonts w:ascii="Arial" w:hAnsi="Arial" w:cs="Arial"/>
          <w:sz w:val="20"/>
          <w:szCs w:val="20"/>
        </w:rPr>
        <w:t xml:space="preserve">. (Rio J.). 2000; 76 (Supl.2): S218-S224 </w:t>
      </w:r>
    </w:p>
    <w:p w14:paraId="6F899325"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5) Aldo J. F. Costa, </w:t>
      </w:r>
      <w:proofErr w:type="spellStart"/>
      <w:r w:rsidRPr="00FB54F1">
        <w:rPr>
          <w:rFonts w:ascii="Arial" w:hAnsi="Arial" w:cs="Arial"/>
          <w:sz w:val="20"/>
          <w:szCs w:val="20"/>
        </w:rPr>
        <w:t>Giselia</w:t>
      </w:r>
      <w:proofErr w:type="spellEnd"/>
      <w:r w:rsidRPr="00FB54F1">
        <w:rPr>
          <w:rFonts w:ascii="Arial" w:hAnsi="Arial" w:cs="Arial"/>
          <w:sz w:val="20"/>
          <w:szCs w:val="20"/>
        </w:rPr>
        <w:t xml:space="preserve"> A. P. Silva, Pedro A. C. Gouveia,  Ernani M. Pereira Filho. </w:t>
      </w:r>
      <w:proofErr w:type="spellStart"/>
      <w:r w:rsidRPr="00FB54F1">
        <w:rPr>
          <w:rFonts w:ascii="Arial" w:hAnsi="Arial" w:cs="Arial"/>
          <w:sz w:val="20"/>
          <w:szCs w:val="20"/>
        </w:rPr>
        <w:t>Prevalence</w:t>
      </w:r>
      <w:proofErr w:type="spellEnd"/>
      <w:r w:rsidRPr="00FB54F1">
        <w:rPr>
          <w:rFonts w:ascii="Arial" w:hAnsi="Arial" w:cs="Arial"/>
          <w:sz w:val="20"/>
          <w:szCs w:val="20"/>
        </w:rPr>
        <w:t xml:space="preserve"> </w:t>
      </w:r>
      <w:proofErr w:type="spellStart"/>
      <w:r w:rsidRPr="00FB54F1">
        <w:rPr>
          <w:rFonts w:ascii="Arial" w:hAnsi="Arial" w:cs="Arial"/>
          <w:sz w:val="20"/>
          <w:szCs w:val="20"/>
        </w:rPr>
        <w:t>of</w:t>
      </w:r>
      <w:proofErr w:type="spellEnd"/>
      <w:r w:rsidRPr="00FB54F1">
        <w:rPr>
          <w:rFonts w:ascii="Arial" w:hAnsi="Arial" w:cs="Arial"/>
          <w:sz w:val="20"/>
          <w:szCs w:val="20"/>
        </w:rPr>
        <w:t xml:space="preserve"> </w:t>
      </w:r>
      <w:proofErr w:type="spellStart"/>
      <w:r w:rsidRPr="00FB54F1">
        <w:rPr>
          <w:rFonts w:ascii="Arial" w:hAnsi="Arial" w:cs="Arial"/>
          <w:sz w:val="20"/>
          <w:szCs w:val="20"/>
        </w:rPr>
        <w:t>pathologic</w:t>
      </w:r>
      <w:proofErr w:type="spellEnd"/>
      <w:r w:rsidRPr="00FB54F1">
        <w:rPr>
          <w:rFonts w:ascii="Arial" w:hAnsi="Arial" w:cs="Arial"/>
          <w:sz w:val="20"/>
          <w:szCs w:val="20"/>
        </w:rPr>
        <w:t xml:space="preserve"> </w:t>
      </w:r>
      <w:proofErr w:type="spellStart"/>
      <w:r w:rsidRPr="00FB54F1">
        <w:rPr>
          <w:rFonts w:ascii="Arial" w:hAnsi="Arial" w:cs="Arial"/>
          <w:sz w:val="20"/>
          <w:szCs w:val="20"/>
        </w:rPr>
        <w:t>gastroesophageal</w:t>
      </w:r>
      <w:proofErr w:type="spellEnd"/>
      <w:r w:rsidRPr="00FB54F1">
        <w:rPr>
          <w:rFonts w:ascii="Arial" w:hAnsi="Arial" w:cs="Arial"/>
          <w:sz w:val="20"/>
          <w:szCs w:val="20"/>
        </w:rPr>
        <w:t xml:space="preserve"> </w:t>
      </w:r>
      <w:proofErr w:type="spellStart"/>
      <w:r w:rsidRPr="00FB54F1">
        <w:rPr>
          <w:rFonts w:ascii="Arial" w:hAnsi="Arial" w:cs="Arial"/>
          <w:sz w:val="20"/>
          <w:szCs w:val="20"/>
        </w:rPr>
        <w:t>reflux</w:t>
      </w:r>
      <w:proofErr w:type="spellEnd"/>
      <w:r w:rsidRPr="00FB54F1">
        <w:rPr>
          <w:rFonts w:ascii="Arial" w:hAnsi="Arial" w:cs="Arial"/>
          <w:sz w:val="20"/>
          <w:szCs w:val="20"/>
        </w:rPr>
        <w:t xml:space="preserve"> in </w:t>
      </w:r>
      <w:proofErr w:type="spellStart"/>
      <w:r w:rsidRPr="00FB54F1">
        <w:rPr>
          <w:rFonts w:ascii="Arial" w:hAnsi="Arial" w:cs="Arial"/>
          <w:sz w:val="20"/>
          <w:szCs w:val="20"/>
        </w:rPr>
        <w:t>regurgitant</w:t>
      </w:r>
      <w:proofErr w:type="spellEnd"/>
      <w:r w:rsidRPr="00FB54F1">
        <w:rPr>
          <w:rFonts w:ascii="Arial" w:hAnsi="Arial" w:cs="Arial"/>
          <w:sz w:val="20"/>
          <w:szCs w:val="20"/>
        </w:rPr>
        <w:t xml:space="preserve"> </w:t>
      </w:r>
      <w:proofErr w:type="spellStart"/>
      <w:r w:rsidRPr="00FB54F1">
        <w:rPr>
          <w:rFonts w:ascii="Arial" w:hAnsi="Arial" w:cs="Arial"/>
          <w:sz w:val="20"/>
          <w:szCs w:val="20"/>
        </w:rPr>
        <w:t>infants</w:t>
      </w:r>
      <w:proofErr w:type="spellEnd"/>
      <w:r w:rsidRPr="00FB54F1">
        <w:rPr>
          <w:rFonts w:ascii="Arial" w:hAnsi="Arial" w:cs="Arial"/>
          <w:sz w:val="20"/>
          <w:szCs w:val="20"/>
        </w:rPr>
        <w:t xml:space="preserve">. J </w:t>
      </w:r>
      <w:proofErr w:type="spellStart"/>
      <w:r w:rsidRPr="00FB54F1">
        <w:rPr>
          <w:rFonts w:ascii="Arial" w:hAnsi="Arial" w:cs="Arial"/>
          <w:sz w:val="20"/>
          <w:szCs w:val="20"/>
        </w:rPr>
        <w:t>Pediatr</w:t>
      </w:r>
      <w:proofErr w:type="spellEnd"/>
      <w:r w:rsidRPr="00FB54F1">
        <w:rPr>
          <w:rFonts w:ascii="Arial" w:hAnsi="Arial" w:cs="Arial"/>
          <w:sz w:val="20"/>
          <w:szCs w:val="20"/>
        </w:rPr>
        <w:t xml:space="preserve"> (Rio J). 2004;80(4):291-5 </w:t>
      </w:r>
    </w:p>
    <w:p w14:paraId="0BDEDECB" w14:textId="77777777" w:rsidR="00FB54F1"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6) </w:t>
      </w:r>
      <w:proofErr w:type="spellStart"/>
      <w:r w:rsidRPr="00FB54F1">
        <w:rPr>
          <w:rFonts w:ascii="Arial" w:hAnsi="Arial" w:cs="Arial"/>
          <w:sz w:val="20"/>
          <w:szCs w:val="20"/>
        </w:rPr>
        <w:t>Wenzl</w:t>
      </w:r>
      <w:proofErr w:type="spellEnd"/>
      <w:r w:rsidRPr="00FB54F1">
        <w:rPr>
          <w:rFonts w:ascii="Arial" w:hAnsi="Arial" w:cs="Arial"/>
          <w:sz w:val="20"/>
          <w:szCs w:val="20"/>
        </w:rPr>
        <w:t xml:space="preserve"> TG, </w:t>
      </w:r>
      <w:proofErr w:type="spellStart"/>
      <w:r w:rsidRPr="00FB54F1">
        <w:rPr>
          <w:rFonts w:ascii="Arial" w:hAnsi="Arial" w:cs="Arial"/>
          <w:sz w:val="20"/>
          <w:szCs w:val="20"/>
        </w:rPr>
        <w:t>Schenke</w:t>
      </w:r>
      <w:proofErr w:type="spellEnd"/>
      <w:r w:rsidRPr="00FB54F1">
        <w:rPr>
          <w:rFonts w:ascii="Arial" w:hAnsi="Arial" w:cs="Arial"/>
          <w:sz w:val="20"/>
          <w:szCs w:val="20"/>
        </w:rPr>
        <w:t xml:space="preserve"> S, </w:t>
      </w:r>
      <w:proofErr w:type="spellStart"/>
      <w:r w:rsidRPr="00FB54F1">
        <w:rPr>
          <w:rFonts w:ascii="Arial" w:hAnsi="Arial" w:cs="Arial"/>
          <w:sz w:val="20"/>
          <w:szCs w:val="20"/>
        </w:rPr>
        <w:t>Peschgens</w:t>
      </w:r>
      <w:proofErr w:type="spellEnd"/>
      <w:r w:rsidRPr="00FB54F1">
        <w:rPr>
          <w:rFonts w:ascii="Arial" w:hAnsi="Arial" w:cs="Arial"/>
          <w:sz w:val="20"/>
          <w:szCs w:val="20"/>
        </w:rPr>
        <w:t xml:space="preserve"> T, </w:t>
      </w:r>
      <w:proofErr w:type="spellStart"/>
      <w:r w:rsidRPr="00FB54F1">
        <w:rPr>
          <w:rFonts w:ascii="Arial" w:hAnsi="Arial" w:cs="Arial"/>
          <w:sz w:val="20"/>
          <w:szCs w:val="20"/>
        </w:rPr>
        <w:t>Silny</w:t>
      </w:r>
      <w:proofErr w:type="spellEnd"/>
      <w:r w:rsidRPr="00FB54F1">
        <w:rPr>
          <w:rFonts w:ascii="Arial" w:hAnsi="Arial" w:cs="Arial"/>
          <w:sz w:val="20"/>
          <w:szCs w:val="20"/>
        </w:rPr>
        <w:t xml:space="preserve"> J, </w:t>
      </w:r>
      <w:proofErr w:type="spellStart"/>
      <w:r w:rsidRPr="00FB54F1">
        <w:rPr>
          <w:rFonts w:ascii="Arial" w:hAnsi="Arial" w:cs="Arial"/>
          <w:sz w:val="20"/>
          <w:szCs w:val="20"/>
        </w:rPr>
        <w:t>Heimann</w:t>
      </w:r>
      <w:proofErr w:type="spellEnd"/>
      <w:r w:rsidRPr="00FB54F1">
        <w:rPr>
          <w:rFonts w:ascii="Arial" w:hAnsi="Arial" w:cs="Arial"/>
          <w:sz w:val="20"/>
          <w:szCs w:val="20"/>
        </w:rPr>
        <w:t xml:space="preserve"> G, </w:t>
      </w:r>
      <w:proofErr w:type="spellStart"/>
      <w:r w:rsidRPr="00FB54F1">
        <w:rPr>
          <w:rFonts w:ascii="Arial" w:hAnsi="Arial" w:cs="Arial"/>
          <w:sz w:val="20"/>
          <w:szCs w:val="20"/>
        </w:rPr>
        <w:t>Skopnik</w:t>
      </w:r>
      <w:proofErr w:type="spellEnd"/>
      <w:r w:rsidRPr="00FB54F1">
        <w:rPr>
          <w:rFonts w:ascii="Arial" w:hAnsi="Arial" w:cs="Arial"/>
          <w:sz w:val="20"/>
          <w:szCs w:val="20"/>
        </w:rPr>
        <w:t xml:space="preserve"> H. Associação de </w:t>
      </w:r>
      <w:proofErr w:type="spellStart"/>
      <w:r w:rsidRPr="00FB54F1">
        <w:rPr>
          <w:rFonts w:ascii="Arial" w:hAnsi="Arial" w:cs="Arial"/>
          <w:sz w:val="20"/>
          <w:szCs w:val="20"/>
        </w:rPr>
        <w:t>apnéia</w:t>
      </w:r>
      <w:proofErr w:type="spellEnd"/>
      <w:r w:rsidRPr="00FB54F1">
        <w:rPr>
          <w:rFonts w:ascii="Arial" w:hAnsi="Arial" w:cs="Arial"/>
          <w:sz w:val="20"/>
          <w:szCs w:val="20"/>
        </w:rPr>
        <w:t xml:space="preserve"> e refluxo gastroesofágico em criança. </w:t>
      </w:r>
      <w:proofErr w:type="spellStart"/>
      <w:r w:rsidRPr="00FB54F1">
        <w:rPr>
          <w:rFonts w:ascii="Arial" w:hAnsi="Arial" w:cs="Arial"/>
          <w:sz w:val="20"/>
          <w:szCs w:val="20"/>
        </w:rPr>
        <w:t>Pediatr</w:t>
      </w:r>
      <w:proofErr w:type="spellEnd"/>
      <w:r w:rsidRPr="00FB54F1">
        <w:rPr>
          <w:rFonts w:ascii="Arial" w:hAnsi="Arial" w:cs="Arial"/>
          <w:sz w:val="20"/>
          <w:szCs w:val="20"/>
        </w:rPr>
        <w:t xml:space="preserve"> </w:t>
      </w:r>
      <w:proofErr w:type="spellStart"/>
      <w:r w:rsidRPr="00FB54F1">
        <w:rPr>
          <w:rFonts w:ascii="Arial" w:hAnsi="Arial" w:cs="Arial"/>
          <w:sz w:val="20"/>
          <w:szCs w:val="20"/>
        </w:rPr>
        <w:t>Pulmonol</w:t>
      </w:r>
      <w:proofErr w:type="spellEnd"/>
      <w:r w:rsidRPr="00FB54F1">
        <w:rPr>
          <w:rFonts w:ascii="Arial" w:hAnsi="Arial" w:cs="Arial"/>
          <w:sz w:val="20"/>
          <w:szCs w:val="20"/>
        </w:rPr>
        <w:t>. 2001 Feb;31(2):144-9.</w:t>
      </w:r>
    </w:p>
    <w:p w14:paraId="0015B80A" w14:textId="77777777" w:rsidR="00FE30BA" w:rsidRPr="00FB54F1" w:rsidRDefault="00FB54F1" w:rsidP="005B5ACE">
      <w:pPr>
        <w:spacing w:line="276" w:lineRule="auto"/>
        <w:rPr>
          <w:rFonts w:ascii="Arial" w:hAnsi="Arial" w:cs="Arial"/>
          <w:sz w:val="20"/>
          <w:szCs w:val="20"/>
        </w:rPr>
      </w:pPr>
      <w:r w:rsidRPr="00FB54F1">
        <w:rPr>
          <w:rFonts w:ascii="Arial" w:hAnsi="Arial" w:cs="Arial"/>
          <w:sz w:val="20"/>
          <w:szCs w:val="20"/>
        </w:rPr>
        <w:t xml:space="preserve">7) Porta G, </w:t>
      </w:r>
      <w:proofErr w:type="spellStart"/>
      <w:r w:rsidRPr="00FB54F1">
        <w:rPr>
          <w:rFonts w:ascii="Arial" w:hAnsi="Arial" w:cs="Arial"/>
          <w:sz w:val="20"/>
          <w:szCs w:val="20"/>
        </w:rPr>
        <w:t>Koda</w:t>
      </w:r>
      <w:proofErr w:type="spellEnd"/>
      <w:r w:rsidRPr="00FB54F1">
        <w:rPr>
          <w:rFonts w:ascii="Arial" w:hAnsi="Arial" w:cs="Arial"/>
          <w:sz w:val="20"/>
          <w:szCs w:val="20"/>
        </w:rPr>
        <w:t xml:space="preserve"> Y.K.L. Gastroenterologia e Hepatologia. 1</w:t>
      </w:r>
      <w:r w:rsidRPr="00FB54F1">
        <w:rPr>
          <w:rFonts w:ascii="Arial" w:hAnsi="Arial" w:cs="Arial"/>
          <w:sz w:val="20"/>
          <w:szCs w:val="20"/>
          <w:vertAlign w:val="superscript"/>
        </w:rPr>
        <w:t>a</w:t>
      </w:r>
      <w:r w:rsidRPr="00FB54F1">
        <w:rPr>
          <w:rFonts w:ascii="Arial" w:hAnsi="Arial" w:cs="Arial"/>
          <w:sz w:val="20"/>
          <w:szCs w:val="20"/>
        </w:rPr>
        <w:t xml:space="preserve"> Edição. São Paulo: Editora Manole; 2011. p.230-43</w:t>
      </w:r>
    </w:p>
    <w:p w14:paraId="3E681B17" w14:textId="77777777" w:rsidR="005B5ACE" w:rsidRDefault="005B5ACE" w:rsidP="00FE30BA">
      <w:pPr>
        <w:pStyle w:val="Default"/>
        <w:spacing w:line="276" w:lineRule="auto"/>
        <w:rPr>
          <w:rFonts w:ascii="Arial" w:hAnsi="Arial" w:cs="Arial"/>
          <w:color w:val="auto"/>
          <w:sz w:val="20"/>
          <w:szCs w:val="20"/>
        </w:rPr>
      </w:pPr>
    </w:p>
    <w:p w14:paraId="5C420424" w14:textId="0495B89C" w:rsidR="00FE30BA" w:rsidRPr="008A72FE" w:rsidRDefault="005B5ACE" w:rsidP="00FE30BA">
      <w:pPr>
        <w:pStyle w:val="Default"/>
        <w:spacing w:line="276" w:lineRule="auto"/>
        <w:rPr>
          <w:sz w:val="20"/>
          <w:szCs w:val="20"/>
        </w:rPr>
      </w:pPr>
      <w:r w:rsidRPr="004864AE">
        <w:rPr>
          <w:rFonts w:ascii="Arial" w:hAnsi="Arial" w:cs="Arial"/>
          <w:bCs/>
          <w:sz w:val="20"/>
          <w:szCs w:val="20"/>
        </w:rPr>
        <w:lastRenderedPageBreak/>
        <w:t>Responsável pela elaboração da rotina:</w:t>
      </w:r>
      <w:r>
        <w:rPr>
          <w:rFonts w:ascii="Arial" w:hAnsi="Arial" w:cs="Arial"/>
          <w:bCs/>
          <w:sz w:val="20"/>
          <w:szCs w:val="20"/>
        </w:rPr>
        <w:t xml:space="preserve"> Dr.</w:t>
      </w:r>
      <w:r w:rsidR="00FE30BA" w:rsidRPr="008A72FE">
        <w:rPr>
          <w:rFonts w:ascii="Arial" w:hAnsi="Arial" w:cs="Arial"/>
          <w:color w:val="auto"/>
          <w:sz w:val="20"/>
          <w:szCs w:val="20"/>
        </w:rPr>
        <w:t xml:space="preserve"> Francisco Rufino Rosa Neto</w:t>
      </w:r>
    </w:p>
    <w:p w14:paraId="6BA5AEDF" w14:textId="77777777" w:rsidR="00FE30BA" w:rsidRPr="009B6871" w:rsidRDefault="00FE30BA" w:rsidP="00FE30BA">
      <w:pPr>
        <w:rPr>
          <w:rFonts w:ascii="Arial" w:hAnsi="Arial" w:cs="Arial"/>
          <w:sz w:val="20"/>
          <w:szCs w:val="20"/>
        </w:rPr>
      </w:pPr>
    </w:p>
    <w:p w14:paraId="4E3287AA" w14:textId="77777777" w:rsidR="00B3279C" w:rsidRDefault="00B3279C"/>
    <w:sectPr w:rsidR="00B3279C" w:rsidSect="009169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434DA"/>
    <w:multiLevelType w:val="hybridMultilevel"/>
    <w:tmpl w:val="8F0E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96BBA"/>
    <w:multiLevelType w:val="hybridMultilevel"/>
    <w:tmpl w:val="3D2AD67A"/>
    <w:lvl w:ilvl="0" w:tplc="BC92BA74">
      <w:start w:val="673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613E0"/>
    <w:multiLevelType w:val="hybridMultilevel"/>
    <w:tmpl w:val="8194A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2580E"/>
    <w:multiLevelType w:val="hybridMultilevel"/>
    <w:tmpl w:val="9092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900CE"/>
    <w:multiLevelType w:val="hybridMultilevel"/>
    <w:tmpl w:val="917856E8"/>
    <w:lvl w:ilvl="0" w:tplc="BC92BA74">
      <w:start w:val="4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0BA"/>
    <w:rsid w:val="00144733"/>
    <w:rsid w:val="00231CF3"/>
    <w:rsid w:val="00251FBA"/>
    <w:rsid w:val="002F538F"/>
    <w:rsid w:val="00372DDB"/>
    <w:rsid w:val="00383C03"/>
    <w:rsid w:val="003D4F2B"/>
    <w:rsid w:val="00447C1A"/>
    <w:rsid w:val="00527DF2"/>
    <w:rsid w:val="005527B2"/>
    <w:rsid w:val="005B5ACE"/>
    <w:rsid w:val="005F122F"/>
    <w:rsid w:val="005F5FAF"/>
    <w:rsid w:val="006063BF"/>
    <w:rsid w:val="00650A28"/>
    <w:rsid w:val="007270E2"/>
    <w:rsid w:val="007805B6"/>
    <w:rsid w:val="007F130A"/>
    <w:rsid w:val="00916921"/>
    <w:rsid w:val="00965333"/>
    <w:rsid w:val="009839CD"/>
    <w:rsid w:val="00A119AF"/>
    <w:rsid w:val="00AA275D"/>
    <w:rsid w:val="00B0793F"/>
    <w:rsid w:val="00B3279C"/>
    <w:rsid w:val="00BF7D97"/>
    <w:rsid w:val="00C059D3"/>
    <w:rsid w:val="00CC6C50"/>
    <w:rsid w:val="00CF0C8D"/>
    <w:rsid w:val="00D01775"/>
    <w:rsid w:val="00D82DE4"/>
    <w:rsid w:val="00DB453C"/>
    <w:rsid w:val="00E91C0E"/>
    <w:rsid w:val="00FB54F1"/>
    <w:rsid w:val="00FE30B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0CD2D"/>
  <w14:defaultImageDpi w14:val="300"/>
  <w15:docId w15:val="{E6E68D75-7146-4F49-A15A-E05BA370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B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E30BA"/>
    <w:pPr>
      <w:widowControl w:val="0"/>
      <w:autoSpaceDE w:val="0"/>
      <w:autoSpaceDN w:val="0"/>
      <w:adjustRightInd w:val="0"/>
    </w:pPr>
    <w:rPr>
      <w:rFonts w:ascii="Times New Roman" w:hAnsi="Times New Roman" w:cs="Times New Roman"/>
      <w:color w:val="000000"/>
      <w:lang w:eastAsia="pt-BR"/>
    </w:rPr>
  </w:style>
  <w:style w:type="paragraph" w:styleId="PargrafodaLista">
    <w:name w:val="List Paragraph"/>
    <w:basedOn w:val="Normal"/>
    <w:uiPriority w:val="34"/>
    <w:qFormat/>
    <w:rsid w:val="00FE30BA"/>
    <w:pPr>
      <w:ind w:left="720"/>
      <w:contextualSpacing/>
    </w:pPr>
  </w:style>
  <w:style w:type="paragraph" w:styleId="NormalWeb">
    <w:name w:val="Normal (Web)"/>
    <w:basedOn w:val="Normal"/>
    <w:uiPriority w:val="99"/>
    <w:semiHidden/>
    <w:unhideWhenUsed/>
    <w:rsid w:val="00FB54F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6482">
      <w:bodyDiv w:val="1"/>
      <w:marLeft w:val="0"/>
      <w:marRight w:val="0"/>
      <w:marTop w:val="0"/>
      <w:marBottom w:val="0"/>
      <w:divBdr>
        <w:top w:val="none" w:sz="0" w:space="0" w:color="auto"/>
        <w:left w:val="none" w:sz="0" w:space="0" w:color="auto"/>
        <w:bottom w:val="none" w:sz="0" w:space="0" w:color="auto"/>
        <w:right w:val="none" w:sz="0" w:space="0" w:color="auto"/>
      </w:divBdr>
    </w:div>
    <w:div w:id="373653413">
      <w:bodyDiv w:val="1"/>
      <w:marLeft w:val="0"/>
      <w:marRight w:val="0"/>
      <w:marTop w:val="0"/>
      <w:marBottom w:val="0"/>
      <w:divBdr>
        <w:top w:val="none" w:sz="0" w:space="0" w:color="auto"/>
        <w:left w:val="none" w:sz="0" w:space="0" w:color="auto"/>
        <w:bottom w:val="none" w:sz="0" w:space="0" w:color="auto"/>
        <w:right w:val="none" w:sz="0" w:space="0" w:color="auto"/>
      </w:divBdr>
    </w:div>
    <w:div w:id="580720971">
      <w:bodyDiv w:val="1"/>
      <w:marLeft w:val="0"/>
      <w:marRight w:val="0"/>
      <w:marTop w:val="0"/>
      <w:marBottom w:val="0"/>
      <w:divBdr>
        <w:top w:val="none" w:sz="0" w:space="0" w:color="auto"/>
        <w:left w:val="none" w:sz="0" w:space="0" w:color="auto"/>
        <w:bottom w:val="none" w:sz="0" w:space="0" w:color="auto"/>
        <w:right w:val="none" w:sz="0" w:space="0" w:color="auto"/>
      </w:divBdr>
    </w:div>
    <w:div w:id="868221011">
      <w:bodyDiv w:val="1"/>
      <w:marLeft w:val="0"/>
      <w:marRight w:val="0"/>
      <w:marTop w:val="0"/>
      <w:marBottom w:val="0"/>
      <w:divBdr>
        <w:top w:val="none" w:sz="0" w:space="0" w:color="auto"/>
        <w:left w:val="none" w:sz="0" w:space="0" w:color="auto"/>
        <w:bottom w:val="none" w:sz="0" w:space="0" w:color="auto"/>
        <w:right w:val="none" w:sz="0" w:space="0" w:color="auto"/>
      </w:divBdr>
    </w:div>
    <w:div w:id="1297101854">
      <w:bodyDiv w:val="1"/>
      <w:marLeft w:val="0"/>
      <w:marRight w:val="0"/>
      <w:marTop w:val="0"/>
      <w:marBottom w:val="0"/>
      <w:divBdr>
        <w:top w:val="none" w:sz="0" w:space="0" w:color="auto"/>
        <w:left w:val="none" w:sz="0" w:space="0" w:color="auto"/>
        <w:bottom w:val="none" w:sz="0" w:space="0" w:color="auto"/>
        <w:right w:val="none" w:sz="0" w:space="0" w:color="auto"/>
      </w:divBdr>
    </w:div>
    <w:div w:id="18384250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1301</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Rufino Rosa Neto</dc:creator>
  <cp:lastModifiedBy>RODOLFO ROCHANETO</cp:lastModifiedBy>
  <cp:revision>3</cp:revision>
  <dcterms:created xsi:type="dcterms:W3CDTF">2020-01-18T23:54:00Z</dcterms:created>
  <dcterms:modified xsi:type="dcterms:W3CDTF">2020-05-18T01:16:00Z</dcterms:modified>
</cp:coreProperties>
</file>