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07E1" w14:textId="77777777" w:rsidR="00953336" w:rsidRPr="00F11DFB" w:rsidRDefault="00953336" w:rsidP="00953336">
      <w:pPr>
        <w:ind w:left="993"/>
        <w:jc w:val="center"/>
        <w:rPr>
          <w:rFonts w:ascii="Arial" w:hAnsi="Arial" w:cs="Arial"/>
          <w:sz w:val="24"/>
        </w:rPr>
      </w:pPr>
    </w:p>
    <w:p w14:paraId="3CE41C21" w14:textId="77777777" w:rsidR="00550B4F" w:rsidRPr="00F11DFB" w:rsidRDefault="00774B5E" w:rsidP="00953336">
      <w:pPr>
        <w:ind w:left="993"/>
        <w:jc w:val="center"/>
        <w:rPr>
          <w:rFonts w:ascii="Arial" w:hAnsi="Arial" w:cs="Arial"/>
          <w:b/>
          <w:sz w:val="24"/>
          <w:u w:val="single"/>
        </w:rPr>
      </w:pPr>
      <w:r w:rsidRPr="00F11DFB">
        <w:rPr>
          <w:rFonts w:ascii="Arial" w:hAnsi="Arial" w:cs="Arial"/>
          <w:b/>
          <w:sz w:val="24"/>
          <w:u w:val="single"/>
        </w:rPr>
        <w:t xml:space="preserve">Epilepsia e </w:t>
      </w:r>
      <w:r w:rsidR="004B3F5E" w:rsidRPr="00F11DFB">
        <w:rPr>
          <w:rFonts w:ascii="Arial" w:hAnsi="Arial" w:cs="Arial"/>
          <w:b/>
          <w:sz w:val="24"/>
          <w:u w:val="single"/>
        </w:rPr>
        <w:t>Estado d</w:t>
      </w:r>
      <w:r w:rsidRPr="00F11DFB">
        <w:rPr>
          <w:rFonts w:ascii="Arial" w:hAnsi="Arial" w:cs="Arial"/>
          <w:b/>
          <w:sz w:val="24"/>
          <w:u w:val="single"/>
        </w:rPr>
        <w:t>e Mal Epiléptico</w:t>
      </w:r>
    </w:p>
    <w:p w14:paraId="1617EC37" w14:textId="77777777" w:rsidR="00953336" w:rsidRPr="00F11DFB" w:rsidRDefault="00953336" w:rsidP="00953336">
      <w:pPr>
        <w:ind w:left="993"/>
        <w:jc w:val="center"/>
        <w:rPr>
          <w:rFonts w:ascii="Arial" w:hAnsi="Arial" w:cs="Arial"/>
          <w:sz w:val="24"/>
        </w:rPr>
      </w:pPr>
    </w:p>
    <w:p w14:paraId="2ECDC5BC" w14:textId="77777777" w:rsidR="00774B5E" w:rsidRPr="00F11DFB" w:rsidRDefault="00774B5E" w:rsidP="00953336">
      <w:pPr>
        <w:ind w:left="993"/>
        <w:jc w:val="center"/>
        <w:rPr>
          <w:rFonts w:ascii="Arial" w:hAnsi="Arial" w:cs="Arial"/>
          <w:sz w:val="24"/>
        </w:rPr>
      </w:pPr>
    </w:p>
    <w:p w14:paraId="27278947" w14:textId="77777777" w:rsidR="00774B5E" w:rsidRPr="00F11DFB" w:rsidRDefault="00774B5E" w:rsidP="00953336">
      <w:pPr>
        <w:pStyle w:val="PargrafodaLista"/>
        <w:numPr>
          <w:ilvl w:val="0"/>
          <w:numId w:val="1"/>
        </w:numPr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Definições:</w:t>
      </w:r>
    </w:p>
    <w:p w14:paraId="32CA2350" w14:textId="77777777" w:rsidR="00774B5E" w:rsidRPr="00F11DFB" w:rsidRDefault="00774B5E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FB98896" w14:textId="6CE7D63E" w:rsidR="00774B5E" w:rsidRPr="00F11DFB" w:rsidRDefault="00774B5E" w:rsidP="00953336">
      <w:pPr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  <w:u w:val="single"/>
        </w:rPr>
        <w:t>Crise epiléptica:</w:t>
      </w:r>
      <w:r w:rsidRPr="00F11DFB">
        <w:rPr>
          <w:rFonts w:ascii="Arial" w:hAnsi="Arial" w:cs="Arial"/>
          <w:sz w:val="24"/>
        </w:rPr>
        <w:t xml:space="preserve"> ocorrência transitória de sinais e/ou sintomas secundários a atividade neuronal cerebral anormal</w:t>
      </w:r>
      <w:r w:rsidR="00431D95" w:rsidRPr="00F11DFB">
        <w:rPr>
          <w:rFonts w:ascii="Arial" w:hAnsi="Arial" w:cs="Arial"/>
          <w:sz w:val="24"/>
        </w:rPr>
        <w:t>,</w:t>
      </w:r>
      <w:r w:rsidRPr="00F11DFB">
        <w:rPr>
          <w:rFonts w:ascii="Arial" w:hAnsi="Arial" w:cs="Arial"/>
          <w:sz w:val="24"/>
        </w:rPr>
        <w:t xml:space="preserve"> excessiva ou síncrona. Se houver atividade</w:t>
      </w:r>
      <w:r w:rsidR="00953336" w:rsidRPr="00F11DFB">
        <w:rPr>
          <w:rFonts w:ascii="Arial" w:hAnsi="Arial" w:cs="Arial"/>
          <w:sz w:val="24"/>
        </w:rPr>
        <w:t xml:space="preserve"> motora</w:t>
      </w:r>
      <w:r w:rsidRPr="00F11DFB">
        <w:rPr>
          <w:rFonts w:ascii="Arial" w:hAnsi="Arial" w:cs="Arial"/>
          <w:sz w:val="24"/>
        </w:rPr>
        <w:t>, poderá ser chamada de crise convulsiva.</w:t>
      </w:r>
    </w:p>
    <w:p w14:paraId="5BB991C5" w14:textId="77777777" w:rsidR="00774B5E" w:rsidRPr="00F11DFB" w:rsidRDefault="00774B5E" w:rsidP="00953336">
      <w:pPr>
        <w:ind w:left="993"/>
        <w:jc w:val="both"/>
        <w:rPr>
          <w:rFonts w:ascii="Arial" w:hAnsi="Arial" w:cs="Arial"/>
          <w:sz w:val="24"/>
        </w:rPr>
      </w:pPr>
    </w:p>
    <w:p w14:paraId="791A2401" w14:textId="77777777" w:rsidR="00774B5E" w:rsidRPr="00F11DFB" w:rsidRDefault="00774B5E" w:rsidP="00953336">
      <w:pPr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  <w:u w:val="single"/>
        </w:rPr>
        <w:t>Epilepsia:</w:t>
      </w:r>
      <w:r w:rsidRPr="00F11DFB">
        <w:rPr>
          <w:rFonts w:ascii="Arial" w:hAnsi="Arial" w:cs="Arial"/>
          <w:sz w:val="24"/>
        </w:rPr>
        <w:t xml:space="preserve"> duas ou mais crises epilépticas sem evidências de insultos agudos (ex</w:t>
      </w:r>
      <w:r w:rsidR="00953336" w:rsidRPr="00F11DFB">
        <w:rPr>
          <w:rFonts w:ascii="Arial" w:hAnsi="Arial" w:cs="Arial"/>
          <w:sz w:val="24"/>
        </w:rPr>
        <w:t>.</w:t>
      </w:r>
      <w:r w:rsidRPr="00F11DFB">
        <w:rPr>
          <w:rFonts w:ascii="Arial" w:hAnsi="Arial" w:cs="Arial"/>
          <w:sz w:val="24"/>
        </w:rPr>
        <w:t xml:space="preserve">: febre, hiponatremia, intoxicação), em um intervalo </w:t>
      </w:r>
      <w:r w:rsidR="00953336" w:rsidRPr="00F11DFB">
        <w:rPr>
          <w:rFonts w:ascii="Arial" w:hAnsi="Arial" w:cs="Arial"/>
          <w:sz w:val="24"/>
        </w:rPr>
        <w:t xml:space="preserve">superior </w:t>
      </w:r>
      <w:r w:rsidRPr="00F11DFB">
        <w:rPr>
          <w:rFonts w:ascii="Arial" w:hAnsi="Arial" w:cs="Arial"/>
          <w:sz w:val="24"/>
        </w:rPr>
        <w:t xml:space="preserve">a 24 horas </w:t>
      </w:r>
      <w:r w:rsidRPr="00F11DFB">
        <w:rPr>
          <w:rFonts w:ascii="Arial" w:hAnsi="Arial" w:cs="Arial"/>
          <w:sz w:val="24"/>
          <w:u w:val="single"/>
        </w:rPr>
        <w:t>ou</w:t>
      </w:r>
      <w:r w:rsidRPr="00F11DFB">
        <w:rPr>
          <w:rFonts w:ascii="Arial" w:hAnsi="Arial" w:cs="Arial"/>
          <w:sz w:val="24"/>
        </w:rPr>
        <w:t xml:space="preserve"> uma crise não provocada e chance de uma nova crise estimada em pelo menos 60% (exame neurológico, EEG ou exame de imagem alterados) </w:t>
      </w:r>
      <w:r w:rsidRPr="00F11DFB">
        <w:rPr>
          <w:rFonts w:ascii="Arial" w:hAnsi="Arial" w:cs="Arial"/>
          <w:sz w:val="24"/>
          <w:u w:val="single"/>
        </w:rPr>
        <w:t>ou</w:t>
      </w:r>
      <w:r w:rsidRPr="00F11DFB">
        <w:rPr>
          <w:rFonts w:ascii="Arial" w:hAnsi="Arial" w:cs="Arial"/>
          <w:sz w:val="24"/>
        </w:rPr>
        <w:t xml:space="preserve"> diagnóstico de uma síndrome epiléptica (ex.: Síndrome de West).</w:t>
      </w:r>
    </w:p>
    <w:p w14:paraId="7AE43AB6" w14:textId="77777777" w:rsidR="00774B5E" w:rsidRPr="00F11DFB" w:rsidRDefault="00774B5E" w:rsidP="00953336">
      <w:pPr>
        <w:ind w:left="993"/>
        <w:jc w:val="both"/>
        <w:rPr>
          <w:rFonts w:ascii="Arial" w:hAnsi="Arial" w:cs="Arial"/>
          <w:sz w:val="24"/>
        </w:rPr>
      </w:pPr>
    </w:p>
    <w:p w14:paraId="20AD5E2B" w14:textId="48257B60" w:rsidR="00774B5E" w:rsidRPr="00F11DFB" w:rsidRDefault="00774B5E" w:rsidP="00B67474">
      <w:pPr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  <w:u w:val="single"/>
        </w:rPr>
        <w:t>Estado de Mal Epiléptico</w:t>
      </w:r>
      <w:r w:rsidR="00B67474" w:rsidRPr="00F11DFB">
        <w:rPr>
          <w:rFonts w:ascii="Arial" w:hAnsi="Arial" w:cs="Arial"/>
          <w:sz w:val="24"/>
          <w:u w:val="single"/>
        </w:rPr>
        <w:t xml:space="preserve"> (EME)</w:t>
      </w:r>
      <w:r w:rsidRPr="00F11DFB">
        <w:rPr>
          <w:rFonts w:ascii="Arial" w:hAnsi="Arial" w:cs="Arial"/>
          <w:sz w:val="24"/>
          <w:u w:val="single"/>
        </w:rPr>
        <w:t>:</w:t>
      </w:r>
      <w:r w:rsidRPr="00F11DFB">
        <w:rPr>
          <w:rFonts w:ascii="Arial" w:hAnsi="Arial" w:cs="Arial"/>
          <w:sz w:val="24"/>
        </w:rPr>
        <w:t xml:space="preserve"> crises epilépticas tônico-</w:t>
      </w:r>
      <w:proofErr w:type="spellStart"/>
      <w:r w:rsidRPr="00F11DFB">
        <w:rPr>
          <w:rFonts w:ascii="Arial" w:hAnsi="Arial" w:cs="Arial"/>
          <w:sz w:val="24"/>
        </w:rPr>
        <w:t>clônico</w:t>
      </w:r>
      <w:proofErr w:type="spellEnd"/>
      <w:r w:rsidRPr="00F11DFB">
        <w:rPr>
          <w:rFonts w:ascii="Arial" w:hAnsi="Arial" w:cs="Arial"/>
          <w:sz w:val="24"/>
        </w:rPr>
        <w:t xml:space="preserve"> generalizadas</w:t>
      </w:r>
      <w:r w:rsidR="00953336" w:rsidRPr="00F11DFB">
        <w:rPr>
          <w:rFonts w:ascii="Arial" w:hAnsi="Arial" w:cs="Arial"/>
          <w:sz w:val="24"/>
        </w:rPr>
        <w:t xml:space="preserve"> que dure</w:t>
      </w:r>
      <w:r w:rsidRPr="00F11DFB">
        <w:rPr>
          <w:rFonts w:ascii="Arial" w:hAnsi="Arial" w:cs="Arial"/>
          <w:sz w:val="24"/>
        </w:rPr>
        <w:t>m mais do que 5</w:t>
      </w:r>
      <w:r w:rsidR="00953336" w:rsidRPr="00F11DFB">
        <w:rPr>
          <w:rFonts w:ascii="Arial" w:hAnsi="Arial" w:cs="Arial"/>
          <w:sz w:val="24"/>
        </w:rPr>
        <w:t xml:space="preserve"> minutos, crises focais que dure</w:t>
      </w:r>
      <w:r w:rsidRPr="00F11DFB">
        <w:rPr>
          <w:rFonts w:ascii="Arial" w:hAnsi="Arial" w:cs="Arial"/>
          <w:sz w:val="24"/>
        </w:rPr>
        <w:t>m mais do que 10 minutos e crises de ausê</w:t>
      </w:r>
      <w:r w:rsidR="00953336" w:rsidRPr="00F11DFB">
        <w:rPr>
          <w:rFonts w:ascii="Arial" w:hAnsi="Arial" w:cs="Arial"/>
          <w:sz w:val="24"/>
        </w:rPr>
        <w:t>ncia que dure</w:t>
      </w:r>
      <w:r w:rsidRPr="00F11DFB">
        <w:rPr>
          <w:rFonts w:ascii="Arial" w:hAnsi="Arial" w:cs="Arial"/>
          <w:sz w:val="24"/>
        </w:rPr>
        <w:t>m mais do que 15 minutos</w:t>
      </w:r>
      <w:r w:rsidR="00953336" w:rsidRPr="00F11DFB">
        <w:rPr>
          <w:rFonts w:ascii="Arial" w:hAnsi="Arial" w:cs="Arial"/>
          <w:sz w:val="24"/>
        </w:rPr>
        <w:t>.</w:t>
      </w:r>
      <w:r w:rsidR="00B67474" w:rsidRPr="00F11DFB">
        <w:rPr>
          <w:rFonts w:ascii="Arial" w:hAnsi="Arial" w:cs="Arial"/>
          <w:sz w:val="24"/>
        </w:rPr>
        <w:t xml:space="preserve"> As alterações metabólicas podem ser compensadas até 30 minutos após início do EME. Após este período, algum dano ao organismo é praticamente inevitável: hipóxia, acidose, hipotensão, arritmias, obstrução de vias aéreas, aumento da pressão intracraniana e consequente morte neuronal.</w:t>
      </w:r>
    </w:p>
    <w:p w14:paraId="36024973" w14:textId="77777777" w:rsidR="00774B5E" w:rsidRPr="00F11DFB" w:rsidRDefault="00774B5E" w:rsidP="00953336">
      <w:pPr>
        <w:ind w:left="993"/>
        <w:jc w:val="both"/>
        <w:rPr>
          <w:rFonts w:ascii="Arial" w:hAnsi="Arial" w:cs="Arial"/>
          <w:sz w:val="24"/>
        </w:rPr>
      </w:pPr>
    </w:p>
    <w:p w14:paraId="10C8929A" w14:textId="2057174C" w:rsidR="00774B5E" w:rsidRPr="00F11DFB" w:rsidRDefault="00774B5E" w:rsidP="00953336">
      <w:pPr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  <w:u w:val="single"/>
        </w:rPr>
        <w:t>Estado de mal epiléptico refratário:</w:t>
      </w:r>
      <w:r w:rsidRPr="00F11DFB">
        <w:rPr>
          <w:rFonts w:ascii="Arial" w:hAnsi="Arial" w:cs="Arial"/>
          <w:sz w:val="24"/>
        </w:rPr>
        <w:t xml:space="preserve"> </w:t>
      </w:r>
      <w:r w:rsidR="00B67474" w:rsidRPr="00F11DFB">
        <w:rPr>
          <w:rFonts w:ascii="Arial" w:hAnsi="Arial" w:cs="Arial"/>
          <w:sz w:val="24"/>
        </w:rPr>
        <w:t>EME refratário</w:t>
      </w:r>
      <w:r w:rsidR="00953336" w:rsidRPr="00F11DFB">
        <w:rPr>
          <w:rFonts w:ascii="Arial" w:hAnsi="Arial" w:cs="Arial"/>
          <w:sz w:val="24"/>
        </w:rPr>
        <w:t xml:space="preserve"> ao</w:t>
      </w:r>
      <w:r w:rsidRPr="00F11DFB">
        <w:rPr>
          <w:rFonts w:ascii="Arial" w:hAnsi="Arial" w:cs="Arial"/>
          <w:sz w:val="24"/>
        </w:rPr>
        <w:t xml:space="preserve"> tratamento com 2 drogas antiepilépticas de classes diferentes e em doses adequadas</w:t>
      </w:r>
      <w:r w:rsidR="00B67474" w:rsidRPr="00F11DFB">
        <w:rPr>
          <w:rFonts w:ascii="Arial" w:hAnsi="Arial" w:cs="Arial"/>
          <w:sz w:val="24"/>
        </w:rPr>
        <w:t>.</w:t>
      </w:r>
    </w:p>
    <w:p w14:paraId="79ACDEE8" w14:textId="77777777" w:rsidR="00774B5E" w:rsidRPr="00F11DFB" w:rsidRDefault="00774B5E" w:rsidP="00953336">
      <w:pPr>
        <w:ind w:left="993"/>
        <w:jc w:val="both"/>
        <w:rPr>
          <w:rFonts w:ascii="Arial" w:hAnsi="Arial" w:cs="Arial"/>
          <w:sz w:val="24"/>
        </w:rPr>
      </w:pPr>
    </w:p>
    <w:p w14:paraId="10A35A1E" w14:textId="77777777" w:rsidR="00DC2730" w:rsidRPr="00F11DFB" w:rsidRDefault="00DC2730" w:rsidP="00953336">
      <w:pPr>
        <w:ind w:left="993"/>
        <w:jc w:val="both"/>
        <w:rPr>
          <w:rFonts w:ascii="Arial" w:hAnsi="Arial" w:cs="Arial"/>
          <w:sz w:val="24"/>
        </w:rPr>
      </w:pPr>
    </w:p>
    <w:p w14:paraId="77F056A0" w14:textId="77777777" w:rsidR="00953336" w:rsidRPr="00F11DFB" w:rsidRDefault="00953336" w:rsidP="00953336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Diagnóstico</w:t>
      </w:r>
      <w:r w:rsidR="00D0646D" w:rsidRPr="00F11DFB">
        <w:rPr>
          <w:rFonts w:ascii="Arial" w:hAnsi="Arial" w:cs="Arial"/>
          <w:sz w:val="24"/>
        </w:rPr>
        <w:t xml:space="preserve"> Clínico</w:t>
      </w:r>
      <w:r w:rsidRPr="00F11DFB">
        <w:rPr>
          <w:rFonts w:ascii="Arial" w:hAnsi="Arial" w:cs="Arial"/>
          <w:sz w:val="24"/>
        </w:rPr>
        <w:t>:</w:t>
      </w:r>
      <w:r w:rsidRPr="00F11DFB">
        <w:t xml:space="preserve"> </w:t>
      </w:r>
    </w:p>
    <w:p w14:paraId="5A382B23" w14:textId="77777777" w:rsidR="00953336" w:rsidRPr="00F11DFB" w:rsidRDefault="00953336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7DBD706" w14:textId="142BF160" w:rsidR="00953336" w:rsidRPr="00F11DFB" w:rsidRDefault="00953336" w:rsidP="004B3F5E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Antes de </w:t>
      </w:r>
      <w:r w:rsidR="004F7035" w:rsidRPr="00F11DFB">
        <w:rPr>
          <w:rFonts w:ascii="Arial" w:hAnsi="Arial" w:cs="Arial"/>
          <w:sz w:val="24"/>
        </w:rPr>
        <w:t>iniciar o tratamento,</w:t>
      </w:r>
      <w:r w:rsidRPr="00F11DFB">
        <w:rPr>
          <w:rFonts w:ascii="Arial" w:hAnsi="Arial" w:cs="Arial"/>
          <w:sz w:val="24"/>
        </w:rPr>
        <w:t xml:space="preserve"> deve </w:t>
      </w:r>
      <w:r w:rsidR="004F7035" w:rsidRPr="00F11DFB">
        <w:rPr>
          <w:rFonts w:ascii="Arial" w:hAnsi="Arial" w:cs="Arial"/>
          <w:sz w:val="24"/>
        </w:rPr>
        <w:t xml:space="preserve">se </w:t>
      </w:r>
      <w:r w:rsidRPr="00F11DFB">
        <w:rPr>
          <w:rFonts w:ascii="Arial" w:hAnsi="Arial" w:cs="Arial"/>
          <w:sz w:val="24"/>
        </w:rPr>
        <w:t>determinar se o evento paroxístico é realmente uma crise epiléptica</w:t>
      </w:r>
      <w:r w:rsidR="00D0646D" w:rsidRPr="00F11DFB">
        <w:rPr>
          <w:rFonts w:ascii="Arial" w:hAnsi="Arial" w:cs="Arial"/>
          <w:sz w:val="24"/>
        </w:rPr>
        <w:t>,</w:t>
      </w:r>
      <w:r w:rsidRPr="00F11DFB">
        <w:rPr>
          <w:rFonts w:ascii="Arial" w:hAnsi="Arial" w:cs="Arial"/>
          <w:sz w:val="24"/>
        </w:rPr>
        <w:t xml:space="preserve"> uma vez que múltiplos diagnóst</w:t>
      </w:r>
      <w:r w:rsidR="00D0646D" w:rsidRPr="00F11DFB">
        <w:rPr>
          <w:rFonts w:ascii="Arial" w:hAnsi="Arial" w:cs="Arial"/>
          <w:sz w:val="24"/>
        </w:rPr>
        <w:t>icos diferenciais são possíveis, como por exemplo</w:t>
      </w:r>
      <w:r w:rsidR="004F7035" w:rsidRPr="00F11DFB">
        <w:rPr>
          <w:rFonts w:ascii="Arial" w:hAnsi="Arial" w:cs="Arial"/>
          <w:sz w:val="24"/>
        </w:rPr>
        <w:t>:</w:t>
      </w:r>
      <w:r w:rsidR="00D0646D" w:rsidRPr="00F11DFB">
        <w:rPr>
          <w:rFonts w:ascii="Arial" w:hAnsi="Arial" w:cs="Arial"/>
          <w:sz w:val="24"/>
        </w:rPr>
        <w:t xml:space="preserve"> </w:t>
      </w:r>
      <w:r w:rsidRPr="00F11DFB">
        <w:rPr>
          <w:rFonts w:ascii="Arial" w:hAnsi="Arial" w:cs="Arial"/>
          <w:sz w:val="24"/>
        </w:rPr>
        <w:t>sínco</w:t>
      </w:r>
      <w:r w:rsidR="004F7035" w:rsidRPr="00F11DFB">
        <w:rPr>
          <w:rFonts w:ascii="Arial" w:hAnsi="Arial" w:cs="Arial"/>
          <w:sz w:val="24"/>
        </w:rPr>
        <w:t xml:space="preserve">pes, </w:t>
      </w:r>
      <w:proofErr w:type="spellStart"/>
      <w:r w:rsidR="004F7035" w:rsidRPr="00F11DFB">
        <w:rPr>
          <w:rFonts w:ascii="Arial" w:hAnsi="Arial" w:cs="Arial"/>
          <w:sz w:val="24"/>
        </w:rPr>
        <w:t>parassonias</w:t>
      </w:r>
      <w:proofErr w:type="spellEnd"/>
      <w:r w:rsidR="004F7035" w:rsidRPr="00F11DFB">
        <w:rPr>
          <w:rFonts w:ascii="Arial" w:hAnsi="Arial" w:cs="Arial"/>
          <w:sz w:val="24"/>
        </w:rPr>
        <w:t>, transtornos do</w:t>
      </w:r>
      <w:r w:rsidRPr="00F11DFB">
        <w:rPr>
          <w:rFonts w:ascii="Arial" w:hAnsi="Arial" w:cs="Arial"/>
          <w:sz w:val="24"/>
        </w:rPr>
        <w:t xml:space="preserve"> movimento</w:t>
      </w:r>
      <w:r w:rsidR="004B3F5E" w:rsidRPr="00F11DFB">
        <w:rPr>
          <w:rFonts w:ascii="Arial" w:hAnsi="Arial" w:cs="Arial"/>
          <w:sz w:val="24"/>
        </w:rPr>
        <w:t xml:space="preserve">, enxaqueca, reflexo tônico cervical assimétrico persistente, postura de </w:t>
      </w:r>
      <w:proofErr w:type="spellStart"/>
      <w:r w:rsidR="004B3F5E" w:rsidRPr="00F11DFB">
        <w:rPr>
          <w:rFonts w:ascii="Arial" w:hAnsi="Arial" w:cs="Arial"/>
          <w:sz w:val="24"/>
        </w:rPr>
        <w:t>desc</w:t>
      </w:r>
      <w:r w:rsidR="004F7035" w:rsidRPr="00F11DFB">
        <w:rPr>
          <w:rFonts w:ascii="Arial" w:hAnsi="Arial" w:cs="Arial"/>
          <w:sz w:val="24"/>
        </w:rPr>
        <w:t>erebração</w:t>
      </w:r>
      <w:proofErr w:type="spellEnd"/>
      <w:r w:rsidR="004F7035" w:rsidRPr="00F11DFB">
        <w:rPr>
          <w:rFonts w:ascii="Arial" w:hAnsi="Arial" w:cs="Arial"/>
          <w:sz w:val="24"/>
        </w:rPr>
        <w:t xml:space="preserve"> ou </w:t>
      </w:r>
      <w:proofErr w:type="spellStart"/>
      <w:r w:rsidR="004F7035" w:rsidRPr="00F11DFB">
        <w:rPr>
          <w:rFonts w:ascii="Arial" w:hAnsi="Arial" w:cs="Arial"/>
          <w:sz w:val="24"/>
        </w:rPr>
        <w:t>decorticação</w:t>
      </w:r>
      <w:proofErr w:type="spellEnd"/>
      <w:r w:rsidR="004F7035" w:rsidRPr="00F11DFB">
        <w:rPr>
          <w:rFonts w:ascii="Arial" w:hAnsi="Arial" w:cs="Arial"/>
          <w:sz w:val="24"/>
        </w:rPr>
        <w:t>,  apne</w:t>
      </w:r>
      <w:r w:rsidR="004B3F5E" w:rsidRPr="00F11DFB">
        <w:rPr>
          <w:rFonts w:ascii="Arial" w:hAnsi="Arial" w:cs="Arial"/>
          <w:sz w:val="24"/>
        </w:rPr>
        <w:t>ia, tremor</w:t>
      </w:r>
      <w:r w:rsidR="00431D95" w:rsidRPr="00F11DFB">
        <w:rPr>
          <w:rFonts w:ascii="Arial" w:hAnsi="Arial" w:cs="Arial"/>
          <w:sz w:val="24"/>
        </w:rPr>
        <w:t>es</w:t>
      </w:r>
      <w:r w:rsidR="004B3F5E" w:rsidRPr="00F11DFB">
        <w:rPr>
          <w:rFonts w:ascii="Arial" w:hAnsi="Arial" w:cs="Arial"/>
          <w:sz w:val="24"/>
        </w:rPr>
        <w:t>, terror noturno</w:t>
      </w:r>
      <w:r w:rsidRPr="00F11DFB">
        <w:rPr>
          <w:rFonts w:ascii="Arial" w:hAnsi="Arial" w:cs="Arial"/>
          <w:sz w:val="24"/>
        </w:rPr>
        <w:t xml:space="preserve"> e outros eventos não-epilépticos</w:t>
      </w:r>
      <w:r w:rsidR="00D0646D" w:rsidRPr="00F11DFB">
        <w:rPr>
          <w:rFonts w:ascii="Arial" w:hAnsi="Arial" w:cs="Arial"/>
          <w:sz w:val="24"/>
        </w:rPr>
        <w:t>.</w:t>
      </w:r>
    </w:p>
    <w:p w14:paraId="07D4DDF2" w14:textId="77777777" w:rsidR="00D0646D" w:rsidRPr="00F11DFB" w:rsidRDefault="00D0646D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C533B73" w14:textId="77777777" w:rsidR="00D0646D" w:rsidRPr="00F11DFB" w:rsidRDefault="00D0646D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Deve ser perguntado ao acompanhante como as crises se iniciaram, se houve desvio do olhar, se houve manifestação motora (</w:t>
      </w:r>
      <w:proofErr w:type="spellStart"/>
      <w:r w:rsidRPr="00F11DFB">
        <w:rPr>
          <w:rFonts w:ascii="Arial" w:hAnsi="Arial" w:cs="Arial"/>
          <w:sz w:val="24"/>
        </w:rPr>
        <w:t>clonias</w:t>
      </w:r>
      <w:proofErr w:type="spellEnd"/>
      <w:r w:rsidRPr="00F11DFB">
        <w:rPr>
          <w:rFonts w:ascii="Arial" w:hAnsi="Arial" w:cs="Arial"/>
          <w:sz w:val="24"/>
        </w:rPr>
        <w:t>, hipertonia em extensão, hipertonia em flexão, mioclonias, espasmos), sialorreia, mordedura de língua ou liberação esfincteriana, duração da crise, sonolência pós-ictal, alteração de comportamento antes do evento.</w:t>
      </w:r>
      <w:r w:rsidR="004B3F5E" w:rsidRPr="00F11DFB">
        <w:rPr>
          <w:rFonts w:ascii="Arial" w:hAnsi="Arial" w:cs="Arial"/>
          <w:sz w:val="24"/>
        </w:rPr>
        <w:t xml:space="preserve"> </w:t>
      </w:r>
    </w:p>
    <w:p w14:paraId="701C5688" w14:textId="77777777" w:rsidR="004B3F5E" w:rsidRPr="00F11DFB" w:rsidRDefault="004B3F5E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A30A29C" w14:textId="7B1AD307" w:rsidR="004B3F5E" w:rsidRPr="00F11DFB" w:rsidRDefault="004B3F5E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Classificar o tipo de crise como de início focal (perceptivas ou </w:t>
      </w:r>
      <w:proofErr w:type="spellStart"/>
      <w:r w:rsidRPr="00F11DFB">
        <w:rPr>
          <w:rFonts w:ascii="Arial" w:hAnsi="Arial" w:cs="Arial"/>
          <w:sz w:val="24"/>
        </w:rPr>
        <w:t>disperceptivas</w:t>
      </w:r>
      <w:proofErr w:type="spellEnd"/>
      <w:r w:rsidRPr="00F11DFB">
        <w:rPr>
          <w:rFonts w:ascii="Arial" w:hAnsi="Arial" w:cs="Arial"/>
          <w:sz w:val="24"/>
        </w:rPr>
        <w:t xml:space="preserve">, de acordo com o comprometimento da </w:t>
      </w:r>
      <w:r w:rsidR="00860EB9">
        <w:rPr>
          <w:rFonts w:ascii="Arial" w:hAnsi="Arial" w:cs="Arial"/>
          <w:sz w:val="24"/>
        </w:rPr>
        <w:t>percepção</w:t>
      </w:r>
      <w:r w:rsidR="00431D95" w:rsidRPr="00F11DFB">
        <w:rPr>
          <w:rFonts w:ascii="Arial" w:hAnsi="Arial" w:cs="Arial"/>
          <w:sz w:val="24"/>
        </w:rPr>
        <w:t>)</w:t>
      </w:r>
      <w:r w:rsidRPr="00F11DFB">
        <w:rPr>
          <w:rFonts w:ascii="Arial" w:hAnsi="Arial" w:cs="Arial"/>
          <w:sz w:val="24"/>
        </w:rPr>
        <w:t>, de início generalizado (motoras ou não motoras – ausência), início desconhecido ou não classificada.</w:t>
      </w:r>
    </w:p>
    <w:p w14:paraId="06DAF040" w14:textId="77777777" w:rsidR="00D0646D" w:rsidRPr="00F11DFB" w:rsidRDefault="00D0646D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83F75DC" w14:textId="77777777" w:rsidR="00D0646D" w:rsidRPr="00F11DFB" w:rsidRDefault="00D0646D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Geralmente, não há alteração do exame físico associados à crise epiléptica em si, podendo </w:t>
      </w:r>
      <w:r w:rsidR="004F7035" w:rsidRPr="00F11DFB">
        <w:rPr>
          <w:rFonts w:ascii="Arial" w:hAnsi="Arial" w:cs="Arial"/>
          <w:sz w:val="24"/>
        </w:rPr>
        <w:t>ocorrer</w:t>
      </w:r>
      <w:r w:rsidRPr="00F11DFB">
        <w:rPr>
          <w:rFonts w:ascii="Arial" w:hAnsi="Arial" w:cs="Arial"/>
          <w:sz w:val="24"/>
        </w:rPr>
        <w:t xml:space="preserve"> paralisia de Todd – paresia ou plegia temporárias após crise focal, com resolução espontânea após algumas horas.</w:t>
      </w:r>
    </w:p>
    <w:p w14:paraId="702C5804" w14:textId="77777777" w:rsidR="004B3F5E" w:rsidRPr="00F11DFB" w:rsidRDefault="004B3F5E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BF1A7A3" w14:textId="77777777" w:rsidR="00953336" w:rsidRPr="00F11DFB" w:rsidRDefault="00D0646D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Pacientes com doenças prévias, como paralisia cerebral e outras encefalopatias crônicas, podem apresentar alteração do exame neurológico secundários à doença de base, o que aumenta consideravelmente a chance de recorrência após uma primeira crise epiléptica.</w:t>
      </w:r>
    </w:p>
    <w:p w14:paraId="30B90E3A" w14:textId="77777777" w:rsidR="00953336" w:rsidRPr="00F11DFB" w:rsidRDefault="00953336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2825CC1" w14:textId="77777777" w:rsidR="005B7C30" w:rsidRPr="00F11DFB" w:rsidRDefault="005B7C30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663A435" w14:textId="5A5C151B" w:rsidR="00D0646D" w:rsidRPr="00F11DFB" w:rsidRDefault="00F94BD3" w:rsidP="00D0646D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Exames Laboratoriais</w:t>
      </w:r>
      <w:r w:rsidR="00D0646D" w:rsidRPr="00F11DFB">
        <w:rPr>
          <w:rFonts w:ascii="Arial" w:hAnsi="Arial" w:cs="Arial"/>
          <w:sz w:val="24"/>
        </w:rPr>
        <w:t>:</w:t>
      </w:r>
      <w:r w:rsidR="00D0646D" w:rsidRPr="00F11DFB">
        <w:t xml:space="preserve"> </w:t>
      </w:r>
    </w:p>
    <w:p w14:paraId="779F569F" w14:textId="77777777" w:rsidR="00D0646D" w:rsidRPr="00F11DFB" w:rsidRDefault="00D0646D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BAB6DFB" w14:textId="68C56259" w:rsidR="005462A5" w:rsidRPr="00F11DFB" w:rsidRDefault="0041676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Exames </w:t>
      </w:r>
      <w:r w:rsidR="00F94BD3" w:rsidRPr="00F11DFB">
        <w:rPr>
          <w:rFonts w:ascii="Arial" w:hAnsi="Arial" w:cs="Arial"/>
          <w:sz w:val="24"/>
        </w:rPr>
        <w:t>gerais</w:t>
      </w:r>
      <w:r w:rsidRPr="00F11DFB">
        <w:rPr>
          <w:rFonts w:ascii="Arial" w:hAnsi="Arial" w:cs="Arial"/>
          <w:sz w:val="24"/>
        </w:rPr>
        <w:t xml:space="preserve"> a</w:t>
      </w:r>
      <w:r w:rsidR="00D0646D" w:rsidRPr="00F11DFB">
        <w:rPr>
          <w:rFonts w:ascii="Arial" w:hAnsi="Arial" w:cs="Arial"/>
          <w:sz w:val="24"/>
        </w:rPr>
        <w:t xml:space="preserve">pós primeira crise: glicemia, eletrólitos, </w:t>
      </w:r>
      <w:r w:rsidR="005462A5" w:rsidRPr="00F11DFB">
        <w:rPr>
          <w:rFonts w:ascii="Arial" w:hAnsi="Arial" w:cs="Arial"/>
          <w:sz w:val="24"/>
        </w:rPr>
        <w:t>função renal, perfil hepático</w:t>
      </w:r>
      <w:r w:rsidRPr="00F11DFB">
        <w:rPr>
          <w:rFonts w:ascii="Arial" w:hAnsi="Arial" w:cs="Arial"/>
          <w:sz w:val="24"/>
        </w:rPr>
        <w:t>;</w:t>
      </w:r>
    </w:p>
    <w:p w14:paraId="18FAF27D" w14:textId="07606AA0" w:rsidR="00416765" w:rsidRPr="00F11DFB" w:rsidRDefault="00416765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Se houver suspeita de infecção: hemograma, PCR, hemocultura, líquor (se houver sinais de hipertensão intracraniana, colher o líquor apenas após </w:t>
      </w:r>
      <w:r w:rsidR="00860EB9">
        <w:rPr>
          <w:rFonts w:ascii="Arial" w:hAnsi="Arial" w:cs="Arial"/>
          <w:sz w:val="24"/>
        </w:rPr>
        <w:t>neuro</w:t>
      </w:r>
      <w:r w:rsidRPr="00F11DFB">
        <w:rPr>
          <w:rFonts w:ascii="Arial" w:hAnsi="Arial" w:cs="Arial"/>
          <w:sz w:val="24"/>
        </w:rPr>
        <w:t>imagem);</w:t>
      </w:r>
    </w:p>
    <w:p w14:paraId="4538B8C6" w14:textId="356A3454" w:rsidR="005462A5" w:rsidRPr="00F11DFB" w:rsidRDefault="005462A5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Nível sérico de drogas antiepilépticas, se fizer uso prévio;</w:t>
      </w:r>
    </w:p>
    <w:p w14:paraId="6E3565FF" w14:textId="0DCBBC38" w:rsidR="00416765" w:rsidRPr="00F11DFB" w:rsidRDefault="00416765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Exame toxicológico, se</w:t>
      </w:r>
      <w:r w:rsidR="00F94BD3" w:rsidRPr="00F11DFB">
        <w:rPr>
          <w:rFonts w:ascii="Arial" w:hAnsi="Arial" w:cs="Arial"/>
          <w:sz w:val="24"/>
        </w:rPr>
        <w:t xml:space="preserve"> houver suspeita de intoxicação;</w:t>
      </w:r>
    </w:p>
    <w:p w14:paraId="5C006996" w14:textId="77777777" w:rsidR="00F94BD3" w:rsidRPr="00F11DFB" w:rsidRDefault="00F94BD3" w:rsidP="00F94BD3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Exames de imagem: ressonância magnética de crânio ou tomografia computadorizada de crânio com contraste;</w:t>
      </w:r>
    </w:p>
    <w:p w14:paraId="16DF9701" w14:textId="0C355E51" w:rsidR="00F94BD3" w:rsidRPr="00F11DFB" w:rsidRDefault="00F94BD3" w:rsidP="00F94BD3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Eletroencefalograma.</w:t>
      </w:r>
    </w:p>
    <w:p w14:paraId="3CF49382" w14:textId="77777777" w:rsidR="00F94BD3" w:rsidRPr="00F11DFB" w:rsidRDefault="00F94BD3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5C4EC2A" w14:textId="77777777" w:rsidR="00DC2730" w:rsidRPr="00F11DFB" w:rsidRDefault="00DC2730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2D6510B" w14:textId="77777777" w:rsidR="00416765" w:rsidRPr="00F11DFB" w:rsidRDefault="00416765" w:rsidP="0041676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Critérios de internação:</w:t>
      </w:r>
      <w:r w:rsidRPr="00F11DFB">
        <w:t xml:space="preserve"> </w:t>
      </w:r>
    </w:p>
    <w:p w14:paraId="52F00363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FCF15AD" w14:textId="4484B637" w:rsidR="00B67474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B67474" w:rsidRPr="00F11DFB">
        <w:rPr>
          <w:rFonts w:ascii="Arial" w:hAnsi="Arial" w:cs="Arial"/>
          <w:sz w:val="24"/>
        </w:rPr>
        <w:t>Rebaixamento do n</w:t>
      </w:r>
      <w:r w:rsidR="00F94BD3" w:rsidRPr="00F11DFB">
        <w:rPr>
          <w:rFonts w:ascii="Arial" w:hAnsi="Arial" w:cs="Arial"/>
          <w:sz w:val="24"/>
        </w:rPr>
        <w:t>ível de consciência</w:t>
      </w:r>
      <w:r w:rsidR="00B67474" w:rsidRPr="00F11DFB">
        <w:rPr>
          <w:rFonts w:ascii="Arial" w:hAnsi="Arial" w:cs="Arial"/>
          <w:sz w:val="24"/>
        </w:rPr>
        <w:t>;</w:t>
      </w:r>
    </w:p>
    <w:p w14:paraId="7339149E" w14:textId="23800E96" w:rsidR="00B67474" w:rsidRPr="00F11DFB" w:rsidRDefault="00B67474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Déficit neurológico após cessar crise;</w:t>
      </w:r>
    </w:p>
    <w:p w14:paraId="5CBED87C" w14:textId="600D245E" w:rsidR="00416765" w:rsidRPr="00F11DFB" w:rsidRDefault="00B67474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416765" w:rsidRPr="00F11DFB">
        <w:rPr>
          <w:rFonts w:ascii="Arial" w:hAnsi="Arial" w:cs="Arial"/>
          <w:sz w:val="24"/>
        </w:rPr>
        <w:t>Crises epilépticas refratárias;</w:t>
      </w:r>
    </w:p>
    <w:p w14:paraId="2083FFFD" w14:textId="77777777" w:rsidR="00953336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Estado de mal epiléptico.</w:t>
      </w:r>
    </w:p>
    <w:p w14:paraId="030058D1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EA4FB19" w14:textId="77777777" w:rsidR="00DC2730" w:rsidRPr="00F11DFB" w:rsidRDefault="00DC2730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F5BFD7A" w14:textId="77777777" w:rsidR="00416765" w:rsidRPr="00F11DFB" w:rsidRDefault="00416765" w:rsidP="0041676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Complicações mais frequentes:</w:t>
      </w:r>
      <w:r w:rsidRPr="00F11DFB">
        <w:t xml:space="preserve"> </w:t>
      </w:r>
    </w:p>
    <w:p w14:paraId="471809F6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0430EA5" w14:textId="2B4F2ED1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Rebaixamento do nível de consciência secundário à</w:t>
      </w:r>
      <w:r w:rsidR="005B7C30" w:rsidRPr="00F11DFB">
        <w:rPr>
          <w:rFonts w:ascii="Arial" w:hAnsi="Arial" w:cs="Arial"/>
          <w:sz w:val="24"/>
        </w:rPr>
        <w:t>s medicações</w:t>
      </w:r>
      <w:r w:rsidRPr="00F11DFB">
        <w:rPr>
          <w:rFonts w:ascii="Arial" w:hAnsi="Arial" w:cs="Arial"/>
          <w:sz w:val="24"/>
        </w:rPr>
        <w:t xml:space="preserve"> utilizada</w:t>
      </w:r>
      <w:r w:rsidR="005B7C30" w:rsidRPr="00F11DFB">
        <w:rPr>
          <w:rFonts w:ascii="Arial" w:hAnsi="Arial" w:cs="Arial"/>
          <w:sz w:val="24"/>
        </w:rPr>
        <w:t>s</w:t>
      </w:r>
      <w:r w:rsidRPr="00F11DFB">
        <w:rPr>
          <w:rFonts w:ascii="Arial" w:hAnsi="Arial" w:cs="Arial"/>
          <w:sz w:val="24"/>
        </w:rPr>
        <w:t xml:space="preserve"> para tratamento da</w:t>
      </w:r>
      <w:r w:rsidR="00F94BD3" w:rsidRPr="00F11DFB">
        <w:rPr>
          <w:rFonts w:ascii="Arial" w:hAnsi="Arial" w:cs="Arial"/>
          <w:sz w:val="24"/>
        </w:rPr>
        <w:t>s</w:t>
      </w:r>
      <w:r w:rsidRPr="00F11DFB">
        <w:rPr>
          <w:rFonts w:ascii="Arial" w:hAnsi="Arial" w:cs="Arial"/>
          <w:sz w:val="24"/>
        </w:rPr>
        <w:t xml:space="preserve"> crise</w:t>
      </w:r>
      <w:r w:rsidR="00F94BD3" w:rsidRPr="00F11DFB">
        <w:rPr>
          <w:rFonts w:ascii="Arial" w:hAnsi="Arial" w:cs="Arial"/>
          <w:sz w:val="24"/>
        </w:rPr>
        <w:t>s</w:t>
      </w:r>
      <w:r w:rsidRPr="00F11DFB">
        <w:rPr>
          <w:rFonts w:ascii="Arial" w:hAnsi="Arial" w:cs="Arial"/>
          <w:sz w:val="24"/>
        </w:rPr>
        <w:t xml:space="preserve"> epiléptica</w:t>
      </w:r>
      <w:r w:rsidR="00F94BD3" w:rsidRPr="00F11DFB">
        <w:rPr>
          <w:rFonts w:ascii="Arial" w:hAnsi="Arial" w:cs="Arial"/>
          <w:sz w:val="24"/>
        </w:rPr>
        <w:t>s</w:t>
      </w:r>
      <w:r w:rsidRPr="00F11DFB">
        <w:rPr>
          <w:rFonts w:ascii="Arial" w:hAnsi="Arial" w:cs="Arial"/>
          <w:sz w:val="24"/>
        </w:rPr>
        <w:t>;</w:t>
      </w:r>
    </w:p>
    <w:p w14:paraId="27956F1D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Crises refratárias às drogas de primeira linha;</w:t>
      </w:r>
    </w:p>
    <w:p w14:paraId="2AD47498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Reação alérgica ou idiossincrásica às medicações utilizadas (ex. ataxia, agitação, irritabilidade, insônia).</w:t>
      </w:r>
    </w:p>
    <w:p w14:paraId="3389B0E7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A41C0E1" w14:textId="77777777" w:rsidR="00DC2730" w:rsidRPr="00F11DFB" w:rsidRDefault="00DC2730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45464E9" w14:textId="77777777" w:rsidR="00416765" w:rsidRPr="00F11DFB" w:rsidRDefault="00416765" w:rsidP="0041676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Tratamento:</w:t>
      </w:r>
      <w:r w:rsidRPr="00F11DFB">
        <w:t xml:space="preserve"> </w:t>
      </w:r>
    </w:p>
    <w:p w14:paraId="74B0140F" w14:textId="77777777" w:rsidR="00BD0F37" w:rsidRPr="00F11DFB" w:rsidRDefault="00BD0F37" w:rsidP="00BD0F37">
      <w:pPr>
        <w:jc w:val="both"/>
        <w:rPr>
          <w:rFonts w:ascii="Arial" w:hAnsi="Arial" w:cs="Arial"/>
          <w:sz w:val="24"/>
        </w:rPr>
      </w:pPr>
    </w:p>
    <w:p w14:paraId="53D96DBF" w14:textId="77777777" w:rsidR="00B67474" w:rsidRPr="00F11DFB" w:rsidRDefault="00BD0F37" w:rsidP="00B67474">
      <w:pPr>
        <w:ind w:left="993" w:firstLine="11"/>
        <w:jc w:val="both"/>
      </w:pPr>
      <w:r w:rsidRPr="00F11DFB">
        <w:rPr>
          <w:rFonts w:ascii="Arial" w:hAnsi="Arial" w:cs="Arial"/>
          <w:sz w:val="24"/>
        </w:rPr>
        <w:t>Iniciar nos primeiros 5 a 10 minutos, no máximo. A demora reduz a chance de resposta e aumenta a morbidade e mortalidade.</w:t>
      </w:r>
      <w:r w:rsidR="00B67474" w:rsidRPr="00F11DFB">
        <w:t xml:space="preserve"> </w:t>
      </w:r>
    </w:p>
    <w:p w14:paraId="51265767" w14:textId="77777777" w:rsidR="00B67474" w:rsidRPr="00F11DFB" w:rsidRDefault="00B67474" w:rsidP="00B67474">
      <w:pPr>
        <w:ind w:left="993" w:firstLine="11"/>
        <w:jc w:val="both"/>
      </w:pPr>
    </w:p>
    <w:p w14:paraId="21FE865A" w14:textId="71FD06F7" w:rsidR="00BD0F37" w:rsidRPr="00F11DFB" w:rsidRDefault="00B67474" w:rsidP="00B67474">
      <w:pPr>
        <w:ind w:left="993" w:firstLine="11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A conduta inicial em uma crise prolongada ou EME inclui as medidas de suporte a vida e reanimação, apropriadas a todos os pacientes, além do uso de uma medicação com início de ação rápido, sendo os benzodiazepínicos os medicamentos de primeira linha. Entretanto, a partir de duas doses aumentam os riscos de depressão respiratória sem aumentar a </w:t>
      </w:r>
      <w:r w:rsidR="00F94BD3" w:rsidRPr="00F11DFB">
        <w:rPr>
          <w:rFonts w:ascii="Arial" w:hAnsi="Arial" w:cs="Arial"/>
          <w:sz w:val="24"/>
        </w:rPr>
        <w:t xml:space="preserve">sua </w:t>
      </w:r>
      <w:r w:rsidRPr="00F11DFB">
        <w:rPr>
          <w:rFonts w:ascii="Arial" w:hAnsi="Arial" w:cs="Arial"/>
          <w:sz w:val="24"/>
        </w:rPr>
        <w:t>eficácia.</w:t>
      </w:r>
    </w:p>
    <w:p w14:paraId="5553FD86" w14:textId="77777777" w:rsidR="005462A5" w:rsidRPr="00F11DFB" w:rsidRDefault="005462A5" w:rsidP="00B67474">
      <w:pPr>
        <w:ind w:left="993" w:firstLine="11"/>
        <w:jc w:val="both"/>
        <w:rPr>
          <w:rFonts w:ascii="Arial" w:hAnsi="Arial" w:cs="Arial"/>
          <w:sz w:val="24"/>
        </w:rPr>
      </w:pPr>
    </w:p>
    <w:p w14:paraId="66B657C2" w14:textId="77777777" w:rsidR="005B7C30" w:rsidRPr="00F11DFB" w:rsidRDefault="005B7C30" w:rsidP="00B67474">
      <w:pPr>
        <w:ind w:left="993" w:firstLine="11"/>
        <w:jc w:val="both"/>
        <w:rPr>
          <w:rFonts w:ascii="Arial" w:hAnsi="Arial" w:cs="Arial"/>
          <w:sz w:val="24"/>
        </w:rPr>
      </w:pPr>
    </w:p>
    <w:p w14:paraId="7C519AF2" w14:textId="77777777" w:rsidR="005B7C30" w:rsidRPr="00F11DFB" w:rsidRDefault="005B7C30" w:rsidP="00F94BD3">
      <w:pPr>
        <w:jc w:val="both"/>
        <w:rPr>
          <w:rFonts w:ascii="Arial" w:hAnsi="Arial" w:cs="Arial"/>
          <w:sz w:val="24"/>
        </w:rPr>
      </w:pPr>
    </w:p>
    <w:tbl>
      <w:tblPr>
        <w:tblStyle w:val="ListaClara"/>
        <w:tblW w:w="8789" w:type="dxa"/>
        <w:tblInd w:w="817" w:type="dxa"/>
        <w:tblBorders>
          <w:insideH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2417"/>
        <w:gridCol w:w="6372"/>
      </w:tblGrid>
      <w:tr w:rsidR="005B7C30" w:rsidRPr="00F11DFB" w14:paraId="5F91C981" w14:textId="77777777" w:rsidTr="00F94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417" w:type="dxa"/>
            <w:vAlign w:val="center"/>
            <w:hideMark/>
          </w:tcPr>
          <w:p w14:paraId="093DF7D4" w14:textId="77777777" w:rsidR="005B7C30" w:rsidRPr="00F11DFB" w:rsidRDefault="005B7C30" w:rsidP="00F94BD3">
            <w:pPr>
              <w:pStyle w:val="PargrafodaLista"/>
              <w:ind w:left="993" w:right="567" w:hanging="250"/>
              <w:jc w:val="center"/>
              <w:rPr>
                <w:rFonts w:ascii="Arial" w:hAnsi="Arial" w:cs="Arial"/>
                <w:b w:val="0"/>
                <w:sz w:val="24"/>
              </w:rPr>
            </w:pPr>
            <w:r w:rsidRPr="00F11DFB">
              <w:rPr>
                <w:rFonts w:ascii="Arial" w:hAnsi="Arial" w:cs="Arial"/>
                <w:b w:val="0"/>
                <w:sz w:val="24"/>
              </w:rPr>
              <w:t>TEMPO</w:t>
            </w:r>
          </w:p>
        </w:tc>
        <w:tc>
          <w:tcPr>
            <w:tcW w:w="6372" w:type="dxa"/>
            <w:vAlign w:val="center"/>
            <w:hideMark/>
          </w:tcPr>
          <w:p w14:paraId="29593D4F" w14:textId="77777777" w:rsidR="005B7C30" w:rsidRPr="00F11DFB" w:rsidRDefault="005B7C30" w:rsidP="00F94BD3">
            <w:pPr>
              <w:pStyle w:val="PargrafodaLista"/>
              <w:ind w:left="-499"/>
              <w:jc w:val="center"/>
              <w:rPr>
                <w:rFonts w:ascii="Arial" w:hAnsi="Arial" w:cs="Arial"/>
                <w:b w:val="0"/>
                <w:sz w:val="24"/>
              </w:rPr>
            </w:pPr>
            <w:r w:rsidRPr="00F11DFB">
              <w:rPr>
                <w:rFonts w:ascii="Arial" w:hAnsi="Arial" w:cs="Arial"/>
                <w:b w:val="0"/>
                <w:sz w:val="24"/>
              </w:rPr>
              <w:t>TRATAMENTO</w:t>
            </w:r>
          </w:p>
        </w:tc>
      </w:tr>
      <w:tr w:rsidR="005B7C30" w:rsidRPr="00F11DFB" w14:paraId="598EE58D" w14:textId="77777777" w:rsidTr="005B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8" w:space="0" w:color="000000" w:themeColor="text1"/>
            </w:tcBorders>
            <w:vAlign w:val="center"/>
            <w:hideMark/>
          </w:tcPr>
          <w:p w14:paraId="1F9776D0" w14:textId="77777777" w:rsidR="005B7C30" w:rsidRPr="00F11DFB" w:rsidRDefault="005B7C30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>5-20 min</w:t>
            </w:r>
          </w:p>
          <w:p w14:paraId="76EC307A" w14:textId="10B5D22C" w:rsidR="009B7206" w:rsidRPr="00F11DFB" w:rsidRDefault="009B7206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  <w:b/>
              </w:rPr>
            </w:pPr>
            <w:r w:rsidRPr="00F11DFB">
              <w:rPr>
                <w:rFonts w:ascii="Arial" w:hAnsi="Arial" w:cs="Arial"/>
                <w:b/>
              </w:rPr>
              <w:t>TERAPIA INICAL</w:t>
            </w:r>
          </w:p>
        </w:tc>
        <w:tc>
          <w:tcPr>
            <w:tcW w:w="6372" w:type="dxa"/>
            <w:tcBorders>
              <w:top w:val="none" w:sz="0" w:space="0" w:color="auto"/>
              <w:left w:val="single" w:sz="8" w:space="0" w:color="000000" w:themeColor="text1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0CB79F" w14:textId="77777777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>ABC do Suporte de Vida</w:t>
            </w:r>
          </w:p>
          <w:p w14:paraId="28ED3FFB" w14:textId="77777777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</w:p>
          <w:p w14:paraId="30BC4545" w14:textId="1C40CFD4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 xml:space="preserve">Glicemia capilar, acesso venoso, </w:t>
            </w:r>
            <w:r w:rsidR="00860EB9">
              <w:rPr>
                <w:rFonts w:ascii="Arial" w:hAnsi="Arial" w:cs="Arial"/>
              </w:rPr>
              <w:t>exames laboratoriais</w:t>
            </w:r>
            <w:r w:rsidR="00DC2730" w:rsidRPr="00F11DFB">
              <w:rPr>
                <w:rFonts w:ascii="Arial" w:hAnsi="Arial" w:cs="Arial"/>
              </w:rPr>
              <w:t xml:space="preserve"> (</w:t>
            </w:r>
            <w:r w:rsidRPr="00F11DFB">
              <w:rPr>
                <w:rFonts w:ascii="Arial" w:hAnsi="Arial" w:cs="Arial"/>
              </w:rPr>
              <w:t xml:space="preserve">checar distúrbios metabólicos, infecções, função </w:t>
            </w:r>
            <w:r w:rsidR="00860EB9" w:rsidRPr="00F11DFB">
              <w:rPr>
                <w:rFonts w:ascii="Arial" w:hAnsi="Arial" w:cs="Arial"/>
              </w:rPr>
              <w:t>hepática</w:t>
            </w:r>
            <w:r w:rsidRPr="00F11DFB">
              <w:rPr>
                <w:rFonts w:ascii="Arial" w:hAnsi="Arial" w:cs="Arial"/>
              </w:rPr>
              <w:t xml:space="preserve"> / renal, nível sérico de drogas, intoxicação</w:t>
            </w:r>
            <w:r w:rsidR="00DC2730" w:rsidRPr="00F11DFB">
              <w:rPr>
                <w:rFonts w:ascii="Arial" w:hAnsi="Arial" w:cs="Arial"/>
              </w:rPr>
              <w:t>)</w:t>
            </w:r>
            <w:r w:rsidRPr="00F11DFB">
              <w:rPr>
                <w:rFonts w:ascii="Arial" w:hAnsi="Arial" w:cs="Arial"/>
              </w:rPr>
              <w:t>, história clínica.</w:t>
            </w:r>
          </w:p>
          <w:p w14:paraId="41BA2DAD" w14:textId="77777777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</w:p>
          <w:p w14:paraId="1E7715E0" w14:textId="2D560760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 xml:space="preserve">Diazepam 0,2-0,3mg/kg EV em </w:t>
            </w:r>
            <w:proofErr w:type="spellStart"/>
            <w:r w:rsidRPr="00F11DFB">
              <w:rPr>
                <w:rFonts w:ascii="Arial" w:hAnsi="Arial" w:cs="Arial"/>
              </w:rPr>
              <w:t>bolus</w:t>
            </w:r>
            <w:proofErr w:type="spellEnd"/>
            <w:r w:rsidRPr="00F11DFB">
              <w:rPr>
                <w:rFonts w:ascii="Arial" w:hAnsi="Arial" w:cs="Arial"/>
              </w:rPr>
              <w:t xml:space="preserve"> (ou 0,3mg/kg retal) ou </w:t>
            </w:r>
            <w:proofErr w:type="spellStart"/>
            <w:r w:rsidRPr="00F11DFB">
              <w:rPr>
                <w:rFonts w:ascii="Arial" w:hAnsi="Arial" w:cs="Arial"/>
              </w:rPr>
              <w:t>Midazolam</w:t>
            </w:r>
            <w:proofErr w:type="spellEnd"/>
            <w:r w:rsidRPr="00F11DFB">
              <w:rPr>
                <w:rFonts w:ascii="Arial" w:hAnsi="Arial" w:cs="Arial"/>
              </w:rPr>
              <w:t xml:space="preserve"> 0,15mg/kg EV</w:t>
            </w:r>
            <w:r w:rsidR="00DC2730" w:rsidRPr="00F11DFB">
              <w:rPr>
                <w:rFonts w:ascii="Arial" w:hAnsi="Arial" w:cs="Arial"/>
              </w:rPr>
              <w:t>, IM, nasal ou bucal</w:t>
            </w:r>
            <w:r w:rsidRPr="00F11DFB">
              <w:rPr>
                <w:rFonts w:ascii="Arial" w:hAnsi="Arial" w:cs="Arial"/>
              </w:rPr>
              <w:t>, repetindo a cada 5 minutos, até máximo de 3 doses.</w:t>
            </w:r>
          </w:p>
        </w:tc>
      </w:tr>
      <w:tr w:rsidR="005B7C30" w:rsidRPr="00F11DFB" w14:paraId="5706C80C" w14:textId="77777777" w:rsidTr="005B7C30">
        <w:trPr>
          <w:trHeight w:val="584"/>
        </w:trPr>
        <w:tc>
          <w:tcPr>
            <w:tcW w:w="2417" w:type="dxa"/>
            <w:tcBorders>
              <w:right w:val="single" w:sz="8" w:space="0" w:color="000000" w:themeColor="text1"/>
            </w:tcBorders>
            <w:vAlign w:val="center"/>
            <w:hideMark/>
          </w:tcPr>
          <w:p w14:paraId="2A4C95D6" w14:textId="77777777" w:rsidR="005B7C30" w:rsidRPr="00F11DFB" w:rsidRDefault="005B7C30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>20-40 min</w:t>
            </w:r>
          </w:p>
          <w:p w14:paraId="5A092E62" w14:textId="571D00E4" w:rsidR="009B7206" w:rsidRPr="00F11DFB" w:rsidRDefault="009B7206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  <w:b/>
              </w:rPr>
            </w:pPr>
            <w:r w:rsidRPr="00F11DFB">
              <w:rPr>
                <w:rFonts w:ascii="Arial" w:hAnsi="Arial" w:cs="Arial"/>
                <w:b/>
              </w:rPr>
              <w:t>SEGUNDA FASE</w:t>
            </w:r>
          </w:p>
        </w:tc>
        <w:tc>
          <w:tcPr>
            <w:tcW w:w="6372" w:type="dxa"/>
            <w:tcBorders>
              <w:left w:val="single" w:sz="8" w:space="0" w:color="000000" w:themeColor="text1"/>
            </w:tcBorders>
            <w:vAlign w:val="center"/>
            <w:hideMark/>
          </w:tcPr>
          <w:p w14:paraId="2D454F7A" w14:textId="50670EC9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  <w:proofErr w:type="spellStart"/>
            <w:r w:rsidRPr="00F11DFB">
              <w:rPr>
                <w:rFonts w:ascii="Arial" w:hAnsi="Arial" w:cs="Arial"/>
              </w:rPr>
              <w:t>Fenitoína</w:t>
            </w:r>
            <w:proofErr w:type="spellEnd"/>
            <w:r w:rsidRPr="00F11DFB">
              <w:rPr>
                <w:rFonts w:ascii="Arial" w:hAnsi="Arial" w:cs="Arial"/>
              </w:rPr>
              <w:t xml:space="preserve"> – ataque de 15-20mg/kg, doses adicionais de 5</w:t>
            </w:r>
            <w:r w:rsidR="00DC2730" w:rsidRPr="00F11DFB">
              <w:rPr>
                <w:rFonts w:ascii="Arial" w:hAnsi="Arial" w:cs="Arial"/>
              </w:rPr>
              <w:t>-10</w:t>
            </w:r>
            <w:r w:rsidRPr="00F11DFB">
              <w:rPr>
                <w:rFonts w:ascii="Arial" w:hAnsi="Arial" w:cs="Arial"/>
              </w:rPr>
              <w:t>mg/kg, até máximo de 30mg/kg. Aguardar 20 minutos.</w:t>
            </w:r>
          </w:p>
        </w:tc>
      </w:tr>
      <w:tr w:rsidR="005B7C30" w:rsidRPr="00F11DFB" w14:paraId="3B7799EB" w14:textId="77777777" w:rsidTr="005B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8" w:space="0" w:color="000000" w:themeColor="text1"/>
            </w:tcBorders>
            <w:vAlign w:val="center"/>
            <w:hideMark/>
          </w:tcPr>
          <w:p w14:paraId="13E102E2" w14:textId="77777777" w:rsidR="005B7C30" w:rsidRPr="00F11DFB" w:rsidRDefault="005B7C30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>40-60 min</w:t>
            </w:r>
          </w:p>
          <w:p w14:paraId="3A354E33" w14:textId="0CA63AB4" w:rsidR="009B7206" w:rsidRPr="00F11DFB" w:rsidRDefault="009B7206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  <w:b/>
              </w:rPr>
            </w:pPr>
            <w:r w:rsidRPr="00F11DFB">
              <w:rPr>
                <w:rFonts w:ascii="Arial" w:hAnsi="Arial" w:cs="Arial"/>
                <w:b/>
              </w:rPr>
              <w:t>TERCEIRA FASE</w:t>
            </w:r>
          </w:p>
        </w:tc>
        <w:tc>
          <w:tcPr>
            <w:tcW w:w="6372" w:type="dxa"/>
            <w:tcBorders>
              <w:top w:val="none" w:sz="0" w:space="0" w:color="auto"/>
              <w:left w:val="single" w:sz="8" w:space="0" w:color="000000" w:themeColor="text1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05CC33" w14:textId="77777777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>Fenobarbital – ataque de 10-20mg/kg, doses adicionais de 5-10mg/kg, até máximo de 40mg/kg. Aguardar 20 minutos.</w:t>
            </w:r>
          </w:p>
        </w:tc>
      </w:tr>
      <w:tr w:rsidR="005B7C30" w:rsidRPr="00F11DFB" w14:paraId="7FCCCE4A" w14:textId="77777777" w:rsidTr="005B7C30">
        <w:trPr>
          <w:trHeight w:val="584"/>
        </w:trPr>
        <w:tc>
          <w:tcPr>
            <w:tcW w:w="2417" w:type="dxa"/>
            <w:tcBorders>
              <w:right w:val="single" w:sz="8" w:space="0" w:color="000000" w:themeColor="text1"/>
            </w:tcBorders>
            <w:vAlign w:val="center"/>
            <w:hideMark/>
          </w:tcPr>
          <w:p w14:paraId="6026D09F" w14:textId="77777777" w:rsidR="005B7C30" w:rsidRPr="00F11DFB" w:rsidRDefault="005B7C30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</w:rPr>
            </w:pPr>
            <w:r w:rsidRPr="00F11DFB">
              <w:rPr>
                <w:rFonts w:ascii="Arial" w:hAnsi="Arial" w:cs="Arial"/>
              </w:rPr>
              <w:t>&gt; 60 min</w:t>
            </w:r>
          </w:p>
          <w:p w14:paraId="76589A98" w14:textId="74F5A15A" w:rsidR="009B7206" w:rsidRPr="00F11DFB" w:rsidRDefault="009B7206" w:rsidP="005B7C30">
            <w:pPr>
              <w:pStyle w:val="PargrafodaLista"/>
              <w:ind w:left="176" w:hanging="250"/>
              <w:jc w:val="center"/>
              <w:rPr>
                <w:rFonts w:ascii="Arial" w:hAnsi="Arial" w:cs="Arial"/>
                <w:b/>
              </w:rPr>
            </w:pPr>
            <w:r w:rsidRPr="00F11DFB">
              <w:rPr>
                <w:rFonts w:ascii="Arial" w:hAnsi="Arial" w:cs="Arial"/>
                <w:b/>
              </w:rPr>
              <w:t>EME REFRATÁRIO</w:t>
            </w:r>
          </w:p>
        </w:tc>
        <w:tc>
          <w:tcPr>
            <w:tcW w:w="6372" w:type="dxa"/>
            <w:tcBorders>
              <w:left w:val="single" w:sz="8" w:space="0" w:color="000000" w:themeColor="text1"/>
            </w:tcBorders>
            <w:vAlign w:val="center"/>
            <w:hideMark/>
          </w:tcPr>
          <w:p w14:paraId="402FAB56" w14:textId="61858AFC" w:rsidR="005B7C30" w:rsidRPr="00F11DFB" w:rsidRDefault="005B7C30" w:rsidP="005B7C30">
            <w:pPr>
              <w:jc w:val="both"/>
              <w:rPr>
                <w:rFonts w:ascii="Arial" w:hAnsi="Arial" w:cs="Arial"/>
              </w:rPr>
            </w:pPr>
            <w:proofErr w:type="spellStart"/>
            <w:r w:rsidRPr="00F11DFB">
              <w:rPr>
                <w:rFonts w:ascii="Arial" w:hAnsi="Arial" w:cs="Arial"/>
              </w:rPr>
              <w:t>Midazolam</w:t>
            </w:r>
            <w:proofErr w:type="spellEnd"/>
            <w:r w:rsidRPr="00F11DFB">
              <w:rPr>
                <w:rFonts w:ascii="Arial" w:hAnsi="Arial" w:cs="Arial"/>
              </w:rPr>
              <w:t xml:space="preserve">: </w:t>
            </w:r>
            <w:proofErr w:type="spellStart"/>
            <w:r w:rsidRPr="00F11DFB">
              <w:rPr>
                <w:rFonts w:ascii="Arial" w:hAnsi="Arial" w:cs="Arial"/>
              </w:rPr>
              <w:t>bolus</w:t>
            </w:r>
            <w:proofErr w:type="spellEnd"/>
            <w:r w:rsidRPr="00F11DFB">
              <w:rPr>
                <w:rFonts w:ascii="Arial" w:hAnsi="Arial" w:cs="Arial"/>
              </w:rPr>
              <w:t xml:space="preserve"> de 0,15mg/kg e manutenção de 0,05-2mg/kg/hora (</w:t>
            </w:r>
            <w:r w:rsidR="00DC2730" w:rsidRPr="00F11DFB">
              <w:rPr>
                <w:rFonts w:ascii="Arial" w:hAnsi="Arial" w:cs="Arial"/>
              </w:rPr>
              <w:t>ajustar 0,05-0,1 mg/kg/hora</w:t>
            </w:r>
            <w:r w:rsidRPr="00F11DFB">
              <w:rPr>
                <w:rFonts w:ascii="Arial" w:hAnsi="Arial" w:cs="Arial"/>
              </w:rPr>
              <w:t xml:space="preserve"> cada </w:t>
            </w:r>
            <w:r w:rsidR="00DC2730" w:rsidRPr="00F11DFB">
              <w:rPr>
                <w:rFonts w:ascii="Arial" w:hAnsi="Arial" w:cs="Arial"/>
              </w:rPr>
              <w:t>1</w:t>
            </w:r>
            <w:r w:rsidRPr="00F11DFB">
              <w:rPr>
                <w:rFonts w:ascii="Arial" w:hAnsi="Arial" w:cs="Arial"/>
              </w:rPr>
              <w:t xml:space="preserve">5 minutos) </w:t>
            </w:r>
          </w:p>
        </w:tc>
      </w:tr>
      <w:tr w:rsidR="005B7C30" w:rsidRPr="00F11DFB" w14:paraId="4637BEA1" w14:textId="77777777" w:rsidTr="005B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878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12FB18" w14:textId="2C8A4E57" w:rsidR="005B7C30" w:rsidRPr="00F11DFB" w:rsidRDefault="009B7206" w:rsidP="005B7C30">
            <w:pPr>
              <w:jc w:val="center"/>
              <w:rPr>
                <w:rFonts w:ascii="Arial" w:hAnsi="Arial" w:cs="Arial"/>
                <w:b/>
              </w:rPr>
            </w:pPr>
            <w:r w:rsidRPr="00F11DFB">
              <w:rPr>
                <w:rFonts w:ascii="Arial" w:hAnsi="Arial" w:cs="Arial"/>
                <w:b/>
              </w:rPr>
              <w:t>OUTRAS DROGAS</w:t>
            </w:r>
          </w:p>
        </w:tc>
      </w:tr>
    </w:tbl>
    <w:p w14:paraId="61B21E36" w14:textId="77777777" w:rsidR="005B7C30" w:rsidRPr="00F11DFB" w:rsidRDefault="005B7C30" w:rsidP="00B67474">
      <w:pPr>
        <w:ind w:left="993" w:firstLine="11"/>
        <w:jc w:val="both"/>
        <w:rPr>
          <w:rFonts w:ascii="Arial" w:hAnsi="Arial" w:cs="Arial"/>
          <w:sz w:val="24"/>
        </w:rPr>
      </w:pPr>
    </w:p>
    <w:p w14:paraId="764813F4" w14:textId="77777777" w:rsidR="005B7C30" w:rsidRPr="00F11DFB" w:rsidRDefault="005B7C30" w:rsidP="00B67474">
      <w:pPr>
        <w:ind w:left="993" w:firstLine="11"/>
        <w:jc w:val="both"/>
        <w:rPr>
          <w:rFonts w:ascii="Arial" w:hAnsi="Arial" w:cs="Arial"/>
          <w:sz w:val="24"/>
        </w:rPr>
      </w:pPr>
    </w:p>
    <w:p w14:paraId="1C1D66E4" w14:textId="1075E84A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1ª escolha: Diazepam 0,2-0,3 mg/kg/dose EV em </w:t>
      </w:r>
      <w:proofErr w:type="spellStart"/>
      <w:r w:rsidRPr="00F11DFB">
        <w:rPr>
          <w:rFonts w:ascii="Arial" w:hAnsi="Arial" w:cs="Arial"/>
          <w:sz w:val="24"/>
        </w:rPr>
        <w:t>bolus</w:t>
      </w:r>
      <w:proofErr w:type="spellEnd"/>
      <w:r w:rsidRPr="00F11DFB">
        <w:rPr>
          <w:rFonts w:ascii="Arial" w:hAnsi="Arial" w:cs="Arial"/>
          <w:sz w:val="24"/>
        </w:rPr>
        <w:t>, se acesso venoso, ou 0,3 mg/kg/dose retal (máximo 10mg/do</w:t>
      </w:r>
      <w:r w:rsidR="005B7C30" w:rsidRPr="00F11DFB">
        <w:rPr>
          <w:rFonts w:ascii="Arial" w:hAnsi="Arial" w:cs="Arial"/>
          <w:sz w:val="24"/>
        </w:rPr>
        <w:t>se). Repetir as doses a cada</w:t>
      </w:r>
      <w:r w:rsidRPr="00F11DFB">
        <w:rPr>
          <w:rFonts w:ascii="Arial" w:hAnsi="Arial" w:cs="Arial"/>
          <w:sz w:val="24"/>
        </w:rPr>
        <w:t xml:space="preserve"> 5 minutos, máximo de 3 doses.</w:t>
      </w:r>
    </w:p>
    <w:p w14:paraId="2F00E75C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Riscos: hipotensão e depressão respiratória. </w:t>
      </w:r>
    </w:p>
    <w:p w14:paraId="50B8868B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Antídoto: </w:t>
      </w:r>
      <w:proofErr w:type="spellStart"/>
      <w:r w:rsidRPr="00F11DFB">
        <w:rPr>
          <w:rFonts w:ascii="Arial" w:hAnsi="Arial" w:cs="Arial"/>
          <w:sz w:val="24"/>
        </w:rPr>
        <w:t>Flumazenil</w:t>
      </w:r>
      <w:proofErr w:type="spellEnd"/>
      <w:r w:rsidRPr="00F11DFB">
        <w:rPr>
          <w:rFonts w:ascii="Arial" w:hAnsi="Arial" w:cs="Arial"/>
          <w:sz w:val="24"/>
        </w:rPr>
        <w:t xml:space="preserve">, dose de 0,2 mg/kg intravenoso. </w:t>
      </w:r>
    </w:p>
    <w:p w14:paraId="520E5F55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**A diluição do Diazepam não é recomendada, pois ele precipita e tem a sua eficácia diminuída.</w:t>
      </w:r>
    </w:p>
    <w:p w14:paraId="0C6C1BBF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A711607" w14:textId="73652A21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2ª escol</w:t>
      </w:r>
      <w:r w:rsidR="00311951" w:rsidRPr="00F11DFB">
        <w:rPr>
          <w:rFonts w:ascii="Arial" w:hAnsi="Arial" w:cs="Arial"/>
          <w:sz w:val="24"/>
        </w:rPr>
        <w:t>h</w:t>
      </w:r>
      <w:r w:rsidRPr="00F11DFB">
        <w:rPr>
          <w:rFonts w:ascii="Arial" w:hAnsi="Arial" w:cs="Arial"/>
          <w:sz w:val="24"/>
        </w:rPr>
        <w:t xml:space="preserve">a: </w:t>
      </w:r>
      <w:proofErr w:type="spellStart"/>
      <w:r w:rsidRPr="00F11DFB">
        <w:rPr>
          <w:rFonts w:ascii="Arial" w:hAnsi="Arial" w:cs="Arial"/>
          <w:sz w:val="24"/>
        </w:rPr>
        <w:t>Midazolam</w:t>
      </w:r>
      <w:proofErr w:type="spellEnd"/>
      <w:r w:rsidRPr="00F11DFB">
        <w:rPr>
          <w:rFonts w:ascii="Arial" w:hAnsi="Arial" w:cs="Arial"/>
          <w:sz w:val="24"/>
        </w:rPr>
        <w:t xml:space="preserve"> 0,1-0,2 mg/kg/dose EV em </w:t>
      </w:r>
      <w:proofErr w:type="spellStart"/>
      <w:r w:rsidRPr="00F11DFB">
        <w:rPr>
          <w:rFonts w:ascii="Arial" w:hAnsi="Arial" w:cs="Arial"/>
          <w:sz w:val="24"/>
        </w:rPr>
        <w:t>bolus</w:t>
      </w:r>
      <w:proofErr w:type="spellEnd"/>
      <w:r w:rsidRPr="00F11DFB">
        <w:rPr>
          <w:rFonts w:ascii="Arial" w:hAnsi="Arial" w:cs="Arial"/>
          <w:sz w:val="24"/>
        </w:rPr>
        <w:t xml:space="preserve">, se acesso venoso, ou 0,3 mg/kg/dose nasal, IM, retal ou bucal. Vias alternativas mais eficientes que o </w:t>
      </w:r>
      <w:proofErr w:type="spellStart"/>
      <w:r w:rsidRPr="00F11DFB">
        <w:rPr>
          <w:rFonts w:ascii="Arial" w:hAnsi="Arial" w:cs="Arial"/>
          <w:sz w:val="24"/>
        </w:rPr>
        <w:t>diazepam</w:t>
      </w:r>
      <w:proofErr w:type="spellEnd"/>
      <w:r w:rsidRPr="00F11DFB">
        <w:rPr>
          <w:rFonts w:ascii="Arial" w:hAnsi="Arial" w:cs="Arial"/>
          <w:sz w:val="24"/>
        </w:rPr>
        <w:t xml:space="preserve"> retal. Velocidade máxima de infusão: 4 mg/min.</w:t>
      </w:r>
    </w:p>
    <w:p w14:paraId="4F66C164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415F1AB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&gt;&gt; Associar outra medicação se: crises persistirem após a segunda dose do benzodiazepínico, crises recorrentes (2 ou mais) ou crises prolongadas.</w:t>
      </w:r>
    </w:p>
    <w:p w14:paraId="48E50CE1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62BF2D3" w14:textId="77777777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1ª escolha: </w:t>
      </w:r>
      <w:proofErr w:type="spellStart"/>
      <w:r w:rsidRPr="00F11DFB">
        <w:rPr>
          <w:rFonts w:ascii="Arial" w:hAnsi="Arial" w:cs="Arial"/>
          <w:sz w:val="24"/>
        </w:rPr>
        <w:t>Fenitoína</w:t>
      </w:r>
      <w:proofErr w:type="spellEnd"/>
      <w:r w:rsidRPr="00F11DFB">
        <w:rPr>
          <w:rFonts w:ascii="Arial" w:hAnsi="Arial" w:cs="Arial"/>
          <w:sz w:val="24"/>
        </w:rPr>
        <w:t xml:space="preserve">, ataque de 15-20 mg/kg EV (máximo 1.000 mg), infundir em 20-30 minutos (velocidade máxima de 1mg/kg/min). </w:t>
      </w:r>
      <w:r w:rsidRPr="00F11DFB">
        <w:rPr>
          <w:rFonts w:ascii="Arial" w:hAnsi="Arial" w:cs="Arial"/>
          <w:sz w:val="24"/>
          <w:u w:val="single"/>
        </w:rPr>
        <w:t>Não diluir em soro glicosado</w:t>
      </w:r>
      <w:r w:rsidRPr="00F11DFB">
        <w:rPr>
          <w:rFonts w:ascii="Arial" w:hAnsi="Arial" w:cs="Arial"/>
          <w:sz w:val="24"/>
        </w:rPr>
        <w:t xml:space="preserve"> e lavar o equipo antes e depois da infusão. </w:t>
      </w:r>
    </w:p>
    <w:p w14:paraId="2F0F4F63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Se não houver resposta após 20 minutos, fazer doses adicionais de 5-10mg/kg, até máximo de 30mg/kg. </w:t>
      </w:r>
    </w:p>
    <w:p w14:paraId="79654E6C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Seu início de ação pode demorar até 40 minutos, podendo ser necessário outra dose de benzodiazepínico antes do início do seu efeito.</w:t>
      </w:r>
    </w:p>
    <w:p w14:paraId="3E7E6DAF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Manutenção: 5-7 mg/kg/dia de 12/12 horas – iniciar 12 horas após ataque.</w:t>
      </w:r>
    </w:p>
    <w:p w14:paraId="1342B482" w14:textId="17475D56" w:rsidR="005462A5" w:rsidRPr="00F11DFB" w:rsidRDefault="005462A5" w:rsidP="00535FCD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Riscos: tromboflebite</w:t>
      </w:r>
      <w:r w:rsidR="00535FCD" w:rsidRPr="00F11DFB">
        <w:rPr>
          <w:rFonts w:ascii="Arial" w:hAnsi="Arial" w:cs="Arial"/>
          <w:sz w:val="24"/>
        </w:rPr>
        <w:t xml:space="preserve">, </w:t>
      </w:r>
      <w:r w:rsidRPr="00F11DFB">
        <w:rPr>
          <w:rFonts w:ascii="Arial" w:hAnsi="Arial" w:cs="Arial"/>
          <w:sz w:val="24"/>
        </w:rPr>
        <w:t>hipotensão arterial</w:t>
      </w:r>
      <w:r w:rsidR="00535FCD" w:rsidRPr="00F11DFB">
        <w:rPr>
          <w:rFonts w:ascii="Arial" w:hAnsi="Arial" w:cs="Arial"/>
          <w:sz w:val="24"/>
        </w:rPr>
        <w:t>,</w:t>
      </w:r>
      <w:r w:rsidR="00535FCD" w:rsidRPr="00F11DFB">
        <w:t xml:space="preserve"> </w:t>
      </w:r>
      <w:r w:rsidR="00535FCD" w:rsidRPr="00F11DFB">
        <w:rPr>
          <w:rFonts w:ascii="Arial" w:hAnsi="Arial" w:cs="Arial"/>
          <w:sz w:val="24"/>
        </w:rPr>
        <w:t>alterações do ritmo cardíaco (prolongamento do intervalo QT, bradicardia, assistolia), ataxia, nistagmo e necrose tecidual se houver extravasamento subcutâneo.</w:t>
      </w:r>
    </w:p>
    <w:p w14:paraId="0113A237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** Não usar em crises </w:t>
      </w:r>
      <w:proofErr w:type="spellStart"/>
      <w:r w:rsidRPr="00F11DFB">
        <w:rPr>
          <w:rFonts w:ascii="Arial" w:hAnsi="Arial" w:cs="Arial"/>
          <w:sz w:val="24"/>
        </w:rPr>
        <w:t>mioclônicas</w:t>
      </w:r>
      <w:proofErr w:type="spellEnd"/>
      <w:r w:rsidRPr="00F11DFB">
        <w:rPr>
          <w:rFonts w:ascii="Arial" w:hAnsi="Arial" w:cs="Arial"/>
          <w:sz w:val="24"/>
        </w:rPr>
        <w:t xml:space="preserve"> ou de ausência.  </w:t>
      </w:r>
    </w:p>
    <w:p w14:paraId="6942DA4A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7D46112" w14:textId="77777777" w:rsidR="00535FCD" w:rsidRPr="00F11DFB" w:rsidRDefault="00535FCD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99CA531" w14:textId="77777777" w:rsidR="00535FCD" w:rsidRPr="00F11DFB" w:rsidRDefault="00535FCD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4BD3F92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&gt;&gt; Se as crises persistirem:</w:t>
      </w:r>
    </w:p>
    <w:p w14:paraId="2B3C9E8E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F9B713F" w14:textId="77777777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2ª escolha: Fenobarbital, ataque de 10-20mg/kg EV (máximo 1.000 mg), lento (infundir em 5 minutos). Vias oral e intramuscular não devem ser usadas. Se não houver resposta após 30 minutos, fazer doses adicionais de 5-10mg/kg, até máximo de 40mg/kg. </w:t>
      </w:r>
    </w:p>
    <w:p w14:paraId="1954588D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Manutenção: 3-5 mg/kg/dia de 24/24 horas – iniciar 24 horas após ataque.</w:t>
      </w:r>
    </w:p>
    <w:p w14:paraId="53D5EAD2" w14:textId="53E12732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Riscos: </w:t>
      </w:r>
      <w:r w:rsidR="00535FCD" w:rsidRPr="00F11DFB">
        <w:rPr>
          <w:rFonts w:ascii="Arial" w:hAnsi="Arial" w:cs="Arial"/>
          <w:sz w:val="24"/>
        </w:rPr>
        <w:t xml:space="preserve">sedação, </w:t>
      </w:r>
      <w:r w:rsidRPr="00F11DFB">
        <w:rPr>
          <w:rFonts w:ascii="Arial" w:hAnsi="Arial" w:cs="Arial"/>
          <w:sz w:val="24"/>
        </w:rPr>
        <w:t>hipotensão e depressão respiratória, principalmente quando feito uso anterior de benzodiazepínicos.</w:t>
      </w:r>
    </w:p>
    <w:p w14:paraId="509E4CB6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3F1B476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&gt;&gt; Estado de mal epiléptico refratário – quando as crises não respondem às medicações acima.</w:t>
      </w:r>
    </w:p>
    <w:p w14:paraId="4AA5049C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7AEA42C" w14:textId="0446EF2C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1ª opção: </w:t>
      </w:r>
      <w:proofErr w:type="spellStart"/>
      <w:r w:rsidRPr="00F11DFB">
        <w:rPr>
          <w:rFonts w:ascii="Arial" w:hAnsi="Arial" w:cs="Arial"/>
          <w:sz w:val="24"/>
        </w:rPr>
        <w:t>Midazolam</w:t>
      </w:r>
      <w:proofErr w:type="spellEnd"/>
      <w:r w:rsidRPr="00F11DFB">
        <w:rPr>
          <w:rFonts w:ascii="Arial" w:hAnsi="Arial" w:cs="Arial"/>
          <w:sz w:val="24"/>
        </w:rPr>
        <w:t xml:space="preserve"> 0,1-0,3mg/kg EV em </w:t>
      </w:r>
      <w:proofErr w:type="spellStart"/>
      <w:r w:rsidRPr="00F11DFB">
        <w:rPr>
          <w:rFonts w:ascii="Arial" w:hAnsi="Arial" w:cs="Arial"/>
          <w:sz w:val="24"/>
        </w:rPr>
        <w:t>bolus</w:t>
      </w:r>
      <w:proofErr w:type="spellEnd"/>
      <w:r w:rsidRPr="00F11DFB">
        <w:rPr>
          <w:rFonts w:ascii="Arial" w:hAnsi="Arial" w:cs="Arial"/>
          <w:sz w:val="24"/>
        </w:rPr>
        <w:t xml:space="preserve"> e após contínuo de 0,05-2mg/kg/hora. Aumentar infusão em 0,05-0,1 mg/kg/h</w:t>
      </w:r>
      <w:r w:rsidR="00DC2730" w:rsidRPr="00F11DFB">
        <w:rPr>
          <w:rFonts w:ascii="Arial" w:hAnsi="Arial" w:cs="Arial"/>
          <w:sz w:val="24"/>
        </w:rPr>
        <w:t>ora</w:t>
      </w:r>
      <w:r w:rsidRPr="00F11DFB">
        <w:rPr>
          <w:rFonts w:ascii="Arial" w:hAnsi="Arial" w:cs="Arial"/>
          <w:sz w:val="24"/>
        </w:rPr>
        <w:t xml:space="preserve"> a cada 15 minutos, dose máxima de 1 g/kg/h. </w:t>
      </w:r>
    </w:p>
    <w:p w14:paraId="41DCFB1C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Pacientes em indução anestésica devem ser intubados, ventilados e seus sinais vitais monitorizados.</w:t>
      </w:r>
    </w:p>
    <w:p w14:paraId="242D1425" w14:textId="5AD98C0A" w:rsidR="00DC2730" w:rsidRPr="00F11DFB" w:rsidRDefault="00DC2730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** Monitorizar EEG.</w:t>
      </w:r>
    </w:p>
    <w:p w14:paraId="17C2C02E" w14:textId="77777777" w:rsidR="005462A5" w:rsidRPr="00F11DFB" w:rsidRDefault="005462A5" w:rsidP="005462A5">
      <w:pPr>
        <w:jc w:val="both"/>
        <w:rPr>
          <w:rFonts w:ascii="Arial" w:hAnsi="Arial" w:cs="Arial"/>
          <w:sz w:val="24"/>
        </w:rPr>
      </w:pPr>
    </w:p>
    <w:p w14:paraId="255363BA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&gt;&gt; Falha do </w:t>
      </w:r>
      <w:proofErr w:type="spellStart"/>
      <w:r w:rsidRPr="00F11DFB">
        <w:rPr>
          <w:rFonts w:ascii="Arial" w:hAnsi="Arial" w:cs="Arial"/>
          <w:sz w:val="24"/>
        </w:rPr>
        <w:t>Midazolam</w:t>
      </w:r>
      <w:proofErr w:type="spellEnd"/>
      <w:r w:rsidRPr="00F11DFB">
        <w:rPr>
          <w:rFonts w:ascii="Arial" w:hAnsi="Arial" w:cs="Arial"/>
          <w:sz w:val="24"/>
        </w:rPr>
        <w:t>:</w:t>
      </w:r>
    </w:p>
    <w:p w14:paraId="0B25A732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E8BEDB9" w14:textId="56643299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Tiopental 3-5mg/kg/dose EV em </w:t>
      </w:r>
      <w:proofErr w:type="spellStart"/>
      <w:r w:rsidRPr="00F11DFB">
        <w:rPr>
          <w:rFonts w:ascii="Arial" w:hAnsi="Arial" w:cs="Arial"/>
          <w:sz w:val="24"/>
        </w:rPr>
        <w:t>bolus</w:t>
      </w:r>
      <w:proofErr w:type="spellEnd"/>
      <w:r w:rsidRPr="00F11DFB">
        <w:rPr>
          <w:rFonts w:ascii="Arial" w:hAnsi="Arial" w:cs="Arial"/>
          <w:sz w:val="24"/>
        </w:rPr>
        <w:t xml:space="preserve"> (máximo 500 mg),  e após manutenção de 1-3mg/kg/hora. </w:t>
      </w:r>
    </w:p>
    <w:p w14:paraId="192BB3C4" w14:textId="731C4BD1" w:rsidR="005462A5" w:rsidRPr="00F11DFB" w:rsidRDefault="005462A5" w:rsidP="00535FCD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Riscos: choque, hipotensão</w:t>
      </w:r>
      <w:r w:rsidR="00535FCD" w:rsidRPr="00F11DFB">
        <w:rPr>
          <w:rFonts w:ascii="Arial" w:hAnsi="Arial" w:cs="Arial"/>
          <w:sz w:val="24"/>
        </w:rPr>
        <w:t>,</w:t>
      </w:r>
      <w:r w:rsidRPr="00F11DFB">
        <w:rPr>
          <w:rFonts w:ascii="Arial" w:hAnsi="Arial" w:cs="Arial"/>
          <w:sz w:val="24"/>
        </w:rPr>
        <w:t xml:space="preserve"> </w:t>
      </w:r>
      <w:r w:rsidR="00535FCD" w:rsidRPr="00F11DFB">
        <w:rPr>
          <w:rFonts w:ascii="Arial" w:hAnsi="Arial" w:cs="Arial"/>
          <w:sz w:val="24"/>
        </w:rPr>
        <w:t>depressão miocárdica e vasodilatação, imunodepressão, depressão respiratória, edema pulmonar, íleo paralítico e demora na recuperação neurológica.</w:t>
      </w:r>
    </w:p>
    <w:p w14:paraId="51E6BCCC" w14:textId="2CC70E2D" w:rsidR="005B7C30" w:rsidRPr="00F11DFB" w:rsidRDefault="00DC2730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** </w:t>
      </w:r>
      <w:r w:rsidR="00535FCD" w:rsidRPr="00F11DFB">
        <w:rPr>
          <w:rFonts w:ascii="Arial" w:hAnsi="Arial" w:cs="Arial"/>
          <w:sz w:val="24"/>
        </w:rPr>
        <w:t>Ventilação mecânica necessária.</w:t>
      </w:r>
    </w:p>
    <w:p w14:paraId="6B77AC63" w14:textId="77777777" w:rsidR="00535FCD" w:rsidRPr="00F11DFB" w:rsidRDefault="00535FCD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</w:p>
    <w:p w14:paraId="24093CB9" w14:textId="44AA3CAE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F11DFB">
        <w:rPr>
          <w:rFonts w:ascii="Arial" w:hAnsi="Arial" w:cs="Arial"/>
          <w:sz w:val="24"/>
        </w:rPr>
        <w:t>Propofol</w:t>
      </w:r>
      <w:proofErr w:type="spellEnd"/>
      <w:r w:rsidRPr="00F11DFB">
        <w:rPr>
          <w:rFonts w:ascii="Arial" w:hAnsi="Arial" w:cs="Arial"/>
          <w:sz w:val="24"/>
        </w:rPr>
        <w:t xml:space="preserve">: 1-3 mg/kg EV de ataque, seguido de manutenção de 3-5mg/kg/h. </w:t>
      </w:r>
    </w:p>
    <w:p w14:paraId="5B31CED2" w14:textId="691D3C36" w:rsidR="00DC2730" w:rsidRPr="00F11DFB" w:rsidRDefault="00DC2730" w:rsidP="00DC27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Riscos: síndrome da infusão do </w:t>
      </w:r>
      <w:proofErr w:type="spellStart"/>
      <w:r w:rsidRPr="00F11DFB">
        <w:rPr>
          <w:rFonts w:ascii="Arial" w:hAnsi="Arial" w:cs="Arial"/>
          <w:sz w:val="24"/>
        </w:rPr>
        <w:t>propofol</w:t>
      </w:r>
      <w:proofErr w:type="spellEnd"/>
      <w:r w:rsidRPr="00F11DFB">
        <w:rPr>
          <w:rFonts w:ascii="Arial" w:hAnsi="Arial" w:cs="Arial"/>
          <w:sz w:val="24"/>
        </w:rPr>
        <w:t xml:space="preserve"> – colapso cardiocirculatório pote</w:t>
      </w:r>
      <w:r w:rsidR="00535FCD" w:rsidRPr="00F11DFB">
        <w:rPr>
          <w:rFonts w:ascii="Arial" w:hAnsi="Arial" w:cs="Arial"/>
          <w:sz w:val="24"/>
        </w:rPr>
        <w:t>n</w:t>
      </w:r>
      <w:r w:rsidRPr="00F11DFB">
        <w:rPr>
          <w:rFonts w:ascii="Arial" w:hAnsi="Arial" w:cs="Arial"/>
          <w:sz w:val="24"/>
        </w:rPr>
        <w:t>cialmente fatal com acidose lática, hipertrigliceridemia e rabdomiólise.</w:t>
      </w:r>
    </w:p>
    <w:p w14:paraId="116B3F81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** Ventilação mecânica necessária.</w:t>
      </w:r>
    </w:p>
    <w:p w14:paraId="5A6FF77A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AE4CA96" w14:textId="77777777" w:rsidR="00DC2730" w:rsidRPr="00F11DFB" w:rsidRDefault="00DC2730" w:rsidP="00DC27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F11DFB">
        <w:rPr>
          <w:rFonts w:ascii="Arial" w:hAnsi="Arial" w:cs="Arial"/>
          <w:sz w:val="24"/>
        </w:rPr>
        <w:t>Quetamina</w:t>
      </w:r>
      <w:proofErr w:type="spellEnd"/>
      <w:r w:rsidRPr="00F11DFB">
        <w:rPr>
          <w:rFonts w:ascii="Arial" w:hAnsi="Arial" w:cs="Arial"/>
          <w:sz w:val="24"/>
        </w:rPr>
        <w:t xml:space="preserve">: 2-3mg/kg-dose EV em </w:t>
      </w:r>
      <w:proofErr w:type="spellStart"/>
      <w:r w:rsidRPr="00F11DFB">
        <w:rPr>
          <w:rFonts w:ascii="Arial" w:hAnsi="Arial" w:cs="Arial"/>
          <w:sz w:val="24"/>
        </w:rPr>
        <w:t>bolus</w:t>
      </w:r>
      <w:proofErr w:type="spellEnd"/>
      <w:r w:rsidRPr="00F11DFB">
        <w:rPr>
          <w:rFonts w:ascii="Arial" w:hAnsi="Arial" w:cs="Arial"/>
          <w:sz w:val="24"/>
        </w:rPr>
        <w:t xml:space="preserve">, seguido de manutenção de 10μg/kg/min. Aumentar infusão em 5-10 </w:t>
      </w:r>
      <w:proofErr w:type="spellStart"/>
      <w:r w:rsidRPr="00F11DFB">
        <w:rPr>
          <w:rFonts w:ascii="Arial" w:hAnsi="Arial" w:cs="Arial"/>
          <w:sz w:val="24"/>
        </w:rPr>
        <w:t>μg</w:t>
      </w:r>
      <w:proofErr w:type="spellEnd"/>
      <w:r w:rsidRPr="00F11DFB">
        <w:rPr>
          <w:rFonts w:ascii="Arial" w:hAnsi="Arial" w:cs="Arial"/>
          <w:sz w:val="24"/>
        </w:rPr>
        <w:t xml:space="preserve">/kg/min a cada 10 minutos, dose máxima de 100 </w:t>
      </w:r>
      <w:proofErr w:type="spellStart"/>
      <w:r w:rsidRPr="00F11DFB">
        <w:rPr>
          <w:rFonts w:ascii="Arial" w:hAnsi="Arial" w:cs="Arial"/>
          <w:sz w:val="24"/>
        </w:rPr>
        <w:t>μg</w:t>
      </w:r>
      <w:proofErr w:type="spellEnd"/>
      <w:r w:rsidRPr="00F11DFB">
        <w:rPr>
          <w:rFonts w:ascii="Arial" w:hAnsi="Arial" w:cs="Arial"/>
          <w:sz w:val="24"/>
        </w:rPr>
        <w:t>/kg/min.</w:t>
      </w:r>
    </w:p>
    <w:p w14:paraId="663CCBD5" w14:textId="77777777" w:rsidR="00DC2730" w:rsidRPr="00F11DFB" w:rsidRDefault="00DC2730" w:rsidP="00DC27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** Ventilação mecânica necessária.</w:t>
      </w:r>
    </w:p>
    <w:p w14:paraId="3E3DFB77" w14:textId="77777777" w:rsidR="00DC2730" w:rsidRPr="00F11DFB" w:rsidRDefault="00DC2730" w:rsidP="00DC2730">
      <w:pPr>
        <w:jc w:val="both"/>
        <w:rPr>
          <w:rFonts w:ascii="Arial" w:hAnsi="Arial" w:cs="Arial"/>
          <w:sz w:val="24"/>
        </w:rPr>
      </w:pPr>
    </w:p>
    <w:p w14:paraId="1475E554" w14:textId="76DFAAFD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F11DFB">
        <w:rPr>
          <w:rFonts w:ascii="Arial" w:hAnsi="Arial" w:cs="Arial"/>
          <w:sz w:val="24"/>
        </w:rPr>
        <w:t>Topiramato</w:t>
      </w:r>
      <w:proofErr w:type="spellEnd"/>
      <w:r w:rsidRPr="00F11DFB">
        <w:rPr>
          <w:rFonts w:ascii="Arial" w:hAnsi="Arial" w:cs="Arial"/>
          <w:sz w:val="24"/>
        </w:rPr>
        <w:t>: 3mg/kg/dose de ataque por SNE.</w:t>
      </w:r>
    </w:p>
    <w:p w14:paraId="09EB9179" w14:textId="7CB90F06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Man</w:t>
      </w:r>
      <w:r w:rsidR="005B7C30" w:rsidRPr="00F11DFB">
        <w:rPr>
          <w:rFonts w:ascii="Arial" w:hAnsi="Arial" w:cs="Arial"/>
          <w:sz w:val="24"/>
        </w:rPr>
        <w:t xml:space="preserve">utenção: 6-12 mg/kg/dia de 08/08 </w:t>
      </w:r>
      <w:r w:rsidRPr="00F11DFB">
        <w:rPr>
          <w:rFonts w:ascii="Arial" w:hAnsi="Arial" w:cs="Arial"/>
          <w:sz w:val="24"/>
        </w:rPr>
        <w:t xml:space="preserve">horas, via SNE. </w:t>
      </w:r>
    </w:p>
    <w:p w14:paraId="2D388D26" w14:textId="77777777" w:rsidR="005462A5" w:rsidRPr="00F11DFB" w:rsidRDefault="005462A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4F4503B" w14:textId="6A10EE6E" w:rsidR="00DC2730" w:rsidRPr="00F11DFB" w:rsidRDefault="00DC2730" w:rsidP="00DC27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Lidocaína: 1-2mg/kg EV de ataque, seguido de manutenção de 1</w:t>
      </w:r>
      <w:r w:rsidR="00535FCD" w:rsidRPr="00F11DFB">
        <w:rPr>
          <w:rFonts w:ascii="Arial" w:hAnsi="Arial" w:cs="Arial"/>
          <w:sz w:val="24"/>
        </w:rPr>
        <w:t>-6</w:t>
      </w:r>
      <w:r w:rsidRPr="00F11DFB">
        <w:rPr>
          <w:rFonts w:ascii="Arial" w:hAnsi="Arial" w:cs="Arial"/>
          <w:sz w:val="24"/>
        </w:rPr>
        <w:t xml:space="preserve"> mg/kg/h.</w:t>
      </w:r>
    </w:p>
    <w:p w14:paraId="7BB698BC" w14:textId="77777777" w:rsidR="00DC2730" w:rsidRPr="00F11DFB" w:rsidRDefault="00DC2730" w:rsidP="00DC27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** Ventilação mecânica necessária.</w:t>
      </w:r>
    </w:p>
    <w:p w14:paraId="1ED60E6E" w14:textId="77777777" w:rsidR="00DC2730" w:rsidRPr="00F11DFB" w:rsidRDefault="00DC2730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D8BBB80" w14:textId="2B87122F" w:rsidR="005462A5" w:rsidRPr="00F11DFB" w:rsidRDefault="005462A5" w:rsidP="005B7C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F11DFB">
        <w:rPr>
          <w:rFonts w:ascii="Arial" w:hAnsi="Arial" w:cs="Arial"/>
          <w:sz w:val="24"/>
        </w:rPr>
        <w:t>Levetiracetam</w:t>
      </w:r>
      <w:proofErr w:type="spellEnd"/>
      <w:r w:rsidRPr="00F11DFB">
        <w:rPr>
          <w:rFonts w:ascii="Arial" w:hAnsi="Arial" w:cs="Arial"/>
          <w:sz w:val="24"/>
        </w:rPr>
        <w:t xml:space="preserve">: 20-60mg/kg/dose EV, infusão lenta (5 mg/kg/min - </w:t>
      </w:r>
      <w:proofErr w:type="spellStart"/>
      <w:r w:rsidRPr="00F11DFB">
        <w:rPr>
          <w:rFonts w:ascii="Arial" w:hAnsi="Arial" w:cs="Arial"/>
          <w:sz w:val="24"/>
        </w:rPr>
        <w:t>máx</w:t>
      </w:r>
      <w:proofErr w:type="spellEnd"/>
      <w:r w:rsidRPr="00F11DFB">
        <w:rPr>
          <w:rFonts w:ascii="Arial" w:hAnsi="Arial" w:cs="Arial"/>
          <w:sz w:val="24"/>
        </w:rPr>
        <w:t xml:space="preserve"> 3g). </w:t>
      </w:r>
    </w:p>
    <w:p w14:paraId="24A50F65" w14:textId="77777777" w:rsidR="005462A5" w:rsidRPr="00F11DFB" w:rsidRDefault="005462A5" w:rsidP="005B7C30">
      <w:pPr>
        <w:pStyle w:val="PargrafodaLista"/>
        <w:ind w:left="136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Manutenção: 20-50mg/kg/dia de 12/12 horas.</w:t>
      </w:r>
    </w:p>
    <w:p w14:paraId="1DCB2DC3" w14:textId="77777777" w:rsidR="004B3F5E" w:rsidRPr="00F11DFB" w:rsidRDefault="004B3F5E" w:rsidP="00BD0F37">
      <w:pPr>
        <w:jc w:val="both"/>
        <w:rPr>
          <w:rFonts w:ascii="Arial" w:hAnsi="Arial" w:cs="Arial"/>
          <w:sz w:val="24"/>
        </w:rPr>
      </w:pPr>
    </w:p>
    <w:p w14:paraId="16A74BB0" w14:textId="77777777" w:rsidR="004B3F5E" w:rsidRPr="00F11DFB" w:rsidRDefault="004B3F5E" w:rsidP="00BD0F37">
      <w:pPr>
        <w:jc w:val="both"/>
        <w:rPr>
          <w:rFonts w:ascii="Arial" w:hAnsi="Arial" w:cs="Arial"/>
          <w:sz w:val="24"/>
        </w:rPr>
      </w:pPr>
    </w:p>
    <w:p w14:paraId="13011C95" w14:textId="77777777" w:rsidR="00F94BD3" w:rsidRPr="00F11DFB" w:rsidRDefault="00F94BD3" w:rsidP="00BD0F37">
      <w:pPr>
        <w:jc w:val="both"/>
        <w:rPr>
          <w:rFonts w:ascii="Arial" w:hAnsi="Arial" w:cs="Arial"/>
          <w:sz w:val="24"/>
        </w:rPr>
      </w:pPr>
    </w:p>
    <w:p w14:paraId="2B0F5B1B" w14:textId="77777777" w:rsidR="00980A41" w:rsidRPr="00F11DFB" w:rsidRDefault="00980A41" w:rsidP="00980A41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Critérios de alta:</w:t>
      </w:r>
      <w:r w:rsidRPr="00F11DFB">
        <w:t xml:space="preserve"> </w:t>
      </w:r>
    </w:p>
    <w:p w14:paraId="0726EF2F" w14:textId="77777777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7BB27F6A" w14:textId="77777777" w:rsidR="00BD0F37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Paciente estável, sem alteração do nível de consciência, sem crises epilépticas há pelo menos 48 horas.</w:t>
      </w:r>
    </w:p>
    <w:p w14:paraId="61C14683" w14:textId="77777777" w:rsidR="004F7035" w:rsidRPr="00F11DFB" w:rsidRDefault="004F7035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EBB012E" w14:textId="77777777" w:rsidR="00980A41" w:rsidRPr="00F11DFB" w:rsidRDefault="00980A41" w:rsidP="00980A41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Observações:</w:t>
      </w:r>
    </w:p>
    <w:p w14:paraId="772929A2" w14:textId="77777777" w:rsidR="004F7035" w:rsidRPr="00F11DFB" w:rsidRDefault="004F7035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12F2996" w14:textId="6F60B260" w:rsidR="00980A41" w:rsidRPr="00F11DFB" w:rsidRDefault="00980A41" w:rsidP="005B40BA">
      <w:pPr>
        <w:pStyle w:val="PargrafodaLista"/>
        <w:ind w:left="992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Pacientes que chegam ao pronto-socorro sem crises ep</w:t>
      </w:r>
      <w:r w:rsidR="00F94BD3" w:rsidRPr="00F11DFB">
        <w:rPr>
          <w:rFonts w:ascii="Arial" w:hAnsi="Arial" w:cs="Arial"/>
          <w:sz w:val="24"/>
        </w:rPr>
        <w:t>ilépticas e sem recorrências de</w:t>
      </w:r>
      <w:r w:rsidRPr="00F11DFB">
        <w:rPr>
          <w:rFonts w:ascii="Arial" w:hAnsi="Arial" w:cs="Arial"/>
          <w:sz w:val="24"/>
        </w:rPr>
        <w:t xml:space="preserve"> crises, apenas com sonolência pós-ictal, não dev</w:t>
      </w:r>
      <w:r w:rsidR="00DC2730" w:rsidRPr="00F11DFB">
        <w:rPr>
          <w:rFonts w:ascii="Arial" w:hAnsi="Arial" w:cs="Arial"/>
          <w:sz w:val="24"/>
        </w:rPr>
        <w:t>em receber benzodiazepínicos EV</w:t>
      </w:r>
      <w:r w:rsidR="00F94BD3" w:rsidRPr="00F11DFB">
        <w:rPr>
          <w:rFonts w:ascii="Arial" w:hAnsi="Arial" w:cs="Arial"/>
          <w:sz w:val="24"/>
        </w:rPr>
        <w:t xml:space="preserve"> ou outros tratamentos de fase aguda</w:t>
      </w:r>
      <w:r w:rsidR="00DC2730" w:rsidRPr="00F11DFB">
        <w:rPr>
          <w:rFonts w:ascii="Arial" w:hAnsi="Arial" w:cs="Arial"/>
          <w:sz w:val="24"/>
        </w:rPr>
        <w:t>.</w:t>
      </w:r>
    </w:p>
    <w:p w14:paraId="6BA8043C" w14:textId="77777777" w:rsidR="00F94BD3" w:rsidRPr="00F11DFB" w:rsidRDefault="00F94BD3" w:rsidP="005B40BA">
      <w:pPr>
        <w:pStyle w:val="PargrafodaLista"/>
        <w:ind w:left="992"/>
        <w:jc w:val="both"/>
        <w:rPr>
          <w:rFonts w:ascii="Arial" w:hAnsi="Arial" w:cs="Arial"/>
          <w:sz w:val="24"/>
        </w:rPr>
      </w:pPr>
    </w:p>
    <w:p w14:paraId="27B75946" w14:textId="5DCDF8F9" w:rsidR="00F94BD3" w:rsidRPr="00F11DFB" w:rsidRDefault="00F94BD3" w:rsidP="005B40BA">
      <w:pPr>
        <w:pStyle w:val="PargrafodaLista"/>
        <w:ind w:left="992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Em pacientes com diagnóstico prévio de epilepsia e já em uso de medicação, deve ser investigado quadro infeccioso, uso regular das medicações e doses das drogas utilizadas. </w:t>
      </w:r>
    </w:p>
    <w:p w14:paraId="095B0B2E" w14:textId="77777777" w:rsidR="00980A41" w:rsidRPr="00F11DFB" w:rsidRDefault="00980A41" w:rsidP="005B40BA">
      <w:pPr>
        <w:pStyle w:val="PargrafodaLista"/>
        <w:ind w:left="992"/>
        <w:jc w:val="both"/>
        <w:rPr>
          <w:rFonts w:ascii="Arial" w:hAnsi="Arial" w:cs="Arial"/>
          <w:sz w:val="24"/>
        </w:rPr>
      </w:pPr>
    </w:p>
    <w:p w14:paraId="04C89338" w14:textId="5C16A696" w:rsidR="00980A41" w:rsidRPr="00F11DFB" w:rsidRDefault="00980A41" w:rsidP="005B40BA">
      <w:pPr>
        <w:pStyle w:val="PargrafodaLista"/>
        <w:ind w:left="992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Pacientes que chegam ao pronto-socorro após segunda crise epiléptica </w:t>
      </w:r>
      <w:r w:rsidR="00F94BD3" w:rsidRPr="00F11DFB">
        <w:rPr>
          <w:rFonts w:ascii="Arial" w:hAnsi="Arial" w:cs="Arial"/>
          <w:sz w:val="24"/>
        </w:rPr>
        <w:t>a</w:t>
      </w:r>
      <w:r w:rsidR="00C138F9" w:rsidRPr="00F11DFB">
        <w:rPr>
          <w:rFonts w:ascii="Arial" w:hAnsi="Arial" w:cs="Arial"/>
          <w:sz w:val="24"/>
        </w:rPr>
        <w:t xml:space="preserve">febril </w:t>
      </w:r>
      <w:r w:rsidRPr="00F11DFB">
        <w:rPr>
          <w:rFonts w:ascii="Arial" w:hAnsi="Arial" w:cs="Arial"/>
          <w:sz w:val="24"/>
        </w:rPr>
        <w:t>devem iniciar tratamento profilático com drogas antiepilépticas, com titulação de dose no início para evitar sonolência excessiva</w:t>
      </w:r>
      <w:r w:rsidR="00F94BD3" w:rsidRPr="00F11DFB">
        <w:rPr>
          <w:rFonts w:ascii="Arial" w:hAnsi="Arial" w:cs="Arial"/>
          <w:sz w:val="24"/>
        </w:rPr>
        <w:t>, a menos que a medicação seja iniciada durante internação</w:t>
      </w:r>
      <w:r w:rsidRPr="00F11DFB">
        <w:rPr>
          <w:rFonts w:ascii="Arial" w:hAnsi="Arial" w:cs="Arial"/>
          <w:sz w:val="24"/>
        </w:rPr>
        <w:t>.</w:t>
      </w:r>
    </w:p>
    <w:p w14:paraId="1DC49078" w14:textId="77777777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8E70182" w14:textId="08BB883E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* Men</w:t>
      </w:r>
      <w:r w:rsidR="00C138F9" w:rsidRPr="00F11DFB">
        <w:rPr>
          <w:rFonts w:ascii="Arial" w:hAnsi="Arial" w:cs="Arial"/>
          <w:sz w:val="24"/>
        </w:rPr>
        <w:t>ores de 2 anos: fenobarbital 3-5</w:t>
      </w:r>
      <w:r w:rsidRPr="00F11DFB">
        <w:rPr>
          <w:rFonts w:ascii="Arial" w:hAnsi="Arial" w:cs="Arial"/>
          <w:sz w:val="24"/>
        </w:rPr>
        <w:t>mg/</w:t>
      </w:r>
      <w:proofErr w:type="spellStart"/>
      <w:r w:rsidRPr="00F11DFB">
        <w:rPr>
          <w:rFonts w:ascii="Arial" w:hAnsi="Arial" w:cs="Arial"/>
          <w:sz w:val="24"/>
        </w:rPr>
        <w:t>kd</w:t>
      </w:r>
      <w:proofErr w:type="spellEnd"/>
      <w:r w:rsidRPr="00F11DFB">
        <w:rPr>
          <w:rFonts w:ascii="Arial" w:hAnsi="Arial" w:cs="Arial"/>
          <w:sz w:val="24"/>
        </w:rPr>
        <w:t>/dia, dose única, à noite;</w:t>
      </w:r>
    </w:p>
    <w:p w14:paraId="71319301" w14:textId="7626903F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* Crises com início focal: </w:t>
      </w:r>
      <w:proofErr w:type="spellStart"/>
      <w:r w:rsidRPr="00F11DFB">
        <w:rPr>
          <w:rFonts w:ascii="Arial" w:hAnsi="Arial" w:cs="Arial"/>
          <w:sz w:val="24"/>
        </w:rPr>
        <w:t>carba</w:t>
      </w:r>
      <w:r w:rsidR="005462A5" w:rsidRPr="00F11DFB">
        <w:rPr>
          <w:rFonts w:ascii="Arial" w:hAnsi="Arial" w:cs="Arial"/>
          <w:sz w:val="24"/>
        </w:rPr>
        <w:t>mazepina</w:t>
      </w:r>
      <w:proofErr w:type="spellEnd"/>
      <w:r w:rsidR="00C138F9" w:rsidRPr="00F11DFB">
        <w:rPr>
          <w:rFonts w:ascii="Arial" w:hAnsi="Arial" w:cs="Arial"/>
          <w:sz w:val="24"/>
        </w:rPr>
        <w:t>, iniciar com 10-2</w:t>
      </w:r>
      <w:r w:rsidR="005462A5" w:rsidRPr="00F11DFB">
        <w:rPr>
          <w:rFonts w:ascii="Arial" w:hAnsi="Arial" w:cs="Arial"/>
          <w:sz w:val="24"/>
        </w:rPr>
        <w:t>0 mg/kg</w:t>
      </w:r>
      <w:r w:rsidRPr="00F11DFB">
        <w:rPr>
          <w:rFonts w:ascii="Arial" w:hAnsi="Arial" w:cs="Arial"/>
          <w:sz w:val="24"/>
        </w:rPr>
        <w:t>/dia de 12/12 horas;</w:t>
      </w:r>
    </w:p>
    <w:p w14:paraId="15E18D75" w14:textId="6742A3F9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* Crises com início generalizado, </w:t>
      </w:r>
      <w:r w:rsidR="00C138F9" w:rsidRPr="00F11DFB">
        <w:rPr>
          <w:rFonts w:ascii="Arial" w:hAnsi="Arial" w:cs="Arial"/>
          <w:sz w:val="24"/>
        </w:rPr>
        <w:t>desconhecido, crises de ausência</w:t>
      </w:r>
      <w:r w:rsidRPr="00F11DFB">
        <w:rPr>
          <w:rFonts w:ascii="Arial" w:hAnsi="Arial" w:cs="Arial"/>
          <w:sz w:val="24"/>
        </w:rPr>
        <w:t xml:space="preserve"> ou mio</w:t>
      </w:r>
      <w:r w:rsidR="004F7035" w:rsidRPr="00F11DFB">
        <w:rPr>
          <w:rFonts w:ascii="Arial" w:hAnsi="Arial" w:cs="Arial"/>
          <w:sz w:val="24"/>
        </w:rPr>
        <w:t xml:space="preserve">clonias: </w:t>
      </w:r>
      <w:proofErr w:type="spellStart"/>
      <w:r w:rsidR="004F7035" w:rsidRPr="00F11DFB">
        <w:rPr>
          <w:rFonts w:ascii="Arial" w:hAnsi="Arial" w:cs="Arial"/>
          <w:sz w:val="24"/>
        </w:rPr>
        <w:t>valproato</w:t>
      </w:r>
      <w:proofErr w:type="spellEnd"/>
      <w:r w:rsidR="004F7035" w:rsidRPr="00F11DFB">
        <w:rPr>
          <w:rFonts w:ascii="Arial" w:hAnsi="Arial" w:cs="Arial"/>
          <w:sz w:val="24"/>
        </w:rPr>
        <w:t xml:space="preserve"> de sódio</w:t>
      </w:r>
      <w:r w:rsidR="00C138F9" w:rsidRPr="00F11DFB">
        <w:rPr>
          <w:rFonts w:ascii="Arial" w:hAnsi="Arial" w:cs="Arial"/>
          <w:sz w:val="24"/>
        </w:rPr>
        <w:t>, iniciar com 10-15</w:t>
      </w:r>
      <w:r w:rsidRPr="00F11DFB">
        <w:rPr>
          <w:rFonts w:ascii="Arial" w:hAnsi="Arial" w:cs="Arial"/>
          <w:sz w:val="24"/>
        </w:rPr>
        <w:t xml:space="preserve"> mg/</w:t>
      </w:r>
      <w:proofErr w:type="spellStart"/>
      <w:r w:rsidRPr="00F11DFB">
        <w:rPr>
          <w:rFonts w:ascii="Arial" w:hAnsi="Arial" w:cs="Arial"/>
          <w:sz w:val="24"/>
        </w:rPr>
        <w:t>kd</w:t>
      </w:r>
      <w:proofErr w:type="spellEnd"/>
      <w:r w:rsidRPr="00F11DFB">
        <w:rPr>
          <w:rFonts w:ascii="Arial" w:hAnsi="Arial" w:cs="Arial"/>
          <w:sz w:val="24"/>
        </w:rPr>
        <w:t>/dia de 12/12 horas.</w:t>
      </w:r>
    </w:p>
    <w:p w14:paraId="08FC7595" w14:textId="77777777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583791D2" w14:textId="087C0D35" w:rsidR="00980A41" w:rsidRPr="00F11DFB" w:rsidRDefault="00F94BD3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&gt;&gt;&gt;</w:t>
      </w:r>
      <w:r w:rsidR="00980A41" w:rsidRPr="00F11DFB">
        <w:rPr>
          <w:rFonts w:ascii="Arial" w:hAnsi="Arial" w:cs="Arial"/>
          <w:sz w:val="24"/>
        </w:rPr>
        <w:t xml:space="preserve"> Todos os pacientes com crises recorrentes</w:t>
      </w:r>
      <w:r w:rsidR="00C138F9" w:rsidRPr="00F11DFB">
        <w:rPr>
          <w:rFonts w:ascii="Arial" w:hAnsi="Arial" w:cs="Arial"/>
          <w:sz w:val="24"/>
        </w:rPr>
        <w:t>,</w:t>
      </w:r>
      <w:r w:rsidR="00980A41" w:rsidRPr="00F11DFB">
        <w:rPr>
          <w:rFonts w:ascii="Arial" w:hAnsi="Arial" w:cs="Arial"/>
          <w:sz w:val="24"/>
        </w:rPr>
        <w:t xml:space="preserve"> sem acompanhamento prévio</w:t>
      </w:r>
      <w:r w:rsidR="00C138F9" w:rsidRPr="00F11DFB">
        <w:rPr>
          <w:rFonts w:ascii="Arial" w:hAnsi="Arial" w:cs="Arial"/>
          <w:sz w:val="24"/>
        </w:rPr>
        <w:t>,</w:t>
      </w:r>
      <w:r w:rsidR="00980A41" w:rsidRPr="00F11DFB">
        <w:rPr>
          <w:rFonts w:ascii="Arial" w:hAnsi="Arial" w:cs="Arial"/>
          <w:sz w:val="24"/>
        </w:rPr>
        <w:t xml:space="preserve"> devem receber alta com encaminhamento para acompanhamento ambulatorial com Neuropediatra</w:t>
      </w:r>
      <w:r w:rsidR="00C138F9" w:rsidRPr="00F11DFB">
        <w:rPr>
          <w:rFonts w:ascii="Arial" w:hAnsi="Arial" w:cs="Arial"/>
          <w:sz w:val="24"/>
        </w:rPr>
        <w:t>,</w:t>
      </w:r>
      <w:r w:rsidR="00980A41" w:rsidRPr="00F11DFB">
        <w:rPr>
          <w:rFonts w:ascii="Arial" w:hAnsi="Arial" w:cs="Arial"/>
          <w:sz w:val="24"/>
        </w:rPr>
        <w:t xml:space="preserve"> prioridade vermelha, conforme formulário padrão disponível. </w:t>
      </w:r>
    </w:p>
    <w:p w14:paraId="66E20412" w14:textId="77777777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7C31E21" w14:textId="77777777" w:rsidR="005B40BA" w:rsidRPr="00F11DFB" w:rsidRDefault="00086D85" w:rsidP="005B40BA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Referências</w:t>
      </w:r>
      <w:r w:rsidR="005B40BA" w:rsidRPr="00F11DFB">
        <w:rPr>
          <w:rFonts w:ascii="Arial" w:hAnsi="Arial" w:cs="Arial"/>
          <w:sz w:val="24"/>
        </w:rPr>
        <w:t>:</w:t>
      </w:r>
    </w:p>
    <w:p w14:paraId="63678791" w14:textId="77777777" w:rsidR="00980A41" w:rsidRPr="00F11DFB" w:rsidRDefault="005B40BA" w:rsidP="005B40BA">
      <w:pPr>
        <w:pStyle w:val="PargrafodaLista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fldChar w:fldCharType="begin"/>
      </w:r>
      <w:r w:rsidRPr="00F11DFB">
        <w:rPr>
          <w:rFonts w:ascii="Arial" w:hAnsi="Arial" w:cs="Arial"/>
          <w:sz w:val="24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end"/>
      </w:r>
    </w:p>
    <w:p w14:paraId="15C8ACA1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11DFB">
        <w:rPr>
          <w:rFonts w:ascii="Arial" w:hAnsi="Arial" w:cs="Arial"/>
          <w:sz w:val="24"/>
        </w:rPr>
        <w:fldChar w:fldCharType="begin"/>
      </w:r>
      <w:r w:rsidRPr="00860EB9">
        <w:rPr>
          <w:rFonts w:ascii="Arial" w:hAnsi="Arial" w:cs="Arial"/>
          <w:sz w:val="24"/>
          <w:lang w:val="en-US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separate"/>
      </w:r>
      <w:r w:rsidRPr="00860EB9">
        <w:rPr>
          <w:rFonts w:ascii="Arial" w:hAnsi="Arial" w:cs="Arial"/>
          <w:sz w:val="24"/>
          <w:lang w:val="en-US"/>
        </w:rPr>
        <w:t>1.</w:t>
      </w:r>
      <w:r w:rsidRPr="00860EB9">
        <w:rPr>
          <w:rFonts w:ascii="Arial" w:hAnsi="Arial" w:cs="Arial"/>
          <w:sz w:val="24"/>
          <w:lang w:val="en-US"/>
        </w:rPr>
        <w:tab/>
        <w:t xml:space="preserve">Abend NS, Bearden D, </w:t>
      </w:r>
      <w:proofErr w:type="spellStart"/>
      <w:r w:rsidRPr="00860EB9">
        <w:rPr>
          <w:rFonts w:ascii="Arial" w:hAnsi="Arial" w:cs="Arial"/>
          <w:sz w:val="24"/>
          <w:lang w:val="en-US"/>
        </w:rPr>
        <w:t>Helbig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I, et al. Status epilepticus and refractory status epilepticus management. Semin </w:t>
      </w:r>
      <w:proofErr w:type="spellStart"/>
      <w:r w:rsidRPr="00860EB9">
        <w:rPr>
          <w:rFonts w:ascii="Arial" w:hAnsi="Arial" w:cs="Arial"/>
          <w:sz w:val="24"/>
          <w:lang w:val="en-US"/>
        </w:rPr>
        <w:t>Pediatr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Neurol. 2014; 21: 263-74.</w:t>
      </w:r>
    </w:p>
    <w:p w14:paraId="4E9365FE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07BCA262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>2.</w:t>
      </w:r>
      <w:r w:rsidRPr="00860EB9">
        <w:rPr>
          <w:rFonts w:ascii="Arial" w:hAnsi="Arial" w:cs="Arial"/>
          <w:sz w:val="24"/>
          <w:lang w:val="en-US"/>
        </w:rPr>
        <w:tab/>
        <w:t xml:space="preserve">Abend NS and </w:t>
      </w:r>
      <w:proofErr w:type="spellStart"/>
      <w:r w:rsidRPr="00860EB9">
        <w:rPr>
          <w:rFonts w:ascii="Arial" w:hAnsi="Arial" w:cs="Arial"/>
          <w:sz w:val="24"/>
          <w:lang w:val="en-US"/>
        </w:rPr>
        <w:t>Loddenkemper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T. Management of pediatric status epilepticus. </w:t>
      </w:r>
      <w:proofErr w:type="spellStart"/>
      <w:r w:rsidRPr="00860EB9">
        <w:rPr>
          <w:rFonts w:ascii="Arial" w:hAnsi="Arial" w:cs="Arial"/>
          <w:sz w:val="24"/>
          <w:lang w:val="en-US"/>
        </w:rPr>
        <w:t>Curr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Treat Options Neurol. 2014; 16: 301.</w:t>
      </w:r>
    </w:p>
    <w:p w14:paraId="6AAE4CA9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BBFDF0A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>3.</w:t>
      </w:r>
      <w:r w:rsidRPr="00860EB9">
        <w:rPr>
          <w:rFonts w:ascii="Arial" w:hAnsi="Arial" w:cs="Arial"/>
          <w:sz w:val="24"/>
          <w:lang w:val="en-US"/>
        </w:rPr>
        <w:tab/>
      </w:r>
      <w:proofErr w:type="spellStart"/>
      <w:r w:rsidRPr="00860EB9">
        <w:rPr>
          <w:rFonts w:ascii="Arial" w:hAnsi="Arial" w:cs="Arial"/>
          <w:sz w:val="24"/>
          <w:lang w:val="en-US"/>
        </w:rPr>
        <w:t>Beniczky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S, Neufeld M, Diehl B, et al. Testing patients during seizures: A European consensus procedure developed by a joint taskforce of the ILAE - Commission on European Affairs and the European Epilepsy Monitoring Unit Association. </w:t>
      </w:r>
      <w:proofErr w:type="spellStart"/>
      <w:r w:rsidRPr="00860EB9">
        <w:rPr>
          <w:rFonts w:ascii="Arial" w:hAnsi="Arial" w:cs="Arial"/>
          <w:sz w:val="24"/>
          <w:lang w:val="en-US"/>
        </w:rPr>
        <w:t>Epilepsia</w:t>
      </w:r>
      <w:proofErr w:type="spellEnd"/>
      <w:r w:rsidRPr="00860EB9">
        <w:rPr>
          <w:rFonts w:ascii="Arial" w:hAnsi="Arial" w:cs="Arial"/>
          <w:sz w:val="24"/>
          <w:lang w:val="en-US"/>
        </w:rPr>
        <w:t>. 2016; 57: 1363-8.</w:t>
      </w:r>
    </w:p>
    <w:p w14:paraId="4ADC4ED6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00C9372C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>4.</w:t>
      </w:r>
      <w:r w:rsidRPr="00860EB9">
        <w:rPr>
          <w:rFonts w:ascii="Arial" w:hAnsi="Arial" w:cs="Arial"/>
          <w:sz w:val="24"/>
          <w:lang w:val="en-US"/>
        </w:rPr>
        <w:tab/>
      </w:r>
      <w:proofErr w:type="spellStart"/>
      <w:r w:rsidRPr="00860EB9">
        <w:rPr>
          <w:rFonts w:ascii="Arial" w:hAnsi="Arial" w:cs="Arial"/>
          <w:sz w:val="24"/>
          <w:lang w:val="en-US"/>
        </w:rPr>
        <w:t>Glauser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T, </w:t>
      </w:r>
      <w:proofErr w:type="spellStart"/>
      <w:r w:rsidRPr="00860EB9">
        <w:rPr>
          <w:rFonts w:ascii="Arial" w:hAnsi="Arial" w:cs="Arial"/>
          <w:sz w:val="24"/>
          <w:lang w:val="en-US"/>
        </w:rPr>
        <w:t>Shinnar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S, Gloss D, et al. Evidence-Based Guideline: Treatment of Convulsive Status Epilepticus in Children and Adults: Report of the Guideline Committee of the American Epilepsy Society. Epilepsy </w:t>
      </w:r>
      <w:proofErr w:type="spellStart"/>
      <w:r w:rsidRPr="00860EB9">
        <w:rPr>
          <w:rFonts w:ascii="Arial" w:hAnsi="Arial" w:cs="Arial"/>
          <w:sz w:val="24"/>
          <w:lang w:val="en-US"/>
        </w:rPr>
        <w:t>Curr</w:t>
      </w:r>
      <w:proofErr w:type="spellEnd"/>
      <w:r w:rsidRPr="00860EB9">
        <w:rPr>
          <w:rFonts w:ascii="Arial" w:hAnsi="Arial" w:cs="Arial"/>
          <w:sz w:val="24"/>
          <w:lang w:val="en-US"/>
        </w:rPr>
        <w:t>. 2016; 16: 48-61.</w:t>
      </w:r>
    </w:p>
    <w:p w14:paraId="425634C7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5F1C397D" w14:textId="77777777" w:rsidR="00F11DFB" w:rsidRPr="00860EB9" w:rsidRDefault="00F11DFB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58D6502B" w14:textId="77777777" w:rsidR="00F11DFB" w:rsidRPr="00860EB9" w:rsidRDefault="00F11DFB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0CE60B5" w14:textId="77777777" w:rsidR="00F11DFB" w:rsidRPr="00860EB9" w:rsidRDefault="00F11DFB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00338D11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>5.</w:t>
      </w:r>
      <w:r w:rsidRPr="00860EB9">
        <w:rPr>
          <w:rFonts w:ascii="Arial" w:hAnsi="Arial" w:cs="Arial"/>
          <w:sz w:val="24"/>
          <w:lang w:val="en-US"/>
        </w:rPr>
        <w:tab/>
        <w:t xml:space="preserve">Trinka E, Cock H, </w:t>
      </w:r>
      <w:proofErr w:type="spellStart"/>
      <w:r w:rsidRPr="00860EB9">
        <w:rPr>
          <w:rFonts w:ascii="Arial" w:hAnsi="Arial" w:cs="Arial"/>
          <w:sz w:val="24"/>
          <w:lang w:val="en-US"/>
        </w:rPr>
        <w:t>Hesdorffer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D, et al. A definition and classification of status epilepticus--Report of the ILAE Task Force on Classification of Status Epilepticus. </w:t>
      </w:r>
      <w:proofErr w:type="spellStart"/>
      <w:r w:rsidRPr="00860EB9">
        <w:rPr>
          <w:rFonts w:ascii="Arial" w:hAnsi="Arial" w:cs="Arial"/>
          <w:sz w:val="24"/>
          <w:lang w:val="en-US"/>
        </w:rPr>
        <w:t>Epilepsia</w:t>
      </w:r>
      <w:proofErr w:type="spellEnd"/>
      <w:r w:rsidRPr="00860EB9">
        <w:rPr>
          <w:rFonts w:ascii="Arial" w:hAnsi="Arial" w:cs="Arial"/>
          <w:sz w:val="24"/>
          <w:lang w:val="en-US"/>
        </w:rPr>
        <w:t>. 2015; 56: 1515-23.</w:t>
      </w:r>
    </w:p>
    <w:p w14:paraId="54B76ACA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1B88A845" w14:textId="77777777" w:rsidR="005B40BA" w:rsidRPr="00860EB9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>6.</w:t>
      </w:r>
      <w:r w:rsidRPr="00860EB9">
        <w:rPr>
          <w:rFonts w:ascii="Arial" w:hAnsi="Arial" w:cs="Arial"/>
          <w:sz w:val="24"/>
          <w:lang w:val="en-US"/>
        </w:rPr>
        <w:tab/>
        <w:t xml:space="preserve">Wilmshurst JM, Gaillard WD, </w:t>
      </w:r>
      <w:proofErr w:type="spellStart"/>
      <w:r w:rsidRPr="00860EB9">
        <w:rPr>
          <w:rFonts w:ascii="Arial" w:hAnsi="Arial" w:cs="Arial"/>
          <w:sz w:val="24"/>
          <w:lang w:val="en-US"/>
        </w:rPr>
        <w:t>Vinayan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KP, et al. Summary of recommendations for the management of infantile seizures: Task Force Report for the ILAE Commission of Pediatrics. </w:t>
      </w:r>
      <w:proofErr w:type="spellStart"/>
      <w:r w:rsidRPr="00860EB9">
        <w:rPr>
          <w:rFonts w:ascii="Arial" w:hAnsi="Arial" w:cs="Arial"/>
          <w:sz w:val="24"/>
          <w:lang w:val="en-US"/>
        </w:rPr>
        <w:t>Epilepsia</w:t>
      </w:r>
      <w:proofErr w:type="spellEnd"/>
      <w:r w:rsidRPr="00860EB9">
        <w:rPr>
          <w:rFonts w:ascii="Arial" w:hAnsi="Arial" w:cs="Arial"/>
          <w:sz w:val="24"/>
          <w:lang w:val="en-US"/>
        </w:rPr>
        <w:t>. 2015; 56: 1185-97.</w:t>
      </w:r>
    </w:p>
    <w:p w14:paraId="6B0F01A7" w14:textId="77777777" w:rsidR="00FC4958" w:rsidRPr="00860EB9" w:rsidRDefault="00FC4958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9BF631F" w14:textId="62B8DE3C" w:rsidR="00FC4958" w:rsidRPr="00860EB9" w:rsidRDefault="00FC4958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 xml:space="preserve">7. </w:t>
      </w:r>
      <w:proofErr w:type="spellStart"/>
      <w:r w:rsidRPr="00860EB9">
        <w:rPr>
          <w:rFonts w:ascii="Arial" w:hAnsi="Arial" w:cs="Arial"/>
          <w:sz w:val="24"/>
          <w:lang w:val="en-US"/>
        </w:rPr>
        <w:t>Agertt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F, </w:t>
      </w:r>
      <w:proofErr w:type="spellStart"/>
      <w:r w:rsidRPr="00860EB9">
        <w:rPr>
          <w:rFonts w:ascii="Arial" w:hAnsi="Arial" w:cs="Arial"/>
          <w:sz w:val="24"/>
          <w:lang w:val="en-US"/>
        </w:rPr>
        <w:t>Antoniuk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SA, Bruck I, Santos LC. Treatment status epilepticus in children – revision and proposal of protocol. J Epilepsy Clin </w:t>
      </w:r>
      <w:proofErr w:type="spellStart"/>
      <w:r w:rsidRPr="00860EB9">
        <w:rPr>
          <w:rFonts w:ascii="Arial" w:hAnsi="Arial" w:cs="Arial"/>
          <w:sz w:val="24"/>
          <w:lang w:val="en-US"/>
        </w:rPr>
        <w:t>Neurophysiol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2005; 11(4):183-188.</w:t>
      </w:r>
    </w:p>
    <w:p w14:paraId="69328846" w14:textId="77777777" w:rsidR="00FC4958" w:rsidRPr="00860EB9" w:rsidRDefault="00FC4958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52A2D586" w14:textId="6FB8CFD3" w:rsidR="00FC4958" w:rsidRPr="00860EB9" w:rsidRDefault="00FC4958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 xml:space="preserve">8. </w:t>
      </w:r>
      <w:r w:rsidR="00DD1B7C" w:rsidRPr="00860EB9">
        <w:rPr>
          <w:rFonts w:ascii="Arial" w:hAnsi="Arial" w:cs="Arial"/>
          <w:sz w:val="24"/>
          <w:lang w:val="en-US"/>
        </w:rPr>
        <w:t xml:space="preserve">Smith DM, McGinnis EL, </w:t>
      </w:r>
      <w:proofErr w:type="spellStart"/>
      <w:r w:rsidR="00DD1B7C" w:rsidRPr="00860EB9">
        <w:rPr>
          <w:rFonts w:ascii="Arial" w:hAnsi="Arial" w:cs="Arial"/>
          <w:sz w:val="24"/>
          <w:lang w:val="en-US"/>
        </w:rPr>
        <w:t>Walleigh</w:t>
      </w:r>
      <w:proofErr w:type="spellEnd"/>
      <w:r w:rsidR="00DD1B7C" w:rsidRPr="00860EB9">
        <w:rPr>
          <w:rFonts w:ascii="Arial" w:hAnsi="Arial" w:cs="Arial"/>
          <w:sz w:val="24"/>
          <w:lang w:val="en-US"/>
        </w:rPr>
        <w:t xml:space="preserve"> DJ, Abend NS. Management of Status Epilepticus in Children. J Clin Med. 2016 Apr 13;5(4).</w:t>
      </w:r>
    </w:p>
    <w:p w14:paraId="2009D621" w14:textId="77777777" w:rsidR="00DD1B7C" w:rsidRPr="00860EB9" w:rsidRDefault="00DD1B7C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46868DC" w14:textId="2E223C38" w:rsidR="00DD1B7C" w:rsidRPr="00860EB9" w:rsidRDefault="00DD1B7C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 xml:space="preserve">9. Garzon E. Status epilepticus. J Epilepsy Clin </w:t>
      </w:r>
      <w:proofErr w:type="spellStart"/>
      <w:r w:rsidRPr="00860EB9">
        <w:rPr>
          <w:rFonts w:ascii="Arial" w:hAnsi="Arial" w:cs="Arial"/>
          <w:sz w:val="24"/>
          <w:lang w:val="en-US"/>
        </w:rPr>
        <w:t>Neurophysiol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2008; 14(Suppl 2):7-11.</w:t>
      </w:r>
    </w:p>
    <w:p w14:paraId="598EBCE1" w14:textId="77777777" w:rsidR="00DD1B7C" w:rsidRPr="00860EB9" w:rsidRDefault="00DD1B7C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53F0DE53" w14:textId="0E10C566" w:rsidR="00DD1B7C" w:rsidRPr="00860EB9" w:rsidRDefault="00DD1B7C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860EB9">
        <w:rPr>
          <w:rFonts w:ascii="Arial" w:hAnsi="Arial" w:cs="Arial"/>
          <w:sz w:val="24"/>
          <w:lang w:val="en-US"/>
        </w:rPr>
        <w:t xml:space="preserve">10. </w:t>
      </w:r>
      <w:proofErr w:type="spellStart"/>
      <w:r w:rsidRPr="00860EB9">
        <w:rPr>
          <w:rFonts w:ascii="Arial" w:hAnsi="Arial" w:cs="Arial"/>
          <w:sz w:val="24"/>
          <w:lang w:val="en-US"/>
        </w:rPr>
        <w:t>Zeiler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FA, </w:t>
      </w:r>
      <w:proofErr w:type="spellStart"/>
      <w:r w:rsidRPr="00860EB9">
        <w:rPr>
          <w:rFonts w:ascii="Arial" w:hAnsi="Arial" w:cs="Arial"/>
          <w:sz w:val="24"/>
          <w:lang w:val="en-US"/>
        </w:rPr>
        <w:t>Zeiler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KJ, Teitelbaum J, Gillman LM, West M, </w:t>
      </w:r>
      <w:proofErr w:type="spellStart"/>
      <w:r w:rsidRPr="00860EB9">
        <w:rPr>
          <w:rFonts w:ascii="Arial" w:hAnsi="Arial" w:cs="Arial"/>
          <w:sz w:val="24"/>
          <w:lang w:val="en-US"/>
        </w:rPr>
        <w:t>Kazina</w:t>
      </w:r>
      <w:proofErr w:type="spellEnd"/>
      <w:r w:rsidRPr="00860EB9">
        <w:rPr>
          <w:rFonts w:ascii="Arial" w:hAnsi="Arial" w:cs="Arial"/>
          <w:sz w:val="24"/>
          <w:lang w:val="en-US"/>
        </w:rPr>
        <w:t xml:space="preserve"> CJ. Lidocaine for Status Epilepticus in Pediatrics. Can J Neurol Sci. 2015 Nov;42(6):414-26.</w:t>
      </w:r>
    </w:p>
    <w:p w14:paraId="0A4B9076" w14:textId="6BB59693" w:rsidR="00C80957" w:rsidRPr="00860EB9" w:rsidRDefault="00C80957" w:rsidP="00C80957">
      <w:pPr>
        <w:jc w:val="both"/>
        <w:rPr>
          <w:rFonts w:ascii="Arial" w:hAnsi="Arial" w:cs="Arial"/>
          <w:sz w:val="24"/>
          <w:lang w:val="en-US"/>
        </w:rPr>
      </w:pPr>
    </w:p>
    <w:p w14:paraId="0FF1C4A1" w14:textId="77777777" w:rsidR="00C80957" w:rsidRPr="00860EB9" w:rsidRDefault="00C80957" w:rsidP="00C80957">
      <w:pPr>
        <w:pStyle w:val="PargrafodaLista"/>
        <w:ind w:left="993"/>
        <w:jc w:val="both"/>
        <w:rPr>
          <w:rFonts w:ascii="Arial" w:hAnsi="Arial" w:cs="Arial"/>
          <w:sz w:val="24"/>
          <w:lang w:val="en-US"/>
        </w:rPr>
      </w:pPr>
    </w:p>
    <w:p w14:paraId="49110C16" w14:textId="717B0BFE" w:rsidR="00C80957" w:rsidRDefault="00C80957" w:rsidP="00C80957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Responsável</w:t>
      </w:r>
      <w:r w:rsidR="00963A3E">
        <w:rPr>
          <w:rFonts w:ascii="Arial" w:hAnsi="Arial" w:cs="Arial"/>
          <w:sz w:val="24"/>
        </w:rPr>
        <w:t xml:space="preserve"> pela elaboração</w:t>
      </w:r>
      <w:r w:rsidRPr="00F11DFB">
        <w:rPr>
          <w:rFonts w:ascii="Arial" w:hAnsi="Arial" w:cs="Arial"/>
          <w:sz w:val="24"/>
        </w:rPr>
        <w:t>:</w:t>
      </w:r>
    </w:p>
    <w:p w14:paraId="188800B8" w14:textId="77777777" w:rsidR="00963A3E" w:rsidRDefault="00963A3E" w:rsidP="00963A3E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</w:p>
    <w:p w14:paraId="3B5B43B1" w14:textId="5471B0C1" w:rsidR="00C80957" w:rsidRPr="00F11DFB" w:rsidRDefault="00C80957" w:rsidP="00C80957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Manuela de Oliveira Fragomeni - Neuropediatra / HRT.</w:t>
      </w:r>
    </w:p>
    <w:p w14:paraId="525E64BD" w14:textId="77777777" w:rsidR="00C80957" w:rsidRPr="00F11DFB" w:rsidRDefault="00C80957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</w:p>
    <w:p w14:paraId="64AC1B9B" w14:textId="77777777" w:rsidR="005B40BA" w:rsidRPr="00F11DFB" w:rsidRDefault="005B40BA" w:rsidP="00C80957">
      <w:pPr>
        <w:ind w:left="992"/>
      </w:pPr>
      <w:r w:rsidRPr="00F11DFB">
        <w:fldChar w:fldCharType="end"/>
      </w:r>
    </w:p>
    <w:sectPr w:rsidR="005B40BA" w:rsidRPr="00F11DFB" w:rsidSect="00DC2730">
      <w:headerReference w:type="default" r:id="rId7"/>
      <w:pgSz w:w="11900" w:h="16840"/>
      <w:pgMar w:top="1016" w:right="1800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68C1" w14:textId="77777777" w:rsidR="003F0FB3" w:rsidRDefault="003F0FB3" w:rsidP="00953336">
      <w:r>
        <w:separator/>
      </w:r>
    </w:p>
  </w:endnote>
  <w:endnote w:type="continuationSeparator" w:id="0">
    <w:p w14:paraId="6C3FD445" w14:textId="77777777" w:rsidR="003F0FB3" w:rsidRDefault="003F0FB3" w:rsidP="0095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6C79" w14:textId="77777777" w:rsidR="003F0FB3" w:rsidRDefault="003F0FB3" w:rsidP="00953336">
      <w:r>
        <w:separator/>
      </w:r>
    </w:p>
  </w:footnote>
  <w:footnote w:type="continuationSeparator" w:id="0">
    <w:p w14:paraId="7E2659CB" w14:textId="77777777" w:rsidR="003F0FB3" w:rsidRDefault="003F0FB3" w:rsidP="0095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9013" w14:textId="77777777" w:rsidR="00C80957" w:rsidRDefault="00C80957" w:rsidP="00953336">
    <w:pPr>
      <w:pStyle w:val="Cabealho"/>
      <w:tabs>
        <w:tab w:val="clear" w:pos="4320"/>
        <w:tab w:val="clear" w:pos="8640"/>
        <w:tab w:val="left" w:pos="6343"/>
      </w:tabs>
    </w:pPr>
    <w:r>
      <w:tab/>
    </w:r>
  </w:p>
  <w:p w14:paraId="639DE897" w14:textId="77777777" w:rsidR="00C80957" w:rsidRDefault="00C80957" w:rsidP="00953336">
    <w:pPr>
      <w:pStyle w:val="Cabealho"/>
      <w:tabs>
        <w:tab w:val="clear" w:pos="4320"/>
        <w:tab w:val="clear" w:pos="8640"/>
        <w:tab w:val="left" w:pos="6343"/>
      </w:tabs>
    </w:pPr>
  </w:p>
  <w:p w14:paraId="3BF0D1D5" w14:textId="77777777" w:rsidR="00C80957" w:rsidRPr="00953336" w:rsidRDefault="00C80957" w:rsidP="00953336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sz w:val="24"/>
      </w:rPr>
      <w:t xml:space="preserve">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1604AD4" wp14:editId="2623867A">
          <wp:simplePos x="0" y="0"/>
          <wp:positionH relativeFrom="margin">
            <wp:posOffset>571500</wp:posOffset>
          </wp:positionH>
          <wp:positionV relativeFrom="margin">
            <wp:posOffset>-986790</wp:posOffset>
          </wp:positionV>
          <wp:extent cx="1068070" cy="903605"/>
          <wp:effectExtent l="0" t="0" r="0" b="1079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3336">
      <w:rPr>
        <w:rFonts w:ascii="Arial" w:hAnsi="Arial" w:cs="Arial"/>
        <w:b/>
        <w:sz w:val="24"/>
      </w:rPr>
      <w:t xml:space="preserve"> Hospital Regional de Taguatinga</w:t>
    </w:r>
  </w:p>
  <w:p w14:paraId="20AE9E37" w14:textId="77777777" w:rsidR="00C80957" w:rsidRPr="00953336" w:rsidRDefault="00C80957" w:rsidP="00953336">
    <w:pPr>
      <w:pStyle w:val="Cabealho"/>
      <w:tabs>
        <w:tab w:val="clear" w:pos="4320"/>
        <w:tab w:val="clear" w:pos="8640"/>
        <w:tab w:val="left" w:pos="5103"/>
      </w:tabs>
      <w:spacing w:line="276" w:lineRule="auto"/>
      <w:rPr>
        <w:rFonts w:ascii="Arial" w:hAnsi="Arial" w:cs="Arial"/>
        <w:b/>
        <w:sz w:val="24"/>
      </w:rPr>
    </w:pPr>
    <w:r w:rsidRPr="00953336">
      <w:rPr>
        <w:rFonts w:ascii="Arial" w:hAnsi="Arial" w:cs="Arial"/>
        <w:b/>
        <w:sz w:val="24"/>
      </w:rPr>
      <w:t xml:space="preserve">                                                           Rotinas da Unidade de Pediatria</w:t>
    </w:r>
  </w:p>
  <w:p w14:paraId="65F8628B" w14:textId="77777777" w:rsidR="00C80957" w:rsidRPr="00953336" w:rsidRDefault="00C80957" w:rsidP="00953336">
    <w:pPr>
      <w:pStyle w:val="Cabealho"/>
      <w:tabs>
        <w:tab w:val="clear" w:pos="4320"/>
        <w:tab w:val="clear" w:pos="8640"/>
        <w:tab w:val="left" w:pos="6343"/>
      </w:tabs>
      <w:jc w:val="right"/>
      <w:rPr>
        <w:rFonts w:ascii="Arial" w:hAnsi="Arial" w:cs="Arial"/>
        <w:sz w:val="24"/>
      </w:rPr>
    </w:pPr>
  </w:p>
  <w:p w14:paraId="04E9620A" w14:textId="77777777" w:rsidR="00C80957" w:rsidRPr="00953336" w:rsidRDefault="00C80957">
    <w:pPr>
      <w:pStyle w:val="Cabealh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B40"/>
    <w:multiLevelType w:val="hybridMultilevel"/>
    <w:tmpl w:val="62584A4E"/>
    <w:lvl w:ilvl="0" w:tplc="FB7A08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54BFF"/>
    <w:multiLevelType w:val="hybridMultilevel"/>
    <w:tmpl w:val="FFF633BE"/>
    <w:lvl w:ilvl="0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EF72924"/>
    <w:multiLevelType w:val="hybridMultilevel"/>
    <w:tmpl w:val="073251FA"/>
    <w:lvl w:ilvl="0" w:tplc="20FA9094"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2015190"/>
    <w:multiLevelType w:val="hybridMultilevel"/>
    <w:tmpl w:val="6E0089A0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 w16cid:durableId="270086787">
    <w:abstractNumId w:val="0"/>
  </w:num>
  <w:num w:numId="2" w16cid:durableId="1304627197">
    <w:abstractNumId w:val="1"/>
  </w:num>
  <w:num w:numId="3" w16cid:durableId="1703630881">
    <w:abstractNumId w:val="2"/>
  </w:num>
  <w:num w:numId="4" w16cid:durableId="1760710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0wwfspwwaefueapzevd2zzsrzx5wa5art9&quot;&gt;NPED&lt;record-ids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774B5E"/>
    <w:rsid w:val="0000102E"/>
    <w:rsid w:val="00086D85"/>
    <w:rsid w:val="000A7A11"/>
    <w:rsid w:val="001261E1"/>
    <w:rsid w:val="00180D9A"/>
    <w:rsid w:val="00311951"/>
    <w:rsid w:val="003E4F69"/>
    <w:rsid w:val="003F0FB3"/>
    <w:rsid w:val="00416765"/>
    <w:rsid w:val="00431D95"/>
    <w:rsid w:val="004B3F5E"/>
    <w:rsid w:val="004F7035"/>
    <w:rsid w:val="00535FCD"/>
    <w:rsid w:val="005462A5"/>
    <w:rsid w:val="00550B4F"/>
    <w:rsid w:val="005758FD"/>
    <w:rsid w:val="005B40BA"/>
    <w:rsid w:val="005B7C30"/>
    <w:rsid w:val="005C2594"/>
    <w:rsid w:val="005C5011"/>
    <w:rsid w:val="007467B7"/>
    <w:rsid w:val="00774B5E"/>
    <w:rsid w:val="00776AB1"/>
    <w:rsid w:val="00860EB9"/>
    <w:rsid w:val="008A557A"/>
    <w:rsid w:val="00953336"/>
    <w:rsid w:val="00963A3E"/>
    <w:rsid w:val="00980A41"/>
    <w:rsid w:val="009B7206"/>
    <w:rsid w:val="00AA42D7"/>
    <w:rsid w:val="00B67474"/>
    <w:rsid w:val="00BD0F37"/>
    <w:rsid w:val="00C138F9"/>
    <w:rsid w:val="00C80957"/>
    <w:rsid w:val="00D0646D"/>
    <w:rsid w:val="00DC2730"/>
    <w:rsid w:val="00DD1B7C"/>
    <w:rsid w:val="00F11DFB"/>
    <w:rsid w:val="00F94BD3"/>
    <w:rsid w:val="00F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DC6DA0"/>
  <w14:defaultImageDpi w14:val="300"/>
  <w15:docId w15:val="{D1CA0A4D-891C-9D44-995C-4B04700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36"/>
    <w:rPr>
      <w:rFonts w:ascii="Calibri" w:eastAsia="Calibri" w:hAnsi="Calibri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53336"/>
    <w:rPr>
      <w:rFonts w:ascii="Calibri" w:eastAsia="Calibri" w:hAnsi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33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336"/>
    <w:rPr>
      <w:rFonts w:ascii="Lucida Grande" w:eastAsia="Calibri" w:hAnsi="Lucida Grande" w:cs="Lucida Grande"/>
      <w:sz w:val="18"/>
      <w:szCs w:val="18"/>
    </w:rPr>
  </w:style>
  <w:style w:type="table" w:styleId="ListaClara">
    <w:name w:val="Light List"/>
    <w:basedOn w:val="Tabelanormal"/>
    <w:uiPriority w:val="61"/>
    <w:rsid w:val="004167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EndNoteBibliographyTitle">
    <w:name w:val="EndNote Bibliography Title"/>
    <w:basedOn w:val="Normal"/>
    <w:rsid w:val="005B40BA"/>
    <w:pPr>
      <w:jc w:val="center"/>
    </w:pPr>
  </w:style>
  <w:style w:type="paragraph" w:customStyle="1" w:styleId="EndNoteBibliography">
    <w:name w:val="EndNote Bibliography"/>
    <w:basedOn w:val="Normal"/>
    <w:rsid w:val="005B40B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1832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de Oliveira Fragomeni</dc:creator>
  <cp:keywords/>
  <dc:description/>
  <cp:lastModifiedBy>Manuela Fragomeni</cp:lastModifiedBy>
  <cp:revision>11</cp:revision>
  <dcterms:created xsi:type="dcterms:W3CDTF">2018-05-07T18:40:00Z</dcterms:created>
  <dcterms:modified xsi:type="dcterms:W3CDTF">2022-09-04T20:55:00Z</dcterms:modified>
</cp:coreProperties>
</file>