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A8AD" w14:textId="77777777" w:rsidR="00D925E9" w:rsidRPr="000F729E" w:rsidRDefault="00D925E9" w:rsidP="00990663">
      <w:pPr>
        <w:spacing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0F729E">
        <w:rPr>
          <w:rFonts w:ascii="Arial" w:hAnsi="Arial" w:cs="Arial"/>
          <w:bCs/>
          <w:sz w:val="28"/>
          <w:szCs w:val="28"/>
        </w:rPr>
        <w:t>FEBRE REUMÁTICA (FR)</w:t>
      </w:r>
    </w:p>
    <w:p w14:paraId="573DECF5" w14:textId="77777777" w:rsidR="00A505D8" w:rsidRPr="00990663" w:rsidRDefault="00A505D8" w:rsidP="00990663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7DB8536F" w14:textId="77777777" w:rsidR="00A505D8" w:rsidRPr="00990663" w:rsidRDefault="00D925E9" w:rsidP="00990663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0663">
        <w:rPr>
          <w:rFonts w:ascii="Arial" w:hAnsi="Arial" w:cs="Arial"/>
          <w:b/>
          <w:sz w:val="24"/>
          <w:szCs w:val="24"/>
        </w:rPr>
        <w:t>Conceito:</w:t>
      </w:r>
      <w:r w:rsidRPr="00990663">
        <w:rPr>
          <w:rFonts w:ascii="Arial" w:hAnsi="Arial" w:cs="Arial"/>
          <w:sz w:val="24"/>
          <w:szCs w:val="24"/>
        </w:rPr>
        <w:t xml:space="preserve"> </w:t>
      </w:r>
    </w:p>
    <w:p w14:paraId="2365C0C3" w14:textId="77777777" w:rsidR="00D925E9" w:rsidRPr="00990663" w:rsidRDefault="00A505D8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C</w:t>
      </w:r>
      <w:r w:rsidR="00D925E9" w:rsidRPr="00990663">
        <w:rPr>
          <w:rFonts w:ascii="Arial" w:hAnsi="Arial" w:cs="Arial"/>
          <w:sz w:val="20"/>
          <w:szCs w:val="20"/>
        </w:rPr>
        <w:t xml:space="preserve">onsiderada complicação tardia, de natureza inflamatória, não supurativa, de caráter imunológico, de uma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estreptococcia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, causada pelo estreptococo beta hemolítico do grupo A de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Lancefield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>. Ocorre em indivíduos predispostos geneticamente e acomete, principalmente, as articulações, o coração, os vasos, a pele e o SNC.</w:t>
      </w:r>
    </w:p>
    <w:p w14:paraId="11A0C100" w14:textId="77777777" w:rsidR="00A505D8" w:rsidRPr="00990663" w:rsidRDefault="00D925E9" w:rsidP="00990663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90663">
        <w:rPr>
          <w:rFonts w:ascii="Arial" w:hAnsi="Arial" w:cs="Arial"/>
          <w:b/>
          <w:sz w:val="24"/>
          <w:szCs w:val="24"/>
        </w:rPr>
        <w:t xml:space="preserve">Aspectos gerais: </w:t>
      </w:r>
    </w:p>
    <w:p w14:paraId="5F18CD67" w14:textId="77777777" w:rsidR="00D925E9" w:rsidRPr="00990663" w:rsidRDefault="00A505D8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M</w:t>
      </w:r>
      <w:r w:rsidR="00D925E9" w:rsidRPr="00990663">
        <w:rPr>
          <w:rFonts w:ascii="Arial" w:hAnsi="Arial" w:cs="Arial"/>
          <w:sz w:val="20"/>
          <w:szCs w:val="20"/>
        </w:rPr>
        <w:t xml:space="preserve">aior incidência nos escolares, de 7 a 14 anos. Acomete mais crianças pobres que vivem em aglomerados, com ligeira predominância no sexo feminino. Em epidemias de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faringo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-tonsilites estreptocócicas, cerca de 3 a 5% dos pacientes desenvolverão FR, caindo para 0,3% nas endemias. A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fisiopatogenia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 se dá por reação cruzada entre proteínas estreptocócicas e vários tecidos humanos, como o miocárdio, endocárdio, tecidos neuronais e sinoviais e pele. O tratamento adequado com penicilina, feito até o 5º dia da doença é capaz de impedir seu desenvolvimento.</w:t>
      </w:r>
    </w:p>
    <w:p w14:paraId="558CCF4B" w14:textId="77777777" w:rsidR="00D925E9" w:rsidRPr="00990663" w:rsidRDefault="00D925E9" w:rsidP="00990663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90663">
        <w:rPr>
          <w:rFonts w:ascii="Arial" w:hAnsi="Arial" w:cs="Arial"/>
          <w:b/>
          <w:sz w:val="24"/>
          <w:szCs w:val="24"/>
        </w:rPr>
        <w:t xml:space="preserve">Diagnóstico: </w:t>
      </w:r>
    </w:p>
    <w:p w14:paraId="15F95926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Clínico: critérios de Jones. O diagnóstico é feito na presença de 2 critérios maiores ou 1 critério maior e 2 menores + comprovação de </w:t>
      </w:r>
      <w:proofErr w:type="spellStart"/>
      <w:r w:rsidRPr="00990663">
        <w:rPr>
          <w:rFonts w:ascii="Arial" w:hAnsi="Arial" w:cs="Arial"/>
          <w:sz w:val="20"/>
          <w:szCs w:val="20"/>
        </w:rPr>
        <w:t>estreptococcia</w:t>
      </w:r>
      <w:proofErr w:type="spellEnd"/>
      <w:r w:rsidRPr="00990663">
        <w:rPr>
          <w:rFonts w:ascii="Arial" w:hAnsi="Arial" w:cs="Arial"/>
          <w:sz w:val="20"/>
          <w:szCs w:val="20"/>
        </w:rPr>
        <w:t xml:space="preserve"> recente.</w:t>
      </w:r>
    </w:p>
    <w:p w14:paraId="19DDC5AC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90663">
        <w:rPr>
          <w:rFonts w:ascii="Arial" w:hAnsi="Arial" w:cs="Arial"/>
          <w:b/>
          <w:sz w:val="20"/>
          <w:szCs w:val="20"/>
        </w:rPr>
        <w:t>Maiores:</w:t>
      </w:r>
    </w:p>
    <w:p w14:paraId="6BF51A2B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Artrite: ocorre em 75% dos casos. Pode ser clássica, do tipo </w:t>
      </w:r>
      <w:proofErr w:type="spellStart"/>
      <w:r w:rsidRPr="00990663">
        <w:rPr>
          <w:rFonts w:ascii="Arial" w:hAnsi="Arial" w:cs="Arial"/>
          <w:sz w:val="20"/>
          <w:szCs w:val="20"/>
        </w:rPr>
        <w:t>poliarticular</w:t>
      </w:r>
      <w:proofErr w:type="spellEnd"/>
      <w:r w:rsidRPr="00990663">
        <w:rPr>
          <w:rFonts w:ascii="Arial" w:hAnsi="Arial" w:cs="Arial"/>
          <w:sz w:val="20"/>
          <w:szCs w:val="20"/>
        </w:rPr>
        <w:t xml:space="preserve"> migratória de grandes articulações ou atípica(até 30% dos casos), com acometimento aditivo de pequenas articulações, com ou sem entesite.</w:t>
      </w:r>
    </w:p>
    <w:p w14:paraId="34F9D6C9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0663">
        <w:rPr>
          <w:rFonts w:ascii="Arial" w:hAnsi="Arial" w:cs="Arial"/>
          <w:b/>
          <w:sz w:val="20"/>
          <w:szCs w:val="20"/>
        </w:rPr>
        <w:t>Cardite</w:t>
      </w:r>
      <w:proofErr w:type="spellEnd"/>
      <w:r w:rsidRPr="00990663">
        <w:rPr>
          <w:rFonts w:ascii="Arial" w:hAnsi="Arial" w:cs="Arial"/>
          <w:b/>
          <w:sz w:val="20"/>
          <w:szCs w:val="20"/>
        </w:rPr>
        <w:t>:</w:t>
      </w:r>
      <w:r w:rsidRPr="00990663">
        <w:rPr>
          <w:rFonts w:ascii="Arial" w:hAnsi="Arial" w:cs="Arial"/>
          <w:sz w:val="20"/>
          <w:szCs w:val="20"/>
        </w:rPr>
        <w:t xml:space="preserve"> ocorre em aproximadamente 45-50% dos casos e é o fator mais importante para determinar o prognóstico do paciente. Caracterizado principalmente pelo acometimento do endocárdio – valva mitral, determinando o surgimento do sopro característico, de caráter aspirativo, de regurgitação em foco mitral. Podem ocorrer ainda sinais decorrentes do envolvimento do miocárdio(</w:t>
      </w:r>
      <w:proofErr w:type="spellStart"/>
      <w:r w:rsidRPr="00990663">
        <w:rPr>
          <w:rFonts w:ascii="Arial" w:hAnsi="Arial" w:cs="Arial"/>
          <w:sz w:val="20"/>
          <w:szCs w:val="20"/>
        </w:rPr>
        <w:t>bradi</w:t>
      </w:r>
      <w:proofErr w:type="spellEnd"/>
      <w:r w:rsidRPr="00990663">
        <w:rPr>
          <w:rFonts w:ascii="Arial" w:hAnsi="Arial" w:cs="Arial"/>
          <w:sz w:val="20"/>
          <w:szCs w:val="20"/>
        </w:rPr>
        <w:t xml:space="preserve"> ou taquicardia, </w:t>
      </w:r>
      <w:proofErr w:type="spellStart"/>
      <w:r w:rsidRPr="00990663">
        <w:rPr>
          <w:rFonts w:ascii="Arial" w:hAnsi="Arial" w:cs="Arial"/>
          <w:sz w:val="20"/>
          <w:szCs w:val="20"/>
        </w:rPr>
        <w:t>extrassistolia</w:t>
      </w:r>
      <w:proofErr w:type="spellEnd"/>
      <w:r w:rsidRPr="00990663">
        <w:rPr>
          <w:rFonts w:ascii="Arial" w:hAnsi="Arial" w:cs="Arial"/>
          <w:sz w:val="20"/>
          <w:szCs w:val="20"/>
        </w:rPr>
        <w:t>, sinais de insuficiência cardíaca) ou do pericárdio(pericardite).</w:t>
      </w:r>
    </w:p>
    <w:p w14:paraId="6FB1BDE6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b/>
          <w:sz w:val="20"/>
          <w:szCs w:val="20"/>
        </w:rPr>
        <w:t xml:space="preserve">Coréia de </w:t>
      </w:r>
      <w:proofErr w:type="spellStart"/>
      <w:r w:rsidRPr="00990663">
        <w:rPr>
          <w:rFonts w:ascii="Arial" w:hAnsi="Arial" w:cs="Arial"/>
          <w:b/>
          <w:sz w:val="20"/>
          <w:szCs w:val="20"/>
        </w:rPr>
        <w:t>Sydenhan</w:t>
      </w:r>
      <w:proofErr w:type="spellEnd"/>
      <w:r w:rsidRPr="00990663">
        <w:rPr>
          <w:rFonts w:ascii="Arial" w:hAnsi="Arial" w:cs="Arial"/>
          <w:sz w:val="20"/>
          <w:szCs w:val="20"/>
        </w:rPr>
        <w:t>: ocorre em cerca de 30%  dos casos quando associada a outros sinais e, isoladamente, em 60%. Caracterizada classicamente pela presença de movimentos involuntários, incoordenação motora e fraqueza muscular.</w:t>
      </w:r>
    </w:p>
    <w:p w14:paraId="10CF1B71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Eritema marginado: acomete 5 a 10% dos pacientes e manifesta-se por lesões róseas </w:t>
      </w:r>
      <w:proofErr w:type="spellStart"/>
      <w:r w:rsidRPr="00990663">
        <w:rPr>
          <w:rFonts w:ascii="Arial" w:hAnsi="Arial" w:cs="Arial"/>
          <w:sz w:val="20"/>
          <w:szCs w:val="20"/>
        </w:rPr>
        <w:t>serpiginosas</w:t>
      </w:r>
      <w:proofErr w:type="spellEnd"/>
      <w:r w:rsidRPr="00990663">
        <w:rPr>
          <w:rFonts w:ascii="Arial" w:hAnsi="Arial" w:cs="Arial"/>
          <w:sz w:val="20"/>
          <w:szCs w:val="20"/>
        </w:rPr>
        <w:t xml:space="preserve"> e evanescentes, não pruriginosas, principalmente no tronco.</w:t>
      </w:r>
    </w:p>
    <w:p w14:paraId="745C6D54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Nódulos subcutâneos: ocorre em 10% dos casos e são pequenas lesões nodulares, semelhantes a grão de arroz, indolores, localizados principalmente em superfícies extensoras das articulações, couro cabeludo e coluna. Geralmente são associados a presença de </w:t>
      </w:r>
      <w:proofErr w:type="spellStart"/>
      <w:r w:rsidRPr="00990663">
        <w:rPr>
          <w:rFonts w:ascii="Arial" w:hAnsi="Arial" w:cs="Arial"/>
          <w:sz w:val="20"/>
          <w:szCs w:val="20"/>
        </w:rPr>
        <w:t>cardite</w:t>
      </w:r>
      <w:proofErr w:type="spellEnd"/>
      <w:r w:rsidRPr="00990663">
        <w:rPr>
          <w:rFonts w:ascii="Arial" w:hAnsi="Arial" w:cs="Arial"/>
          <w:sz w:val="20"/>
          <w:szCs w:val="20"/>
        </w:rPr>
        <w:t>.</w:t>
      </w:r>
    </w:p>
    <w:p w14:paraId="18DB20F6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90663">
        <w:rPr>
          <w:rFonts w:ascii="Arial" w:hAnsi="Arial" w:cs="Arial"/>
          <w:b/>
          <w:sz w:val="20"/>
          <w:szCs w:val="20"/>
        </w:rPr>
        <w:t>Menores:</w:t>
      </w:r>
    </w:p>
    <w:p w14:paraId="298C3125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Artralgia: considerada apenas se não houver artrite.</w:t>
      </w:r>
    </w:p>
    <w:p w14:paraId="02461FA1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Febre</w:t>
      </w:r>
    </w:p>
    <w:p w14:paraId="57380607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ECG: aumento do intervalo </w:t>
      </w:r>
      <w:proofErr w:type="spellStart"/>
      <w:r w:rsidRPr="00990663">
        <w:rPr>
          <w:rFonts w:ascii="Arial" w:hAnsi="Arial" w:cs="Arial"/>
          <w:sz w:val="20"/>
          <w:szCs w:val="20"/>
        </w:rPr>
        <w:t>Qtc</w:t>
      </w:r>
      <w:proofErr w:type="spellEnd"/>
      <w:r w:rsidRPr="00990663">
        <w:rPr>
          <w:rFonts w:ascii="Arial" w:hAnsi="Arial" w:cs="Arial"/>
          <w:sz w:val="20"/>
          <w:szCs w:val="20"/>
        </w:rPr>
        <w:t>(aumento do intervalo PR corrigido pela FC)</w:t>
      </w:r>
    </w:p>
    <w:p w14:paraId="1B4C30A3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lastRenderedPageBreak/>
        <w:t xml:space="preserve">Comprovação da infecção estreptocócica: dosagem da ASLO, mostrando-se positiva em cerca de 80% dos casos. Há outro exame que avalia um pool de 5 anticorpos produzidos contra o estreptococo, o </w:t>
      </w:r>
      <w:proofErr w:type="spellStart"/>
      <w:r w:rsidRPr="00990663">
        <w:rPr>
          <w:rFonts w:ascii="Arial" w:hAnsi="Arial" w:cs="Arial"/>
          <w:i/>
          <w:sz w:val="20"/>
          <w:szCs w:val="20"/>
        </w:rPr>
        <w:t>Streptozyme</w:t>
      </w:r>
      <w:proofErr w:type="spellEnd"/>
      <w:r w:rsidRPr="00990663">
        <w:rPr>
          <w:rFonts w:ascii="Arial" w:hAnsi="Arial" w:cs="Arial"/>
          <w:sz w:val="20"/>
          <w:szCs w:val="20"/>
        </w:rPr>
        <w:t>, que aumenta a sensibilidade para 95%.</w:t>
      </w:r>
    </w:p>
    <w:p w14:paraId="54F28B85" w14:textId="77777777" w:rsidR="00D925E9" w:rsidRPr="00990663" w:rsidRDefault="00D925E9" w:rsidP="00990663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90663">
        <w:rPr>
          <w:rFonts w:ascii="Arial" w:hAnsi="Arial" w:cs="Arial"/>
          <w:b/>
          <w:sz w:val="20"/>
          <w:szCs w:val="20"/>
        </w:rPr>
        <w:t>Exames complementares:</w:t>
      </w:r>
    </w:p>
    <w:p w14:paraId="77DF50E5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HC: normal ou discreta anemia normocítica e </w:t>
      </w:r>
      <w:proofErr w:type="spellStart"/>
      <w:r w:rsidRPr="00990663">
        <w:rPr>
          <w:rFonts w:ascii="Arial" w:hAnsi="Arial" w:cs="Arial"/>
          <w:sz w:val="20"/>
          <w:szCs w:val="20"/>
        </w:rPr>
        <w:t>normocrômica</w:t>
      </w:r>
      <w:proofErr w:type="spellEnd"/>
      <w:r w:rsidRPr="00990663">
        <w:rPr>
          <w:rFonts w:ascii="Arial" w:hAnsi="Arial" w:cs="Arial"/>
          <w:sz w:val="20"/>
          <w:szCs w:val="20"/>
        </w:rPr>
        <w:t xml:space="preserve"> / leucocitose leve às custas de neutrófilos.</w:t>
      </w:r>
    </w:p>
    <w:p w14:paraId="4D2F4A64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Provas de fase aguda: VHS, PCR, alfa 1 glicoproteína aumentados, assim como a fração alfa 2 da eletroforese de proteínas.</w:t>
      </w:r>
    </w:p>
    <w:p w14:paraId="2A45B911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ASLO: começa a se positivar a partir de 1 semana, atinge pico com 3 a 5 semanas e decai com 12 semanas. Em alguns casos, pode se manter positiva por 6 a 12 meses.</w:t>
      </w:r>
    </w:p>
    <w:p w14:paraId="4FD999BE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Raio X de tórax: pode detectar alterações devido à miocardite, insuficiência cardíaca, derrame pericárdico.</w:t>
      </w:r>
    </w:p>
    <w:p w14:paraId="69EBDC52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Raio X contrastado do coração e vasos da base: demonstra o aumento do volume cardíaco às custas das câmaras esquerdas, especialmente do átrio esquerdo.</w:t>
      </w:r>
    </w:p>
    <w:p w14:paraId="18702EE0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ECG: distúrbios de condução e de ritmo, sinais de miocardite e pericardite, aumento do </w:t>
      </w:r>
      <w:proofErr w:type="spellStart"/>
      <w:r w:rsidRPr="00990663">
        <w:rPr>
          <w:rFonts w:ascii="Arial" w:hAnsi="Arial" w:cs="Arial"/>
          <w:sz w:val="20"/>
          <w:szCs w:val="20"/>
        </w:rPr>
        <w:t>Qtc</w:t>
      </w:r>
      <w:proofErr w:type="spellEnd"/>
      <w:r w:rsidRPr="00990663">
        <w:rPr>
          <w:rFonts w:ascii="Arial" w:hAnsi="Arial" w:cs="Arial"/>
          <w:sz w:val="20"/>
          <w:szCs w:val="20"/>
        </w:rPr>
        <w:t>.</w:t>
      </w:r>
    </w:p>
    <w:p w14:paraId="22C30F3C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Ecocardiograma doppler bidimensional: de grande valor atual para o diagnóstico de função cardíaca, endocardite e pericardite.</w:t>
      </w:r>
    </w:p>
    <w:p w14:paraId="302C2BB1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Cintilografia cardíaca com gálio 67: exame muito sensível para detectar </w:t>
      </w:r>
      <w:proofErr w:type="spellStart"/>
      <w:r w:rsidRPr="00990663">
        <w:rPr>
          <w:rFonts w:ascii="Arial" w:hAnsi="Arial" w:cs="Arial"/>
          <w:sz w:val="20"/>
          <w:szCs w:val="20"/>
        </w:rPr>
        <w:t>cardite</w:t>
      </w:r>
      <w:proofErr w:type="spellEnd"/>
      <w:r w:rsidRPr="00990663">
        <w:rPr>
          <w:rFonts w:ascii="Arial" w:hAnsi="Arial" w:cs="Arial"/>
          <w:sz w:val="20"/>
          <w:szCs w:val="20"/>
        </w:rPr>
        <w:t>, mas pouco específico. Valores alterados quando os níveis de captação forem maiores que 130%.</w:t>
      </w:r>
    </w:p>
    <w:p w14:paraId="2994F64D" w14:textId="77777777" w:rsidR="00D925E9" w:rsidRPr="00990663" w:rsidRDefault="00D925E9" w:rsidP="00990663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90663">
        <w:rPr>
          <w:rFonts w:ascii="Arial" w:hAnsi="Arial" w:cs="Arial"/>
          <w:b/>
          <w:sz w:val="24"/>
          <w:szCs w:val="24"/>
        </w:rPr>
        <w:t>Tratamento:</w:t>
      </w:r>
    </w:p>
    <w:p w14:paraId="52B9A902" w14:textId="77777777" w:rsidR="00A505D8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b/>
          <w:sz w:val="20"/>
          <w:szCs w:val="20"/>
        </w:rPr>
        <w:t>Profilaxia primária:</w:t>
      </w:r>
      <w:r w:rsidR="00A505D8" w:rsidRPr="00990663">
        <w:rPr>
          <w:rFonts w:ascii="Arial" w:hAnsi="Arial" w:cs="Arial"/>
          <w:sz w:val="20"/>
          <w:szCs w:val="20"/>
        </w:rPr>
        <w:t xml:space="preserve"> </w:t>
      </w:r>
    </w:p>
    <w:p w14:paraId="3795A50B" w14:textId="77777777" w:rsidR="00D925E9" w:rsidRPr="00990663" w:rsidRDefault="00A505D8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T</w:t>
      </w:r>
      <w:r w:rsidR="00D925E9" w:rsidRPr="00990663">
        <w:rPr>
          <w:rFonts w:ascii="Arial" w:hAnsi="Arial" w:cs="Arial"/>
          <w:sz w:val="20"/>
          <w:szCs w:val="20"/>
        </w:rPr>
        <w:t xml:space="preserve">em como objetivo erradicar o foco estreptocócico da orofaringe. A droga de escolha é a penicilina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benzatina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, em dose única, por via IM. Em crianças com até 25Kg, a dose é de 600.000U. Nas crianças com peso maior, 1.200.000U. Considerar outras alternativas apenas em impossibilidade absoluta de uso da penicilina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benzatina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: penicilina procaína (400.000U de 12/12h) ; penicilina V (50.000U/Kg/dia, de 6/6h) ; amoxicilina (80-100mg/Kg/dia, de 8/8h) ;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cefalexina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 (50-75 mg/Kg/dia, de 6/6h) ;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claritromicina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 (7,5 mg/Kg/dose, de 12/12h), TODAS durante 10 dias.</w:t>
      </w:r>
    </w:p>
    <w:p w14:paraId="02E95F62" w14:textId="77777777" w:rsidR="00A505D8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b/>
          <w:sz w:val="20"/>
          <w:szCs w:val="20"/>
        </w:rPr>
        <w:t>Profilaxia secundária:</w:t>
      </w:r>
      <w:r w:rsidR="00A505D8" w:rsidRPr="00990663">
        <w:rPr>
          <w:rFonts w:ascii="Arial" w:hAnsi="Arial" w:cs="Arial"/>
          <w:sz w:val="20"/>
          <w:szCs w:val="20"/>
        </w:rPr>
        <w:t xml:space="preserve"> </w:t>
      </w:r>
    </w:p>
    <w:p w14:paraId="4DFCD18C" w14:textId="77777777" w:rsidR="00D925E9" w:rsidRPr="00990663" w:rsidRDefault="00A505D8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N</w:t>
      </w:r>
      <w:r w:rsidR="00D925E9" w:rsidRPr="00990663">
        <w:rPr>
          <w:rFonts w:ascii="Arial" w:hAnsi="Arial" w:cs="Arial"/>
          <w:sz w:val="20"/>
          <w:szCs w:val="20"/>
        </w:rPr>
        <w:t xml:space="preserve">ecessária para impedir novas recorrências da doença. Deve ser feita com a penicilina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benzatina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, a cada 21 dias, por via IM. Em crianças com até 25Kg, a dose é de 600.000U. Nas crianças com peso maior, 1.200.000U. Na impossibilidade de usar a penicilina, a droga de escolha é a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sulfadiazina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>(500 – 1000mg/dia). Nos pacientes sem acometimento cardíaco recomenda-se a manutenção até os 18 anos de idade ou 5 anos após o primeiro surto, o que for maior. Naqueles com comprometimento cardíaco, a profilaxia será mantida indefinidamente. Nos pacientes reumáticos sem sequelas, mas que irão prestar o serviço militar, esta será mantida ao longo do período.</w:t>
      </w:r>
    </w:p>
    <w:p w14:paraId="76FFC25F" w14:textId="77777777" w:rsidR="00A505D8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b/>
          <w:sz w:val="20"/>
          <w:szCs w:val="20"/>
        </w:rPr>
        <w:t>Artrite:</w:t>
      </w:r>
      <w:r w:rsidR="00A505D8" w:rsidRPr="00990663">
        <w:rPr>
          <w:rFonts w:ascii="Arial" w:hAnsi="Arial" w:cs="Arial"/>
          <w:sz w:val="20"/>
          <w:szCs w:val="20"/>
        </w:rPr>
        <w:t xml:space="preserve"> </w:t>
      </w:r>
    </w:p>
    <w:p w14:paraId="4CD0B78A" w14:textId="34E462ED" w:rsidR="00D925E9" w:rsidRPr="00990663" w:rsidRDefault="00A505D8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É</w:t>
      </w:r>
      <w:r w:rsidR="00D925E9" w:rsidRPr="00990663">
        <w:rPr>
          <w:rFonts w:ascii="Arial" w:hAnsi="Arial" w:cs="Arial"/>
          <w:sz w:val="20"/>
          <w:szCs w:val="20"/>
        </w:rPr>
        <w:t xml:space="preserve"> indicado o ácido acetil salicílico (AAS), na dose de 80 a 100mg/Kg/dia, de 6/6h, máximo de </w:t>
      </w:r>
      <w:r w:rsidR="000F729E">
        <w:rPr>
          <w:rFonts w:ascii="Arial" w:hAnsi="Arial" w:cs="Arial"/>
          <w:sz w:val="20"/>
          <w:szCs w:val="20"/>
        </w:rPr>
        <w:t>2</w:t>
      </w:r>
      <w:r w:rsidR="00D925E9" w:rsidRPr="00990663">
        <w:rPr>
          <w:rFonts w:ascii="Arial" w:hAnsi="Arial" w:cs="Arial"/>
          <w:sz w:val="20"/>
          <w:szCs w:val="20"/>
        </w:rPr>
        <w:t xml:space="preserve">g/dia, tendo cuidado com o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salicilismo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 (intoxicação pelo AAS).</w:t>
      </w:r>
    </w:p>
    <w:p w14:paraId="7E1DFAE0" w14:textId="77777777" w:rsidR="00A505D8" w:rsidRPr="00990663" w:rsidRDefault="00A505D8" w:rsidP="00990663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12A90B57" w14:textId="77777777" w:rsidR="00A505D8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0663">
        <w:rPr>
          <w:rFonts w:ascii="Arial" w:hAnsi="Arial" w:cs="Arial"/>
          <w:b/>
          <w:sz w:val="20"/>
          <w:szCs w:val="20"/>
        </w:rPr>
        <w:lastRenderedPageBreak/>
        <w:t>Cardite</w:t>
      </w:r>
      <w:proofErr w:type="spellEnd"/>
      <w:r w:rsidRPr="00990663">
        <w:rPr>
          <w:rFonts w:ascii="Arial" w:hAnsi="Arial" w:cs="Arial"/>
          <w:b/>
          <w:sz w:val="20"/>
          <w:szCs w:val="20"/>
        </w:rPr>
        <w:t>:</w:t>
      </w:r>
      <w:r w:rsidR="00A505D8" w:rsidRPr="00990663">
        <w:rPr>
          <w:rFonts w:ascii="Arial" w:hAnsi="Arial" w:cs="Arial"/>
          <w:sz w:val="20"/>
          <w:szCs w:val="20"/>
        </w:rPr>
        <w:t xml:space="preserve"> </w:t>
      </w:r>
    </w:p>
    <w:p w14:paraId="7A24BC4E" w14:textId="2C213C41" w:rsidR="00D925E9" w:rsidRPr="00990663" w:rsidRDefault="00A505D8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O</w:t>
      </w:r>
      <w:r w:rsidR="00D925E9" w:rsidRPr="009906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corticóide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 é indicado para qualquer grau de comprometimento cardíaco. A droga de escolha é a prednisona</w:t>
      </w:r>
      <w:r w:rsidR="0003639D">
        <w:rPr>
          <w:rFonts w:ascii="Arial" w:hAnsi="Arial" w:cs="Arial"/>
          <w:sz w:val="20"/>
          <w:szCs w:val="20"/>
        </w:rPr>
        <w:t xml:space="preserve"> (ou a </w:t>
      </w:r>
      <w:proofErr w:type="spellStart"/>
      <w:r w:rsidR="0003639D">
        <w:rPr>
          <w:rFonts w:ascii="Arial" w:hAnsi="Arial" w:cs="Arial"/>
          <w:sz w:val="20"/>
          <w:szCs w:val="20"/>
        </w:rPr>
        <w:t>prednisolona</w:t>
      </w:r>
      <w:proofErr w:type="spellEnd"/>
      <w:r w:rsidR="0003639D">
        <w:rPr>
          <w:rFonts w:ascii="Arial" w:hAnsi="Arial" w:cs="Arial"/>
          <w:sz w:val="20"/>
          <w:szCs w:val="20"/>
        </w:rPr>
        <w:t>)</w:t>
      </w:r>
      <w:r w:rsidR="00D925E9" w:rsidRPr="00990663">
        <w:rPr>
          <w:rFonts w:ascii="Arial" w:hAnsi="Arial" w:cs="Arial"/>
          <w:sz w:val="20"/>
          <w:szCs w:val="20"/>
        </w:rPr>
        <w:t xml:space="preserve">, na dose de 2mg/Kg/dia (em crianças, a dose mínima é de 40mg/dia e máximo de 60 mg/dia), em 3 doses fracionadas ao longo do dia. A dose máxima deve ser mantida por 2 a 4 semanas, </w:t>
      </w:r>
      <w:r w:rsidR="0003639D">
        <w:rPr>
          <w:rFonts w:ascii="Arial" w:hAnsi="Arial" w:cs="Arial"/>
          <w:sz w:val="20"/>
          <w:szCs w:val="20"/>
        </w:rPr>
        <w:t xml:space="preserve">a depender da intensidade da </w:t>
      </w:r>
      <w:proofErr w:type="spellStart"/>
      <w:r w:rsidR="0003639D">
        <w:rPr>
          <w:rFonts w:ascii="Arial" w:hAnsi="Arial" w:cs="Arial"/>
          <w:sz w:val="20"/>
          <w:szCs w:val="20"/>
        </w:rPr>
        <w:t>cardite</w:t>
      </w:r>
      <w:proofErr w:type="spellEnd"/>
      <w:r w:rsidR="0003639D">
        <w:rPr>
          <w:rFonts w:ascii="Arial" w:hAnsi="Arial" w:cs="Arial"/>
          <w:sz w:val="20"/>
          <w:szCs w:val="20"/>
        </w:rPr>
        <w:t xml:space="preserve">, </w:t>
      </w:r>
      <w:r w:rsidR="00D925E9" w:rsidRPr="00990663">
        <w:rPr>
          <w:rFonts w:ascii="Arial" w:hAnsi="Arial" w:cs="Arial"/>
          <w:sz w:val="20"/>
          <w:szCs w:val="20"/>
        </w:rPr>
        <w:t xml:space="preserve">seguindo-se o desmame de 20% da dose </w:t>
      </w:r>
      <w:r w:rsidR="0003639D">
        <w:rPr>
          <w:rFonts w:ascii="Arial" w:hAnsi="Arial" w:cs="Arial"/>
          <w:sz w:val="20"/>
          <w:szCs w:val="20"/>
        </w:rPr>
        <w:t>a cada 7 a 10 dias</w:t>
      </w:r>
      <w:r w:rsidR="00D925E9" w:rsidRPr="00990663">
        <w:rPr>
          <w:rFonts w:ascii="Arial" w:hAnsi="Arial" w:cs="Arial"/>
          <w:sz w:val="20"/>
          <w:szCs w:val="20"/>
        </w:rPr>
        <w:t>, em dose única matinal, até completar o tempo total de tratamento de 90</w:t>
      </w:r>
      <w:r w:rsidR="0003639D">
        <w:rPr>
          <w:rFonts w:ascii="Arial" w:hAnsi="Arial" w:cs="Arial"/>
          <w:sz w:val="20"/>
          <w:szCs w:val="20"/>
        </w:rPr>
        <w:t xml:space="preserve"> a 110 dias</w:t>
      </w:r>
      <w:r w:rsidR="00D925E9" w:rsidRPr="00990663">
        <w:rPr>
          <w:rFonts w:ascii="Arial" w:hAnsi="Arial" w:cs="Arial"/>
          <w:sz w:val="20"/>
          <w:szCs w:val="20"/>
        </w:rPr>
        <w:t xml:space="preserve">. Devemos ter o cuidado de, antes de iniciar o tratamento com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cortic</w:t>
      </w:r>
      <w:r w:rsidR="0003639D">
        <w:rPr>
          <w:rFonts w:ascii="Arial" w:hAnsi="Arial" w:cs="Arial"/>
          <w:sz w:val="20"/>
          <w:szCs w:val="20"/>
        </w:rPr>
        <w:t>ó</w:t>
      </w:r>
      <w:r w:rsidR="00D925E9" w:rsidRPr="00990663">
        <w:rPr>
          <w:rFonts w:ascii="Arial" w:hAnsi="Arial" w:cs="Arial"/>
          <w:sz w:val="20"/>
          <w:szCs w:val="20"/>
        </w:rPr>
        <w:t>ide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>, solicitar PPD e EPF, ou prescrever diretamente o anti-helmíntico. A dieta deverá ser hipossódica durante o uso dessa medicação e aferir regularmente a pressão arterial.</w:t>
      </w:r>
    </w:p>
    <w:p w14:paraId="6E58E2E9" w14:textId="77777777" w:rsidR="00A505D8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b/>
          <w:sz w:val="20"/>
          <w:szCs w:val="20"/>
        </w:rPr>
        <w:t>Coréia:</w:t>
      </w:r>
      <w:r w:rsidR="00A505D8" w:rsidRPr="00990663">
        <w:rPr>
          <w:rFonts w:ascii="Arial" w:hAnsi="Arial" w:cs="Arial"/>
          <w:sz w:val="20"/>
          <w:szCs w:val="20"/>
        </w:rPr>
        <w:t xml:space="preserve"> </w:t>
      </w:r>
    </w:p>
    <w:p w14:paraId="6305F81B" w14:textId="77777777" w:rsidR="00D925E9" w:rsidRPr="00990663" w:rsidRDefault="00A505D8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I</w:t>
      </w:r>
      <w:r w:rsidR="00D925E9" w:rsidRPr="00990663">
        <w:rPr>
          <w:rFonts w:ascii="Arial" w:hAnsi="Arial" w:cs="Arial"/>
          <w:sz w:val="20"/>
          <w:szCs w:val="20"/>
        </w:rPr>
        <w:t xml:space="preserve">ndicado o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haloperidol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, na dose de 1 a 4 mg/dia. Há comprimidos de 1 e de 5mg e solução(gotas) em que 10 gotas/1 mg. Alternativamente, o ácido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valpróico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 pode ser utilizado na dose de 20 a 40mg/Kg/dia, de 6/6h). Iniciar o desmame após as 4 primeiras semanas de uso, reduzindo 30 a 50% da dose diária mensalmente, até completar o período total do tratamento(12 semanas).</w:t>
      </w:r>
    </w:p>
    <w:p w14:paraId="770C2090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Tratamento da ICC: diuréticos, vasodilatadores, digitálicos, cloreto de potássio, etc.</w:t>
      </w:r>
    </w:p>
    <w:p w14:paraId="274A1EB6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Manipulação de foco séptico ou que possa induzir bacteremia(por exemplo, dentário): fazer dose extra de antibiótico, sendo indicada a amoxicilina 1 grama, 1 hora antes e outra dose 4 horas após o procedimento.</w:t>
      </w:r>
    </w:p>
    <w:p w14:paraId="61890342" w14:textId="77777777" w:rsidR="00A505D8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b/>
          <w:sz w:val="20"/>
          <w:szCs w:val="20"/>
        </w:rPr>
        <w:t>Prognóstico:</w:t>
      </w:r>
      <w:r w:rsidR="00A505D8" w:rsidRPr="00990663">
        <w:rPr>
          <w:rFonts w:ascii="Arial" w:hAnsi="Arial" w:cs="Arial"/>
          <w:sz w:val="20"/>
          <w:szCs w:val="20"/>
        </w:rPr>
        <w:t xml:space="preserve"> </w:t>
      </w:r>
    </w:p>
    <w:p w14:paraId="604EDE54" w14:textId="77777777" w:rsidR="00D925E9" w:rsidRPr="00990663" w:rsidRDefault="00A505D8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E</w:t>
      </w:r>
      <w:r w:rsidR="00D925E9" w:rsidRPr="00990663">
        <w:rPr>
          <w:rFonts w:ascii="Arial" w:hAnsi="Arial" w:cs="Arial"/>
          <w:sz w:val="20"/>
          <w:szCs w:val="20"/>
        </w:rPr>
        <w:t xml:space="preserve">xcelente para os pacientes sem lesão cardíaca. Nos casos de </w:t>
      </w:r>
      <w:proofErr w:type="spellStart"/>
      <w:r w:rsidR="00D925E9" w:rsidRPr="00990663">
        <w:rPr>
          <w:rFonts w:ascii="Arial" w:hAnsi="Arial" w:cs="Arial"/>
          <w:sz w:val="20"/>
          <w:szCs w:val="20"/>
        </w:rPr>
        <w:t>cardite</w:t>
      </w:r>
      <w:proofErr w:type="spellEnd"/>
      <w:r w:rsidR="00D925E9" w:rsidRPr="00990663">
        <w:rPr>
          <w:rFonts w:ascii="Arial" w:hAnsi="Arial" w:cs="Arial"/>
          <w:sz w:val="20"/>
          <w:szCs w:val="20"/>
        </w:rPr>
        <w:t xml:space="preserve">, o prognóstico dependerá do grau de comprometimento do coração, bem como da agilidade para o diagnóstico e tratamento corretos e da adesão à profilaxia secundária. </w:t>
      </w:r>
    </w:p>
    <w:p w14:paraId="4CB4372C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8B57A16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90663">
        <w:rPr>
          <w:rFonts w:ascii="Arial" w:hAnsi="Arial" w:cs="Arial"/>
          <w:b/>
          <w:sz w:val="24"/>
          <w:szCs w:val="24"/>
        </w:rPr>
        <w:t>Referências bibliográficas:</w:t>
      </w:r>
    </w:p>
    <w:p w14:paraId="2519756F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1-Oliveira, SKF.; Azevedo, ECL. Reumatologia Pediátrica. 2.ed .Rio de Janeiro: </w:t>
      </w:r>
      <w:proofErr w:type="spellStart"/>
      <w:r w:rsidRPr="00990663">
        <w:rPr>
          <w:rFonts w:ascii="Arial" w:hAnsi="Arial" w:cs="Arial"/>
          <w:sz w:val="20"/>
          <w:szCs w:val="20"/>
        </w:rPr>
        <w:t>Revinter</w:t>
      </w:r>
      <w:proofErr w:type="spellEnd"/>
      <w:r w:rsidRPr="00990663">
        <w:rPr>
          <w:rFonts w:ascii="Arial" w:hAnsi="Arial" w:cs="Arial"/>
          <w:sz w:val="20"/>
          <w:szCs w:val="20"/>
        </w:rPr>
        <w:t>, 2001.</w:t>
      </w:r>
    </w:p>
    <w:p w14:paraId="5CBAFC30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  <w:lang w:val="en-US"/>
        </w:rPr>
        <w:t>2-Cassidy, JT(</w:t>
      </w:r>
      <w:proofErr w:type="spellStart"/>
      <w:r w:rsidRPr="00990663">
        <w:rPr>
          <w:rFonts w:ascii="Arial" w:hAnsi="Arial" w:cs="Arial"/>
          <w:sz w:val="20"/>
          <w:szCs w:val="20"/>
          <w:lang w:val="en-US"/>
        </w:rPr>
        <w:t>coord</w:t>
      </w:r>
      <w:proofErr w:type="spellEnd"/>
      <w:r w:rsidRPr="00990663">
        <w:rPr>
          <w:rFonts w:ascii="Arial" w:hAnsi="Arial" w:cs="Arial"/>
          <w:sz w:val="20"/>
          <w:szCs w:val="20"/>
          <w:lang w:val="en-US"/>
        </w:rPr>
        <w:t xml:space="preserve">). Textbook of Rheumatology. </w:t>
      </w:r>
      <w:r w:rsidRPr="00990663">
        <w:rPr>
          <w:rFonts w:ascii="Arial" w:hAnsi="Arial" w:cs="Arial"/>
          <w:sz w:val="20"/>
          <w:szCs w:val="20"/>
        </w:rPr>
        <w:t>2.ed.Philadelphia: Elsevier, 2010.</w:t>
      </w:r>
    </w:p>
    <w:p w14:paraId="0C69A79D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>3- Silva, CAA(</w:t>
      </w:r>
      <w:proofErr w:type="spellStart"/>
      <w:r w:rsidRPr="00990663">
        <w:rPr>
          <w:rFonts w:ascii="Arial" w:hAnsi="Arial" w:cs="Arial"/>
          <w:sz w:val="20"/>
          <w:szCs w:val="20"/>
        </w:rPr>
        <w:t>coord</w:t>
      </w:r>
      <w:proofErr w:type="spellEnd"/>
      <w:r w:rsidRPr="00990663">
        <w:rPr>
          <w:rFonts w:ascii="Arial" w:hAnsi="Arial" w:cs="Arial"/>
          <w:sz w:val="20"/>
          <w:szCs w:val="20"/>
        </w:rPr>
        <w:t>). Instituto da Criança Hospital das Clínicas FMUSP. Departamento de Pediatria. Doenças Reumáticas na Criança e no Adolescente. 1. ed. São Paulo: Manole, 2006.</w:t>
      </w:r>
    </w:p>
    <w:p w14:paraId="4C4FF445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4- </w:t>
      </w:r>
      <w:proofErr w:type="spellStart"/>
      <w:r w:rsidRPr="00990663">
        <w:rPr>
          <w:rFonts w:ascii="Arial" w:hAnsi="Arial" w:cs="Arial"/>
          <w:sz w:val="20"/>
          <w:szCs w:val="20"/>
        </w:rPr>
        <w:t>Naspitz</w:t>
      </w:r>
      <w:proofErr w:type="spellEnd"/>
      <w:r w:rsidRPr="00990663">
        <w:rPr>
          <w:rFonts w:ascii="Arial" w:hAnsi="Arial" w:cs="Arial"/>
          <w:sz w:val="20"/>
          <w:szCs w:val="20"/>
        </w:rPr>
        <w:t>, CK(</w:t>
      </w:r>
      <w:proofErr w:type="spellStart"/>
      <w:r w:rsidRPr="00990663">
        <w:rPr>
          <w:rFonts w:ascii="Arial" w:hAnsi="Arial" w:cs="Arial"/>
          <w:sz w:val="20"/>
          <w:szCs w:val="20"/>
        </w:rPr>
        <w:t>coord</w:t>
      </w:r>
      <w:proofErr w:type="spellEnd"/>
      <w:r w:rsidRPr="00990663">
        <w:rPr>
          <w:rFonts w:ascii="Arial" w:hAnsi="Arial" w:cs="Arial"/>
          <w:sz w:val="20"/>
          <w:szCs w:val="20"/>
        </w:rPr>
        <w:t>). Guias de Medicina Ambulatorial e Hospitalar UNIFESP. Alergia, Imunologia e Reumatologia em Pediatria.1. ed. São Paulo: Manole, 2006.</w:t>
      </w:r>
    </w:p>
    <w:p w14:paraId="325AEAC9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5- Oliveira, </w:t>
      </w:r>
      <w:proofErr w:type="spellStart"/>
      <w:r w:rsidRPr="00990663">
        <w:rPr>
          <w:rFonts w:ascii="Arial" w:hAnsi="Arial" w:cs="Arial"/>
          <w:sz w:val="20"/>
          <w:szCs w:val="20"/>
        </w:rPr>
        <w:t>SKF.Reumatologia</w:t>
      </w:r>
      <w:proofErr w:type="spellEnd"/>
      <w:r w:rsidRPr="00990663">
        <w:rPr>
          <w:rFonts w:ascii="Arial" w:hAnsi="Arial" w:cs="Arial"/>
          <w:sz w:val="20"/>
          <w:szCs w:val="20"/>
        </w:rPr>
        <w:t xml:space="preserve"> para Pediatras. 1.ed .Rio de Janeiro: </w:t>
      </w:r>
      <w:proofErr w:type="spellStart"/>
      <w:r w:rsidRPr="00990663">
        <w:rPr>
          <w:rFonts w:ascii="Arial" w:hAnsi="Arial" w:cs="Arial"/>
          <w:sz w:val="20"/>
          <w:szCs w:val="20"/>
        </w:rPr>
        <w:t>Revinter</w:t>
      </w:r>
      <w:proofErr w:type="spellEnd"/>
      <w:r w:rsidRPr="00990663">
        <w:rPr>
          <w:rFonts w:ascii="Arial" w:hAnsi="Arial" w:cs="Arial"/>
          <w:sz w:val="20"/>
          <w:szCs w:val="20"/>
        </w:rPr>
        <w:t>, 2003.</w:t>
      </w:r>
    </w:p>
    <w:p w14:paraId="64EDF430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6- Oliveira, SKF; Rodrigues, MCF. Reumatologia na Prática para Pediatras. 1.ed .Rio de Janeiro: </w:t>
      </w:r>
      <w:proofErr w:type="spellStart"/>
      <w:r w:rsidRPr="00990663">
        <w:rPr>
          <w:rFonts w:ascii="Arial" w:hAnsi="Arial" w:cs="Arial"/>
          <w:sz w:val="20"/>
          <w:szCs w:val="20"/>
        </w:rPr>
        <w:t>Revinter</w:t>
      </w:r>
      <w:proofErr w:type="spellEnd"/>
      <w:r w:rsidRPr="00990663">
        <w:rPr>
          <w:rFonts w:ascii="Arial" w:hAnsi="Arial" w:cs="Arial"/>
          <w:sz w:val="20"/>
          <w:szCs w:val="20"/>
        </w:rPr>
        <w:t>, 2010</w:t>
      </w:r>
    </w:p>
    <w:p w14:paraId="17BDC71B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90663">
        <w:rPr>
          <w:rFonts w:ascii="Arial" w:hAnsi="Arial" w:cs="Arial"/>
          <w:sz w:val="20"/>
          <w:szCs w:val="20"/>
        </w:rPr>
        <w:t xml:space="preserve">7-Terreri, MTRA; </w:t>
      </w:r>
      <w:proofErr w:type="spellStart"/>
      <w:r w:rsidRPr="00990663">
        <w:rPr>
          <w:rFonts w:ascii="Arial" w:hAnsi="Arial" w:cs="Arial"/>
          <w:sz w:val="20"/>
          <w:szCs w:val="20"/>
        </w:rPr>
        <w:t>Sacchetti</w:t>
      </w:r>
      <w:proofErr w:type="spellEnd"/>
      <w:r w:rsidRPr="00990663">
        <w:rPr>
          <w:rFonts w:ascii="Arial" w:hAnsi="Arial" w:cs="Arial"/>
          <w:sz w:val="20"/>
          <w:szCs w:val="20"/>
        </w:rPr>
        <w:t>, SB. Reumatologia para o Pediatra. Sociedade de Pediatria de São Paulo, Departamento de Pediatria. 1.ed. São Paulo: Atheneu, 2008.</w:t>
      </w:r>
    </w:p>
    <w:p w14:paraId="141DDE35" w14:textId="77777777" w:rsidR="0003639D" w:rsidRDefault="0003639D" w:rsidP="0003639D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14:paraId="289B1FDA" w14:textId="145ECE52" w:rsidR="00D925E9" w:rsidRPr="0003639D" w:rsidRDefault="0003639D" w:rsidP="000363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3639D">
        <w:rPr>
          <w:rFonts w:ascii="Arial" w:hAnsi="Arial" w:cs="Arial"/>
          <w:bCs/>
          <w:sz w:val="20"/>
          <w:szCs w:val="20"/>
        </w:rPr>
        <w:t>Responsável pela elaboração da rotina:</w:t>
      </w:r>
      <w:r w:rsidRPr="0003639D">
        <w:rPr>
          <w:rFonts w:ascii="Arial" w:hAnsi="Arial" w:cs="Arial"/>
          <w:b/>
          <w:sz w:val="20"/>
          <w:szCs w:val="20"/>
        </w:rPr>
        <w:t xml:space="preserve"> </w:t>
      </w:r>
      <w:r w:rsidR="00D925E9" w:rsidRPr="0003639D">
        <w:rPr>
          <w:rFonts w:ascii="Arial" w:hAnsi="Arial" w:cs="Arial"/>
          <w:sz w:val="20"/>
          <w:szCs w:val="20"/>
        </w:rPr>
        <w:t xml:space="preserve">Dra. </w:t>
      </w:r>
      <w:proofErr w:type="spellStart"/>
      <w:r w:rsidR="00D925E9" w:rsidRPr="0003639D">
        <w:rPr>
          <w:rFonts w:ascii="Arial" w:hAnsi="Arial" w:cs="Arial"/>
          <w:sz w:val="20"/>
          <w:szCs w:val="20"/>
        </w:rPr>
        <w:t>Dania</w:t>
      </w:r>
      <w:proofErr w:type="spellEnd"/>
      <w:r w:rsidR="00D925E9" w:rsidRPr="0003639D">
        <w:rPr>
          <w:rFonts w:ascii="Arial" w:hAnsi="Arial" w:cs="Arial"/>
          <w:sz w:val="20"/>
          <w:szCs w:val="20"/>
        </w:rPr>
        <w:t xml:space="preserve"> Lemos </w:t>
      </w:r>
      <w:proofErr w:type="spellStart"/>
      <w:r w:rsidR="00D925E9" w:rsidRPr="0003639D">
        <w:rPr>
          <w:rFonts w:ascii="Arial" w:hAnsi="Arial" w:cs="Arial"/>
          <w:sz w:val="20"/>
          <w:szCs w:val="20"/>
        </w:rPr>
        <w:t>Dionízio</w:t>
      </w:r>
      <w:proofErr w:type="spellEnd"/>
    </w:p>
    <w:p w14:paraId="6221C077" w14:textId="77777777" w:rsidR="00D925E9" w:rsidRPr="00990663" w:rsidRDefault="00D925E9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3E18001" w14:textId="77777777" w:rsidR="005F22E3" w:rsidRPr="00990663" w:rsidRDefault="0003639D" w:rsidP="0099066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5F22E3" w:rsidRPr="00990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785C"/>
    <w:multiLevelType w:val="hybridMultilevel"/>
    <w:tmpl w:val="A4F84F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B59A4"/>
    <w:multiLevelType w:val="hybridMultilevel"/>
    <w:tmpl w:val="C70227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1D4397"/>
    <w:multiLevelType w:val="hybridMultilevel"/>
    <w:tmpl w:val="CCEAB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40E68"/>
    <w:multiLevelType w:val="hybridMultilevel"/>
    <w:tmpl w:val="F66E65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5F66A5"/>
    <w:multiLevelType w:val="hybridMultilevel"/>
    <w:tmpl w:val="07D60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7"/>
    <w:rsid w:val="0003639D"/>
    <w:rsid w:val="000F729E"/>
    <w:rsid w:val="00295427"/>
    <w:rsid w:val="002A36A8"/>
    <w:rsid w:val="006548BF"/>
    <w:rsid w:val="00990663"/>
    <w:rsid w:val="00A505D8"/>
    <w:rsid w:val="00D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874C"/>
  <w15:chartTrackingRefBased/>
  <w15:docId w15:val="{77B74CC5-A08A-4C2F-BEAF-CC37AAE6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1239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RODOLFO ROCHANETO</cp:lastModifiedBy>
  <cp:revision>6</cp:revision>
  <dcterms:created xsi:type="dcterms:W3CDTF">2018-08-02T22:19:00Z</dcterms:created>
  <dcterms:modified xsi:type="dcterms:W3CDTF">2020-05-18T01:46:00Z</dcterms:modified>
</cp:coreProperties>
</file>