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ED28566" w:rsidR="00324D21" w:rsidRPr="00921CA8" w:rsidRDefault="00F859FC" w:rsidP="00921C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bCs/>
          <w:color w:val="000000"/>
          <w:sz w:val="28"/>
          <w:szCs w:val="28"/>
        </w:rPr>
      </w:pPr>
      <w:r w:rsidRPr="00921CA8">
        <w:rPr>
          <w:bCs/>
          <w:sz w:val="28"/>
          <w:szCs w:val="28"/>
        </w:rPr>
        <w:t>INFECÇÕES</w:t>
      </w:r>
      <w:r w:rsidRPr="00921CA8">
        <w:rPr>
          <w:bCs/>
          <w:color w:val="000000"/>
          <w:sz w:val="28"/>
          <w:szCs w:val="28"/>
        </w:rPr>
        <w:t xml:space="preserve"> </w:t>
      </w:r>
      <w:r w:rsidRPr="00921CA8">
        <w:rPr>
          <w:bCs/>
          <w:sz w:val="28"/>
          <w:szCs w:val="28"/>
        </w:rPr>
        <w:t xml:space="preserve">TEGUMENTARES E </w:t>
      </w:r>
      <w:r w:rsidRPr="00921CA8">
        <w:rPr>
          <w:bCs/>
          <w:color w:val="000000"/>
          <w:sz w:val="28"/>
          <w:szCs w:val="28"/>
        </w:rPr>
        <w:t>MIOSITES</w:t>
      </w:r>
    </w:p>
    <w:p w14:paraId="00000002" w14:textId="77777777" w:rsidR="00324D21" w:rsidRPr="00F859FC" w:rsidRDefault="00324D21" w:rsidP="00F859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0"/>
          <w:szCs w:val="20"/>
        </w:rPr>
      </w:pPr>
    </w:p>
    <w:p w14:paraId="00000003" w14:textId="26B9219D" w:rsidR="00324D21" w:rsidRDefault="00F859FC" w:rsidP="00F859FC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b/>
          <w:color w:val="000000"/>
          <w:sz w:val="24"/>
          <w:szCs w:val="24"/>
        </w:rPr>
      </w:pPr>
      <w:r w:rsidRPr="00F859FC">
        <w:rPr>
          <w:b/>
          <w:color w:val="000000"/>
          <w:sz w:val="24"/>
          <w:szCs w:val="24"/>
        </w:rPr>
        <w:t>Diagnóstico Clínico:</w:t>
      </w:r>
    </w:p>
    <w:p w14:paraId="274B3BC9" w14:textId="77777777" w:rsidR="00F859FC" w:rsidRPr="00F859FC" w:rsidRDefault="00F859FC" w:rsidP="00F859FC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b/>
          <w:color w:val="000000"/>
          <w:sz w:val="24"/>
          <w:szCs w:val="24"/>
        </w:rPr>
      </w:pPr>
    </w:p>
    <w:p w14:paraId="00000004" w14:textId="77777777" w:rsidR="00324D21" w:rsidRPr="00F859FC" w:rsidRDefault="00D92962" w:rsidP="00F859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0"/>
          <w:szCs w:val="20"/>
        </w:rPr>
      </w:pPr>
      <w:r w:rsidRPr="00F859FC">
        <w:rPr>
          <w:sz w:val="20"/>
          <w:szCs w:val="20"/>
        </w:rPr>
        <w:t xml:space="preserve">Doenças infecciosas de pele, anexos e tecido subcutâneo, de apresentação heterogênea, cujos agentes etiológicos mais frequentes são o </w:t>
      </w:r>
      <w:proofErr w:type="spellStart"/>
      <w:r w:rsidRPr="00F859FC">
        <w:rPr>
          <w:i/>
          <w:sz w:val="20"/>
          <w:szCs w:val="20"/>
        </w:rPr>
        <w:t>Staphylococcus</w:t>
      </w:r>
      <w:proofErr w:type="spellEnd"/>
      <w:r w:rsidRPr="00F859FC">
        <w:rPr>
          <w:i/>
          <w:sz w:val="20"/>
          <w:szCs w:val="20"/>
        </w:rPr>
        <w:t xml:space="preserve"> aureus</w:t>
      </w:r>
      <w:r w:rsidRPr="00F859FC">
        <w:rPr>
          <w:sz w:val="20"/>
          <w:szCs w:val="20"/>
        </w:rPr>
        <w:t xml:space="preserve"> e o </w:t>
      </w:r>
      <w:r w:rsidRPr="00F859FC">
        <w:rPr>
          <w:i/>
          <w:sz w:val="20"/>
          <w:szCs w:val="20"/>
        </w:rPr>
        <w:t xml:space="preserve">Streptococcus </w:t>
      </w:r>
      <w:proofErr w:type="spellStart"/>
      <w:r w:rsidRPr="00F859FC">
        <w:rPr>
          <w:i/>
          <w:sz w:val="20"/>
          <w:szCs w:val="20"/>
        </w:rPr>
        <w:t>pyogenes</w:t>
      </w:r>
      <w:proofErr w:type="spellEnd"/>
      <w:r w:rsidRPr="00F859FC">
        <w:rPr>
          <w:sz w:val="20"/>
          <w:szCs w:val="20"/>
        </w:rPr>
        <w:t>, beta-hemolítico, do grupo A.</w:t>
      </w:r>
    </w:p>
    <w:p w14:paraId="00000005" w14:textId="77777777" w:rsidR="00324D21" w:rsidRPr="00F859FC" w:rsidRDefault="00D92962" w:rsidP="00F859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color w:val="000000"/>
          <w:sz w:val="20"/>
          <w:szCs w:val="20"/>
        </w:rPr>
      </w:pPr>
      <w:r w:rsidRPr="00F859FC">
        <w:rPr>
          <w:color w:val="000000"/>
          <w:sz w:val="20"/>
          <w:szCs w:val="20"/>
        </w:rPr>
        <w:t>Fatores de risco: C</w:t>
      </w:r>
      <w:r w:rsidRPr="00F859FC">
        <w:rPr>
          <w:sz w:val="20"/>
          <w:szCs w:val="20"/>
        </w:rPr>
        <w:t>rianças abaixo de 5 anos, em especial as do gênero masculino e as que habitualmente se expõem a risco de pequenos traumas. Mais comum em climas quentes</w:t>
      </w:r>
    </w:p>
    <w:p w14:paraId="00000006" w14:textId="77777777" w:rsidR="00324D21" w:rsidRPr="00F859FC" w:rsidRDefault="00D92962" w:rsidP="00F859FC">
      <w:pPr>
        <w:jc w:val="both"/>
        <w:rPr>
          <w:sz w:val="20"/>
          <w:szCs w:val="20"/>
        </w:rPr>
      </w:pPr>
      <w:r w:rsidRPr="00F859FC">
        <w:rPr>
          <w:sz w:val="20"/>
          <w:szCs w:val="20"/>
        </w:rPr>
        <w:t>Sinais e sintomas frequentes:</w:t>
      </w:r>
    </w:p>
    <w:p w14:paraId="00000007" w14:textId="77777777" w:rsidR="00324D21" w:rsidRPr="00F859FC" w:rsidRDefault="00D92962" w:rsidP="00921CA8">
      <w:pPr>
        <w:jc w:val="both"/>
        <w:rPr>
          <w:sz w:val="20"/>
          <w:szCs w:val="20"/>
        </w:rPr>
      </w:pPr>
      <w:r w:rsidRPr="00F859FC">
        <w:rPr>
          <w:b/>
          <w:sz w:val="20"/>
          <w:szCs w:val="20"/>
        </w:rPr>
        <w:t>Abscesso</w:t>
      </w:r>
      <w:r w:rsidRPr="00F859FC">
        <w:rPr>
          <w:sz w:val="20"/>
          <w:szCs w:val="20"/>
        </w:rPr>
        <w:t>: coleção profunda de pus, de tamanho variável, proeminente ou não. Há rubor, calor, dor e depois flutuação.</w:t>
      </w:r>
    </w:p>
    <w:p w14:paraId="00000008" w14:textId="77777777" w:rsidR="00324D21" w:rsidRPr="00F859FC" w:rsidRDefault="00D92962" w:rsidP="00921CA8">
      <w:pPr>
        <w:jc w:val="both"/>
        <w:rPr>
          <w:sz w:val="20"/>
          <w:szCs w:val="20"/>
        </w:rPr>
      </w:pPr>
      <w:r w:rsidRPr="00F859FC">
        <w:rPr>
          <w:b/>
          <w:sz w:val="20"/>
          <w:szCs w:val="20"/>
        </w:rPr>
        <w:t>Impetigo</w:t>
      </w:r>
      <w:r w:rsidRPr="00F859FC">
        <w:rPr>
          <w:sz w:val="20"/>
          <w:szCs w:val="20"/>
        </w:rPr>
        <w:t>: infecção superficial da pele, caracteristicamente com vesículas, bolhas e pústulas, as quais se rompem formando crostas.</w:t>
      </w:r>
    </w:p>
    <w:p w14:paraId="00000009" w14:textId="77777777" w:rsidR="00324D21" w:rsidRPr="00F859FC" w:rsidRDefault="00D92962" w:rsidP="00921CA8">
      <w:pPr>
        <w:jc w:val="both"/>
        <w:rPr>
          <w:sz w:val="20"/>
          <w:szCs w:val="20"/>
        </w:rPr>
      </w:pPr>
      <w:proofErr w:type="spellStart"/>
      <w:r w:rsidRPr="00F859FC">
        <w:rPr>
          <w:b/>
          <w:sz w:val="20"/>
          <w:szCs w:val="20"/>
        </w:rPr>
        <w:t>Ectima</w:t>
      </w:r>
      <w:proofErr w:type="spellEnd"/>
      <w:r w:rsidRPr="00F859FC">
        <w:rPr>
          <w:sz w:val="20"/>
          <w:szCs w:val="20"/>
        </w:rPr>
        <w:t xml:space="preserve">: infecção </w:t>
      </w:r>
      <w:proofErr w:type="spellStart"/>
      <w:r w:rsidRPr="00F859FC">
        <w:rPr>
          <w:sz w:val="20"/>
          <w:szCs w:val="20"/>
        </w:rPr>
        <w:t>crostosa</w:t>
      </w:r>
      <w:proofErr w:type="spellEnd"/>
      <w:r w:rsidRPr="00F859FC">
        <w:rPr>
          <w:sz w:val="20"/>
          <w:szCs w:val="20"/>
        </w:rPr>
        <w:t xml:space="preserve"> que envolve epiderme e derme e que à escarificação revela abaixo das crostas uma superfície ulcerada.</w:t>
      </w:r>
    </w:p>
    <w:p w14:paraId="0000000A" w14:textId="77777777" w:rsidR="00324D21" w:rsidRPr="00F859FC" w:rsidRDefault="00D92962" w:rsidP="00921CA8">
      <w:pPr>
        <w:jc w:val="both"/>
        <w:rPr>
          <w:sz w:val="20"/>
          <w:szCs w:val="20"/>
        </w:rPr>
      </w:pPr>
      <w:r w:rsidRPr="00F859FC">
        <w:rPr>
          <w:b/>
          <w:sz w:val="20"/>
          <w:szCs w:val="20"/>
        </w:rPr>
        <w:t>Foliculite</w:t>
      </w:r>
      <w:r w:rsidRPr="00F859FC">
        <w:rPr>
          <w:sz w:val="20"/>
          <w:szCs w:val="20"/>
        </w:rPr>
        <w:t>: infecção do folículo piloso, de caráter limitado e pequena extensão.</w:t>
      </w:r>
    </w:p>
    <w:p w14:paraId="0000000B" w14:textId="77777777" w:rsidR="00324D21" w:rsidRPr="00F859FC" w:rsidRDefault="00D92962" w:rsidP="00921CA8">
      <w:pPr>
        <w:jc w:val="both"/>
        <w:rPr>
          <w:sz w:val="20"/>
          <w:szCs w:val="20"/>
        </w:rPr>
      </w:pPr>
      <w:r w:rsidRPr="00F859FC">
        <w:rPr>
          <w:b/>
          <w:sz w:val="20"/>
          <w:szCs w:val="20"/>
        </w:rPr>
        <w:t>Furúnculo e Antraz</w:t>
      </w:r>
      <w:r w:rsidRPr="00F859FC">
        <w:rPr>
          <w:sz w:val="20"/>
          <w:szCs w:val="20"/>
        </w:rPr>
        <w:t xml:space="preserve">: infecção do folículo piloso e tecidos adjacentes, com reação inflamatória local e às vezes formação de abscessos. </w:t>
      </w:r>
    </w:p>
    <w:p w14:paraId="0000000C" w14:textId="77777777" w:rsidR="00324D21" w:rsidRPr="00F859FC" w:rsidRDefault="00D92962" w:rsidP="00921CA8">
      <w:pPr>
        <w:jc w:val="both"/>
        <w:rPr>
          <w:sz w:val="20"/>
          <w:szCs w:val="20"/>
        </w:rPr>
      </w:pPr>
      <w:r w:rsidRPr="00F859FC">
        <w:rPr>
          <w:b/>
          <w:sz w:val="20"/>
          <w:szCs w:val="20"/>
        </w:rPr>
        <w:t>Erisipela</w:t>
      </w:r>
      <w:r w:rsidRPr="00F859FC">
        <w:rPr>
          <w:sz w:val="20"/>
          <w:szCs w:val="20"/>
        </w:rPr>
        <w:t>: Infecção da derme, área de eritema bem definida, de aspecto vermelho-violáceo, dolorosa, às vezes com porta de entrada.</w:t>
      </w:r>
    </w:p>
    <w:p w14:paraId="0000000D" w14:textId="77777777" w:rsidR="00324D21" w:rsidRPr="00F859FC" w:rsidRDefault="00D92962" w:rsidP="00921CA8">
      <w:pPr>
        <w:jc w:val="both"/>
        <w:rPr>
          <w:sz w:val="20"/>
          <w:szCs w:val="20"/>
        </w:rPr>
      </w:pPr>
      <w:r w:rsidRPr="00F859FC">
        <w:rPr>
          <w:b/>
          <w:sz w:val="20"/>
          <w:szCs w:val="20"/>
        </w:rPr>
        <w:t>Celulite</w:t>
      </w:r>
      <w:r w:rsidRPr="00F859FC">
        <w:rPr>
          <w:sz w:val="20"/>
          <w:szCs w:val="20"/>
        </w:rPr>
        <w:t>: Infecção da derme e tecido subcutâneo, clinicamente indistinguível da erisipela na maioria dos casos.</w:t>
      </w:r>
    </w:p>
    <w:p w14:paraId="0000000E" w14:textId="77777777" w:rsidR="00324D21" w:rsidRPr="00F859FC" w:rsidRDefault="00D92962" w:rsidP="00921CA8">
      <w:pPr>
        <w:jc w:val="both"/>
        <w:rPr>
          <w:sz w:val="20"/>
          <w:szCs w:val="20"/>
        </w:rPr>
      </w:pPr>
      <w:proofErr w:type="spellStart"/>
      <w:r w:rsidRPr="00F859FC">
        <w:rPr>
          <w:b/>
          <w:sz w:val="20"/>
          <w:szCs w:val="20"/>
        </w:rPr>
        <w:t>Miosite</w:t>
      </w:r>
      <w:proofErr w:type="spellEnd"/>
      <w:r w:rsidRPr="00F859FC">
        <w:rPr>
          <w:b/>
          <w:sz w:val="20"/>
          <w:szCs w:val="20"/>
        </w:rPr>
        <w:t xml:space="preserve"> viral</w:t>
      </w:r>
      <w:r w:rsidRPr="00F859FC">
        <w:rPr>
          <w:sz w:val="20"/>
          <w:szCs w:val="20"/>
        </w:rPr>
        <w:t xml:space="preserve">: inflamação difusa da musculatura, em especial em panturrilhas, sem importantes alterações ao exame à exceção de dor local e dificuldade de marcha. Por vezes a criança pode recusar-se a se levantar, por medo da dor, o que preocupa muito os responsáveis. Diferente do adulto, é </w:t>
      </w:r>
      <w:proofErr w:type="spellStart"/>
      <w:r w:rsidRPr="00F859FC">
        <w:rPr>
          <w:sz w:val="20"/>
          <w:szCs w:val="20"/>
        </w:rPr>
        <w:t>auto-limitada</w:t>
      </w:r>
      <w:proofErr w:type="spellEnd"/>
      <w:r w:rsidRPr="00F859FC">
        <w:rPr>
          <w:sz w:val="20"/>
          <w:szCs w:val="20"/>
        </w:rPr>
        <w:t>, dura poucos dias, embora as enzimas musculares podem manter-se alteradas por vários dias. Os adenovírus e os arbovírus são os principais agentes etiológicos.</w:t>
      </w:r>
    </w:p>
    <w:p w14:paraId="0000000F" w14:textId="77777777" w:rsidR="00324D21" w:rsidRPr="00F859FC" w:rsidRDefault="00D92962" w:rsidP="00921CA8">
      <w:pPr>
        <w:jc w:val="both"/>
        <w:rPr>
          <w:sz w:val="20"/>
          <w:szCs w:val="20"/>
        </w:rPr>
      </w:pPr>
      <w:proofErr w:type="spellStart"/>
      <w:r w:rsidRPr="00F859FC">
        <w:rPr>
          <w:b/>
          <w:sz w:val="20"/>
          <w:szCs w:val="20"/>
        </w:rPr>
        <w:t>Miosites</w:t>
      </w:r>
      <w:proofErr w:type="spellEnd"/>
      <w:r w:rsidRPr="00F859FC">
        <w:rPr>
          <w:b/>
          <w:sz w:val="20"/>
          <w:szCs w:val="20"/>
        </w:rPr>
        <w:t xml:space="preserve"> bacterianas</w:t>
      </w:r>
      <w:r w:rsidRPr="00F859FC">
        <w:rPr>
          <w:sz w:val="20"/>
          <w:szCs w:val="20"/>
        </w:rPr>
        <w:t xml:space="preserve">: são infecções bacterianas graves, que inicialmente podem simular um quadro de celulite, podem envolver qualquer feixe muscular, mas são mais comuns na coxa e no braço. Ocorre intenso edema do membro afetado e muita dor, mas pode ser difícil de notar hiperemia no início. Em muitos casos, há leucocitose com desvio à esquerda. Ao longo de alguns dias há tendência para supuração, mas nem sempre ocorre espontaneamente, sendo necessário indicar drenagem cirúrgica. </w:t>
      </w:r>
      <w:proofErr w:type="spellStart"/>
      <w:r w:rsidRPr="00F859FC">
        <w:rPr>
          <w:sz w:val="20"/>
          <w:szCs w:val="20"/>
        </w:rPr>
        <w:t>Miosites</w:t>
      </w:r>
      <w:proofErr w:type="spellEnd"/>
      <w:r w:rsidRPr="00F859FC">
        <w:rPr>
          <w:sz w:val="20"/>
          <w:szCs w:val="20"/>
        </w:rPr>
        <w:t xml:space="preserve"> bacterianas na coxa evoluem com coleções purulentas laminares que nem sempre são fáceis de perceber ao exame físico, de modo que é necessário solicitar ultrassonografia para que se possa buscar drenagem cirúrgica.</w:t>
      </w:r>
    </w:p>
    <w:p w14:paraId="00000010" w14:textId="77777777" w:rsidR="00324D21" w:rsidRPr="00F859FC" w:rsidRDefault="00324D21" w:rsidP="00F859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b/>
          <w:sz w:val="24"/>
          <w:szCs w:val="24"/>
        </w:rPr>
      </w:pPr>
    </w:p>
    <w:p w14:paraId="35EC0EF1" w14:textId="0493F65C" w:rsidR="00F859FC" w:rsidRPr="00F859FC" w:rsidRDefault="00F859FC" w:rsidP="00F859FC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Diagnóstico Laboratorial: </w:t>
      </w:r>
    </w:p>
    <w:p w14:paraId="00000011" w14:textId="179BB285" w:rsidR="00324D21" w:rsidRDefault="00F859FC" w:rsidP="00F859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Q</w:t>
      </w:r>
      <w:r w:rsidR="00D92962" w:rsidRPr="00F859FC">
        <w:rPr>
          <w:color w:val="000000"/>
          <w:sz w:val="20"/>
          <w:szCs w:val="20"/>
        </w:rPr>
        <w:t xml:space="preserve">uase sempre </w:t>
      </w:r>
      <w:r w:rsidR="00D92962" w:rsidRPr="00F859FC">
        <w:rPr>
          <w:sz w:val="20"/>
          <w:szCs w:val="20"/>
        </w:rPr>
        <w:t xml:space="preserve">dispensável, todavia o hemograma pode demonstrar sinais sugestivos de infecção bacteriana. Ultrassonografia pode ser útil para avaliação de coleções de pus. Na </w:t>
      </w:r>
      <w:proofErr w:type="spellStart"/>
      <w:r w:rsidR="00D92962" w:rsidRPr="00F859FC">
        <w:rPr>
          <w:sz w:val="20"/>
          <w:szCs w:val="20"/>
        </w:rPr>
        <w:t>miosite</w:t>
      </w:r>
      <w:proofErr w:type="spellEnd"/>
      <w:r w:rsidR="00D92962" w:rsidRPr="00F859FC">
        <w:rPr>
          <w:sz w:val="20"/>
          <w:szCs w:val="20"/>
        </w:rPr>
        <w:t xml:space="preserve"> viral é comum se observar leucopenia e aumento de TGO, TGP, DHL e CPK. Estas enzimas se elevam devido a inflamação do tecido muscular.</w:t>
      </w:r>
    </w:p>
    <w:p w14:paraId="4B1C5276" w14:textId="77777777" w:rsidR="00F859FC" w:rsidRPr="00F859FC" w:rsidRDefault="00F859FC" w:rsidP="00F859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color w:val="000000"/>
          <w:sz w:val="20"/>
          <w:szCs w:val="20"/>
        </w:rPr>
      </w:pPr>
    </w:p>
    <w:p w14:paraId="00000012" w14:textId="77777777" w:rsidR="00324D21" w:rsidRPr="00F859FC" w:rsidRDefault="00324D21" w:rsidP="00F859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0"/>
          <w:szCs w:val="20"/>
        </w:rPr>
      </w:pPr>
    </w:p>
    <w:p w14:paraId="0CF0BE88" w14:textId="10EEFE35" w:rsidR="00F859FC" w:rsidRPr="00F859FC" w:rsidRDefault="00F859FC" w:rsidP="00F859FC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b/>
          <w:color w:val="000000"/>
          <w:sz w:val="24"/>
          <w:szCs w:val="24"/>
        </w:rPr>
      </w:pPr>
      <w:r w:rsidRPr="00F859FC">
        <w:rPr>
          <w:b/>
          <w:color w:val="000000"/>
          <w:sz w:val="24"/>
          <w:szCs w:val="24"/>
        </w:rPr>
        <w:lastRenderedPageBreak/>
        <w:t xml:space="preserve">Critérios De Internação: </w:t>
      </w:r>
    </w:p>
    <w:p w14:paraId="00000013" w14:textId="59D14C83" w:rsidR="00324D21" w:rsidRPr="00F859FC" w:rsidRDefault="00F859FC" w:rsidP="00F859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C</w:t>
      </w:r>
      <w:r w:rsidR="00D92962" w:rsidRPr="00F859FC">
        <w:rPr>
          <w:sz w:val="20"/>
          <w:szCs w:val="20"/>
        </w:rPr>
        <w:t>rianças com lesões extensas (que tomem um segmento inteiro de um membro, por exemplo) ou com estado geral comprometido, em especial as menores de 2 anos. Intolerância à medicação oral ou falha de tratamento oral prévio.</w:t>
      </w:r>
    </w:p>
    <w:p w14:paraId="00000014" w14:textId="77777777" w:rsidR="00324D21" w:rsidRPr="00F859FC" w:rsidRDefault="00324D21" w:rsidP="00F859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0"/>
          <w:szCs w:val="20"/>
        </w:rPr>
      </w:pPr>
    </w:p>
    <w:p w14:paraId="6BA86F72" w14:textId="4678A521" w:rsidR="00F859FC" w:rsidRPr="00F859FC" w:rsidRDefault="00F859FC" w:rsidP="00F859FC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b/>
          <w:color w:val="000000"/>
          <w:sz w:val="24"/>
          <w:szCs w:val="24"/>
        </w:rPr>
      </w:pPr>
      <w:r w:rsidRPr="00F859FC">
        <w:rPr>
          <w:b/>
          <w:color w:val="000000"/>
          <w:sz w:val="24"/>
          <w:szCs w:val="24"/>
        </w:rPr>
        <w:t xml:space="preserve">Complicações Mais Frequentes: </w:t>
      </w:r>
    </w:p>
    <w:p w14:paraId="00000015" w14:textId="19CEF68E" w:rsidR="00324D21" w:rsidRPr="00F859FC" w:rsidRDefault="00F859FC" w:rsidP="00F859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N</w:t>
      </w:r>
      <w:r w:rsidR="00D92962" w:rsidRPr="00F859FC">
        <w:rPr>
          <w:color w:val="000000"/>
          <w:sz w:val="20"/>
          <w:szCs w:val="20"/>
        </w:rPr>
        <w:t>ecessidade de drenagem cirúrgi</w:t>
      </w:r>
      <w:r w:rsidR="00D92962" w:rsidRPr="00F859FC">
        <w:rPr>
          <w:sz w:val="20"/>
          <w:szCs w:val="20"/>
        </w:rPr>
        <w:t>ca das coleções, afecção contígua da fáscia muscular, o que geralmente causa dor incapacitante e imobilidade.</w:t>
      </w:r>
    </w:p>
    <w:p w14:paraId="00000016" w14:textId="77777777" w:rsidR="00324D21" w:rsidRPr="00F859FC" w:rsidRDefault="00D92962" w:rsidP="00F859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0"/>
          <w:szCs w:val="20"/>
        </w:rPr>
      </w:pPr>
      <w:r w:rsidRPr="00F859FC">
        <w:rPr>
          <w:sz w:val="20"/>
          <w:szCs w:val="20"/>
        </w:rPr>
        <w:t>Podem ocorrer com síndromes tóxicas como na escarlatina, na síndrome da pele escaldada e na síndrome do choque tóxico.</w:t>
      </w:r>
    </w:p>
    <w:p w14:paraId="00000017" w14:textId="77777777" w:rsidR="00324D21" w:rsidRPr="00F859FC" w:rsidRDefault="00D92962" w:rsidP="00F859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0"/>
          <w:szCs w:val="20"/>
        </w:rPr>
      </w:pPr>
      <w:r w:rsidRPr="00F859FC">
        <w:rPr>
          <w:sz w:val="20"/>
          <w:szCs w:val="20"/>
        </w:rPr>
        <w:t>No caso de infecções pelo estafilococo CA-MRSA (</w:t>
      </w:r>
      <w:r w:rsidRPr="00F859FC">
        <w:rPr>
          <w:i/>
          <w:sz w:val="20"/>
          <w:szCs w:val="20"/>
        </w:rPr>
        <w:t>S. aureus</w:t>
      </w:r>
      <w:r w:rsidRPr="00F859FC">
        <w:rPr>
          <w:sz w:val="20"/>
          <w:szCs w:val="20"/>
        </w:rPr>
        <w:t xml:space="preserve"> resistente a </w:t>
      </w:r>
      <w:proofErr w:type="spellStart"/>
      <w:r w:rsidRPr="00F859FC">
        <w:rPr>
          <w:sz w:val="20"/>
          <w:szCs w:val="20"/>
        </w:rPr>
        <w:t>oxacilina</w:t>
      </w:r>
      <w:proofErr w:type="spellEnd"/>
      <w:r w:rsidRPr="00F859FC">
        <w:rPr>
          <w:sz w:val="20"/>
          <w:szCs w:val="20"/>
        </w:rPr>
        <w:t xml:space="preserve"> adquirido da comunidade) pode ocorrer progressão muito rápida da infecção tegumentar com áreas de necrose, já que esse patógeno produz a LPV, uma enzima proteolítica.</w:t>
      </w:r>
    </w:p>
    <w:p w14:paraId="00000018" w14:textId="77777777" w:rsidR="00324D21" w:rsidRPr="00F859FC" w:rsidRDefault="00D92962" w:rsidP="00F859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0"/>
          <w:szCs w:val="20"/>
        </w:rPr>
      </w:pPr>
      <w:r w:rsidRPr="00F859FC">
        <w:rPr>
          <w:sz w:val="20"/>
          <w:szCs w:val="20"/>
        </w:rPr>
        <w:t xml:space="preserve">Nos casos associados a varicela pode ocorrer expansão rápida das lesões e formação de múltiplos óstios de drenagem purulenta. Em casos raros pode ocorrer a evolução para </w:t>
      </w:r>
      <w:proofErr w:type="spellStart"/>
      <w:r w:rsidRPr="00F859FC">
        <w:rPr>
          <w:sz w:val="20"/>
          <w:szCs w:val="20"/>
        </w:rPr>
        <w:t>fasciíte</w:t>
      </w:r>
      <w:proofErr w:type="spellEnd"/>
      <w:r w:rsidRPr="00F859FC">
        <w:rPr>
          <w:sz w:val="20"/>
          <w:szCs w:val="20"/>
        </w:rPr>
        <w:t xml:space="preserve"> necrotizante. </w:t>
      </w:r>
    </w:p>
    <w:p w14:paraId="00000019" w14:textId="77777777" w:rsidR="00324D21" w:rsidRPr="00F859FC" w:rsidRDefault="00324D21" w:rsidP="00F859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0"/>
          <w:szCs w:val="20"/>
        </w:rPr>
      </w:pPr>
    </w:p>
    <w:p w14:paraId="0000001A" w14:textId="59549C7C" w:rsidR="00324D21" w:rsidRPr="00F859FC" w:rsidRDefault="00F859FC" w:rsidP="00F859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b/>
          <w:color w:val="000000"/>
          <w:sz w:val="24"/>
          <w:szCs w:val="24"/>
        </w:rPr>
      </w:pPr>
      <w:r w:rsidRPr="00F859FC">
        <w:rPr>
          <w:b/>
          <w:color w:val="000000"/>
          <w:sz w:val="24"/>
          <w:szCs w:val="24"/>
        </w:rPr>
        <w:t>Tratamento:</w:t>
      </w:r>
    </w:p>
    <w:p w14:paraId="0000001B" w14:textId="77777777" w:rsidR="00324D21" w:rsidRPr="00F859FC" w:rsidRDefault="00D92962" w:rsidP="00F859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0"/>
          <w:szCs w:val="20"/>
        </w:rPr>
      </w:pPr>
      <w:r w:rsidRPr="00F859FC">
        <w:rPr>
          <w:sz w:val="20"/>
          <w:szCs w:val="20"/>
        </w:rPr>
        <w:t>Para satisfatória erradicação dos gram-positivos de pele, é recomendada a duração do tratamento em 10 dias.</w:t>
      </w:r>
    </w:p>
    <w:p w14:paraId="0000001C" w14:textId="77777777" w:rsidR="00324D21" w:rsidRPr="00F859FC" w:rsidRDefault="00D92962" w:rsidP="00F859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0"/>
          <w:szCs w:val="20"/>
        </w:rPr>
      </w:pPr>
      <w:r w:rsidRPr="00F859FC">
        <w:rPr>
          <w:sz w:val="20"/>
          <w:szCs w:val="20"/>
        </w:rPr>
        <w:t xml:space="preserve">1ª escolha: </w:t>
      </w:r>
      <w:proofErr w:type="spellStart"/>
      <w:r w:rsidRPr="00F859FC">
        <w:rPr>
          <w:sz w:val="20"/>
          <w:szCs w:val="20"/>
        </w:rPr>
        <w:t>cefazolina</w:t>
      </w:r>
      <w:proofErr w:type="spellEnd"/>
      <w:r w:rsidRPr="00F859FC">
        <w:rPr>
          <w:sz w:val="20"/>
          <w:szCs w:val="20"/>
        </w:rPr>
        <w:t xml:space="preserve"> 100 mg/kg/dia de 6/6h</w:t>
      </w:r>
    </w:p>
    <w:p w14:paraId="0000001D" w14:textId="77777777" w:rsidR="00324D21" w:rsidRPr="00F859FC" w:rsidRDefault="00D92962" w:rsidP="00F859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0"/>
          <w:szCs w:val="20"/>
        </w:rPr>
      </w:pPr>
      <w:r w:rsidRPr="00F859FC">
        <w:rPr>
          <w:sz w:val="20"/>
          <w:szCs w:val="20"/>
        </w:rPr>
        <w:t>2ª escolha: clindamicina 10 mg/kg/dose de 8/8h ou 6/6h (1ª escolha em caso de CA-MRSA)</w:t>
      </w:r>
    </w:p>
    <w:p w14:paraId="0000001E" w14:textId="77777777" w:rsidR="00324D21" w:rsidRPr="00F859FC" w:rsidRDefault="00D92962" w:rsidP="00F859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0"/>
          <w:szCs w:val="20"/>
        </w:rPr>
      </w:pPr>
      <w:r w:rsidRPr="00F859FC">
        <w:rPr>
          <w:sz w:val="20"/>
          <w:szCs w:val="20"/>
        </w:rPr>
        <w:t xml:space="preserve">3ª escolha: </w:t>
      </w:r>
      <w:proofErr w:type="spellStart"/>
      <w:r w:rsidRPr="00F859FC">
        <w:rPr>
          <w:sz w:val="20"/>
          <w:szCs w:val="20"/>
        </w:rPr>
        <w:t>oxacilina</w:t>
      </w:r>
      <w:proofErr w:type="spellEnd"/>
      <w:r w:rsidRPr="00F859FC">
        <w:rPr>
          <w:sz w:val="20"/>
          <w:szCs w:val="20"/>
        </w:rPr>
        <w:t xml:space="preserve"> 100 a 200 mg/kg/dia de 6/6h quando o agente for conhecido (</w:t>
      </w:r>
      <w:r w:rsidRPr="00F859FC">
        <w:rPr>
          <w:i/>
          <w:sz w:val="20"/>
          <w:szCs w:val="20"/>
        </w:rPr>
        <w:t>S. aureus</w:t>
      </w:r>
      <w:r w:rsidRPr="00F859FC">
        <w:rPr>
          <w:sz w:val="20"/>
          <w:szCs w:val="20"/>
        </w:rPr>
        <w:t>)</w:t>
      </w:r>
    </w:p>
    <w:p w14:paraId="0000001F" w14:textId="77777777" w:rsidR="00324D21" w:rsidRPr="00F859FC" w:rsidRDefault="00D92962" w:rsidP="00F859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0"/>
          <w:szCs w:val="20"/>
        </w:rPr>
      </w:pPr>
      <w:proofErr w:type="gramStart"/>
      <w:r w:rsidRPr="00F859FC">
        <w:rPr>
          <w:sz w:val="20"/>
          <w:szCs w:val="20"/>
        </w:rPr>
        <w:t>Nos caso</w:t>
      </w:r>
      <w:proofErr w:type="gramEnd"/>
      <w:r w:rsidRPr="00F859FC">
        <w:rPr>
          <w:sz w:val="20"/>
          <w:szCs w:val="20"/>
        </w:rPr>
        <w:t xml:space="preserve"> de </w:t>
      </w:r>
      <w:proofErr w:type="spellStart"/>
      <w:r w:rsidRPr="00F859FC">
        <w:rPr>
          <w:sz w:val="20"/>
          <w:szCs w:val="20"/>
        </w:rPr>
        <w:t>fasciíte</w:t>
      </w:r>
      <w:proofErr w:type="spellEnd"/>
      <w:r w:rsidRPr="00F859FC">
        <w:rPr>
          <w:sz w:val="20"/>
          <w:szCs w:val="20"/>
        </w:rPr>
        <w:t xml:space="preserve"> necrotizante ou de sepse grave, é possível a associação de gentamicina 5 - 7,5 mg/kg/dia em dose única como adjuvante.</w:t>
      </w:r>
    </w:p>
    <w:p w14:paraId="00000020" w14:textId="77777777" w:rsidR="00324D21" w:rsidRPr="00F859FC" w:rsidRDefault="00D92962" w:rsidP="00F859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0"/>
          <w:szCs w:val="20"/>
        </w:rPr>
      </w:pPr>
      <w:r w:rsidRPr="00F859FC">
        <w:rPr>
          <w:sz w:val="20"/>
          <w:szCs w:val="20"/>
        </w:rPr>
        <w:t xml:space="preserve">Complementação do tratamento domiciliar após a alta: </w:t>
      </w:r>
      <w:proofErr w:type="spellStart"/>
      <w:r w:rsidRPr="00F859FC">
        <w:rPr>
          <w:sz w:val="20"/>
          <w:szCs w:val="20"/>
        </w:rPr>
        <w:t>cefalexina</w:t>
      </w:r>
      <w:proofErr w:type="spellEnd"/>
      <w:r w:rsidRPr="00F859FC">
        <w:rPr>
          <w:sz w:val="20"/>
          <w:szCs w:val="20"/>
        </w:rPr>
        <w:t xml:space="preserve"> 50 a 100 mg/kg/dia de 6/6h ou clindamicina para os casos de resistência.</w:t>
      </w:r>
    </w:p>
    <w:p w14:paraId="00000021" w14:textId="77777777" w:rsidR="00324D21" w:rsidRPr="00F859FC" w:rsidRDefault="00D92962" w:rsidP="00F859FC">
      <w:pPr>
        <w:widowControl w:val="0"/>
        <w:spacing w:after="100"/>
        <w:jc w:val="both"/>
        <w:rPr>
          <w:sz w:val="20"/>
          <w:szCs w:val="20"/>
        </w:rPr>
      </w:pPr>
      <w:r w:rsidRPr="00F859FC">
        <w:rPr>
          <w:sz w:val="20"/>
          <w:szCs w:val="20"/>
        </w:rPr>
        <w:t>Observação: a clindamicina deve ser administrada preferencialmente por via venosa. A formulação oral manipulada pode ser tentada, mas é mais apropriada para terminar os tratamentos iniciados por via venosa, uma vez que dão muita dispepsia e o sabor é muito amargo.</w:t>
      </w:r>
    </w:p>
    <w:p w14:paraId="00000022" w14:textId="77777777" w:rsidR="00324D21" w:rsidRPr="00F859FC" w:rsidRDefault="00324D21" w:rsidP="00F859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0"/>
          <w:szCs w:val="20"/>
        </w:rPr>
      </w:pPr>
    </w:p>
    <w:p w14:paraId="585D5980" w14:textId="77777777" w:rsidR="00F859FC" w:rsidRDefault="00F859FC" w:rsidP="00F859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color w:val="000000"/>
          <w:sz w:val="20"/>
          <w:szCs w:val="20"/>
        </w:rPr>
      </w:pPr>
      <w:r w:rsidRPr="00F859FC">
        <w:rPr>
          <w:b/>
          <w:color w:val="000000"/>
          <w:sz w:val="24"/>
          <w:szCs w:val="24"/>
        </w:rPr>
        <w:t>Critérios De Alta:</w:t>
      </w:r>
      <w:r w:rsidRPr="00F859FC">
        <w:rPr>
          <w:color w:val="000000"/>
          <w:sz w:val="20"/>
          <w:szCs w:val="20"/>
        </w:rPr>
        <w:t xml:space="preserve"> </w:t>
      </w:r>
    </w:p>
    <w:p w14:paraId="00000023" w14:textId="6FA998F1" w:rsidR="00324D21" w:rsidRPr="00F859FC" w:rsidRDefault="00D92962" w:rsidP="00F859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color w:val="000000"/>
          <w:sz w:val="20"/>
          <w:szCs w:val="20"/>
        </w:rPr>
      </w:pPr>
      <w:r w:rsidRPr="00F859FC">
        <w:rPr>
          <w:color w:val="000000"/>
          <w:sz w:val="20"/>
          <w:szCs w:val="20"/>
        </w:rPr>
        <w:t>Afebril há 48h com redução do calor e rubor local. Na absoluta maioria dos casos não é necessário controle de hemograma.</w:t>
      </w:r>
    </w:p>
    <w:p w14:paraId="00000024" w14:textId="77777777" w:rsidR="00324D21" w:rsidRPr="00F859FC" w:rsidRDefault="00324D21" w:rsidP="00F859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0"/>
          <w:szCs w:val="20"/>
        </w:rPr>
      </w:pPr>
    </w:p>
    <w:p w14:paraId="1A20A7EC" w14:textId="77777777" w:rsidR="00F859FC" w:rsidRPr="00F859FC" w:rsidRDefault="00F859FC" w:rsidP="00F859FC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0"/>
          <w:szCs w:val="20"/>
        </w:rPr>
      </w:pPr>
      <w:r w:rsidRPr="00F859FC">
        <w:rPr>
          <w:b/>
          <w:color w:val="000000"/>
          <w:sz w:val="24"/>
          <w:szCs w:val="24"/>
        </w:rPr>
        <w:t>Prognóstico E Orientações Para O Seguimento:</w:t>
      </w:r>
      <w:r w:rsidRPr="00F859FC">
        <w:rPr>
          <w:color w:val="000000"/>
          <w:sz w:val="20"/>
          <w:szCs w:val="20"/>
        </w:rPr>
        <w:t xml:space="preserve"> </w:t>
      </w:r>
    </w:p>
    <w:p w14:paraId="00000025" w14:textId="3CD3884C" w:rsidR="00324D21" w:rsidRPr="00F859FC" w:rsidRDefault="00D92962" w:rsidP="00F859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ind w:left="360"/>
        <w:jc w:val="both"/>
        <w:rPr>
          <w:sz w:val="20"/>
          <w:szCs w:val="20"/>
        </w:rPr>
      </w:pPr>
      <w:r w:rsidRPr="00F859FC">
        <w:rPr>
          <w:color w:val="000000"/>
          <w:sz w:val="20"/>
          <w:szCs w:val="20"/>
        </w:rPr>
        <w:t>É r</w:t>
      </w:r>
      <w:r w:rsidRPr="00F859FC">
        <w:rPr>
          <w:sz w:val="20"/>
          <w:szCs w:val="20"/>
        </w:rPr>
        <w:t xml:space="preserve">ecomendado um retorno precoce para avaliação dos casos que receberam alta em uso de antibioticoterapia </w:t>
      </w:r>
      <w:proofErr w:type="gramStart"/>
      <w:r w:rsidRPr="00F859FC">
        <w:rPr>
          <w:sz w:val="20"/>
          <w:szCs w:val="20"/>
        </w:rPr>
        <w:t>oral  para</w:t>
      </w:r>
      <w:proofErr w:type="gramEnd"/>
      <w:r w:rsidRPr="00F859FC">
        <w:rPr>
          <w:sz w:val="20"/>
          <w:szCs w:val="20"/>
        </w:rPr>
        <w:t xml:space="preserve"> complementação do tratamento, o que permite a identificação de falhas terapêuticas.</w:t>
      </w:r>
    </w:p>
    <w:p w14:paraId="00000026" w14:textId="77777777" w:rsidR="00324D21" w:rsidRPr="00F859FC" w:rsidRDefault="00324D21" w:rsidP="00F859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0"/>
          <w:szCs w:val="20"/>
        </w:rPr>
      </w:pPr>
    </w:p>
    <w:p w14:paraId="00000027" w14:textId="676FE16B" w:rsidR="00324D21" w:rsidRPr="00EC34FA" w:rsidRDefault="00EC34FA" w:rsidP="00EC34FA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b/>
          <w:sz w:val="24"/>
          <w:szCs w:val="24"/>
        </w:rPr>
      </w:pPr>
      <w:r w:rsidRPr="00EC34FA">
        <w:rPr>
          <w:b/>
          <w:color w:val="000000"/>
          <w:sz w:val="24"/>
          <w:szCs w:val="24"/>
        </w:rPr>
        <w:lastRenderedPageBreak/>
        <w:t xml:space="preserve">Referências: </w:t>
      </w:r>
    </w:p>
    <w:p w14:paraId="00000028" w14:textId="77777777" w:rsidR="00324D21" w:rsidRPr="00F859FC" w:rsidRDefault="00324D21" w:rsidP="00F859FC">
      <w:pPr>
        <w:widowControl w:val="0"/>
        <w:spacing w:after="100"/>
        <w:ind w:left="360"/>
        <w:jc w:val="both"/>
        <w:rPr>
          <w:sz w:val="20"/>
          <w:szCs w:val="20"/>
        </w:rPr>
      </w:pPr>
    </w:p>
    <w:p w14:paraId="00000029" w14:textId="77777777" w:rsidR="00324D21" w:rsidRPr="00F859FC" w:rsidRDefault="00D92962" w:rsidP="00F859FC">
      <w:pPr>
        <w:widowControl w:val="0"/>
        <w:spacing w:after="100"/>
        <w:ind w:left="360"/>
        <w:jc w:val="both"/>
        <w:rPr>
          <w:sz w:val="20"/>
          <w:szCs w:val="20"/>
        </w:rPr>
      </w:pPr>
      <w:r w:rsidRPr="00F859FC">
        <w:rPr>
          <w:sz w:val="20"/>
          <w:szCs w:val="20"/>
        </w:rPr>
        <w:t>1.</w:t>
      </w:r>
      <w:r w:rsidRPr="00F859FC">
        <w:rPr>
          <w:sz w:val="20"/>
          <w:szCs w:val="20"/>
        </w:rPr>
        <w:tab/>
      </w:r>
      <w:proofErr w:type="spellStart"/>
      <w:r w:rsidRPr="00F859FC">
        <w:rPr>
          <w:sz w:val="20"/>
          <w:szCs w:val="20"/>
        </w:rPr>
        <w:t>Farhat</w:t>
      </w:r>
      <w:proofErr w:type="spellEnd"/>
      <w:r w:rsidRPr="00F859FC">
        <w:rPr>
          <w:sz w:val="20"/>
          <w:szCs w:val="20"/>
        </w:rPr>
        <w:t xml:space="preserve"> CK, Carvalho ES, Carvalho LH, </w:t>
      </w:r>
      <w:proofErr w:type="spellStart"/>
      <w:r w:rsidRPr="00F859FC">
        <w:rPr>
          <w:sz w:val="20"/>
          <w:szCs w:val="20"/>
        </w:rPr>
        <w:t>Succi</w:t>
      </w:r>
      <w:proofErr w:type="spellEnd"/>
      <w:r w:rsidRPr="00F859FC">
        <w:rPr>
          <w:sz w:val="20"/>
          <w:szCs w:val="20"/>
        </w:rPr>
        <w:t xml:space="preserve"> RC, </w:t>
      </w:r>
      <w:proofErr w:type="spellStart"/>
      <w:r w:rsidRPr="00F859FC">
        <w:rPr>
          <w:sz w:val="20"/>
          <w:szCs w:val="20"/>
        </w:rPr>
        <w:t>editors</w:t>
      </w:r>
      <w:proofErr w:type="spellEnd"/>
      <w:r w:rsidRPr="00F859FC">
        <w:rPr>
          <w:sz w:val="20"/>
          <w:szCs w:val="20"/>
        </w:rPr>
        <w:t>. Infectologia Pediátrica. 3.ed. São Paulo: Atheneu; 2007.</w:t>
      </w:r>
    </w:p>
    <w:p w14:paraId="0000002A" w14:textId="77777777" w:rsidR="00324D21" w:rsidRPr="00F859FC" w:rsidRDefault="00D92962" w:rsidP="00F859FC">
      <w:pPr>
        <w:widowControl w:val="0"/>
        <w:spacing w:after="100"/>
        <w:jc w:val="both"/>
        <w:rPr>
          <w:sz w:val="20"/>
          <w:szCs w:val="20"/>
        </w:rPr>
      </w:pPr>
      <w:r w:rsidRPr="00F859FC">
        <w:rPr>
          <w:sz w:val="20"/>
          <w:szCs w:val="20"/>
        </w:rPr>
        <w:t xml:space="preserve"> </w:t>
      </w:r>
    </w:p>
    <w:p w14:paraId="0000002B" w14:textId="77777777" w:rsidR="00324D21" w:rsidRPr="00F859FC" w:rsidRDefault="00D92962" w:rsidP="00F859FC">
      <w:pPr>
        <w:widowControl w:val="0"/>
        <w:spacing w:after="100"/>
        <w:ind w:left="360"/>
        <w:jc w:val="both"/>
        <w:rPr>
          <w:sz w:val="20"/>
          <w:szCs w:val="20"/>
        </w:rPr>
      </w:pPr>
      <w:r w:rsidRPr="00F859FC">
        <w:rPr>
          <w:sz w:val="20"/>
          <w:szCs w:val="20"/>
          <w:lang w:val="en-US"/>
        </w:rPr>
        <w:t>2.</w:t>
      </w:r>
      <w:r w:rsidRPr="00F859FC">
        <w:rPr>
          <w:sz w:val="20"/>
          <w:szCs w:val="20"/>
          <w:lang w:val="en-US"/>
        </w:rPr>
        <w:tab/>
        <w:t xml:space="preserve">Krugman S, Katz SL, Gershon AA, </w:t>
      </w:r>
      <w:proofErr w:type="spellStart"/>
      <w:r w:rsidRPr="00F859FC">
        <w:rPr>
          <w:sz w:val="20"/>
          <w:szCs w:val="20"/>
          <w:lang w:val="en-US"/>
        </w:rPr>
        <w:t>Wilfert</w:t>
      </w:r>
      <w:proofErr w:type="spellEnd"/>
      <w:r w:rsidRPr="00F859FC">
        <w:rPr>
          <w:sz w:val="20"/>
          <w:szCs w:val="20"/>
          <w:lang w:val="en-US"/>
        </w:rPr>
        <w:t xml:space="preserve"> CM. </w:t>
      </w:r>
      <w:r w:rsidRPr="00F859FC">
        <w:rPr>
          <w:sz w:val="20"/>
          <w:szCs w:val="20"/>
        </w:rPr>
        <w:t>Doenças Infecciosas na Infância. 9.ed. Rio de Janeiro: Guanabara Koogan; 1994.</w:t>
      </w:r>
    </w:p>
    <w:p w14:paraId="0000002C" w14:textId="77777777" w:rsidR="00324D21" w:rsidRPr="00F859FC" w:rsidRDefault="00324D21" w:rsidP="00F859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0"/>
          <w:szCs w:val="20"/>
        </w:rPr>
      </w:pPr>
    </w:p>
    <w:p w14:paraId="0000002D" w14:textId="15D8C717" w:rsidR="00324D21" w:rsidRPr="00F859FC" w:rsidRDefault="00EC34FA" w:rsidP="00F859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color w:val="000000"/>
          <w:sz w:val="20"/>
          <w:szCs w:val="20"/>
        </w:rPr>
      </w:pPr>
      <w:r w:rsidRPr="00921CA8">
        <w:rPr>
          <w:bCs/>
          <w:color w:val="000000"/>
          <w:sz w:val="20"/>
          <w:szCs w:val="20"/>
        </w:rPr>
        <w:t xml:space="preserve">Responsáveis </w:t>
      </w:r>
      <w:r w:rsidR="00921CA8">
        <w:rPr>
          <w:bCs/>
          <w:color w:val="000000"/>
          <w:sz w:val="20"/>
          <w:szCs w:val="20"/>
        </w:rPr>
        <w:t>p</w:t>
      </w:r>
      <w:r w:rsidRPr="00921CA8">
        <w:rPr>
          <w:bCs/>
          <w:color w:val="000000"/>
          <w:sz w:val="20"/>
          <w:szCs w:val="20"/>
        </w:rPr>
        <w:t xml:space="preserve">ela </w:t>
      </w:r>
      <w:r w:rsidR="00921CA8">
        <w:rPr>
          <w:bCs/>
          <w:color w:val="000000"/>
          <w:sz w:val="20"/>
          <w:szCs w:val="20"/>
        </w:rPr>
        <w:t>e</w:t>
      </w:r>
      <w:r w:rsidRPr="00921CA8">
        <w:rPr>
          <w:bCs/>
          <w:color w:val="000000"/>
          <w:sz w:val="20"/>
          <w:szCs w:val="20"/>
        </w:rPr>
        <w:t xml:space="preserve">laboração </w:t>
      </w:r>
      <w:r w:rsidR="00921CA8">
        <w:rPr>
          <w:bCs/>
          <w:color w:val="000000"/>
          <w:sz w:val="20"/>
          <w:szCs w:val="20"/>
        </w:rPr>
        <w:t>d</w:t>
      </w:r>
      <w:r w:rsidRPr="00921CA8">
        <w:rPr>
          <w:bCs/>
          <w:color w:val="000000"/>
          <w:sz w:val="20"/>
          <w:szCs w:val="20"/>
        </w:rPr>
        <w:t xml:space="preserve">a </w:t>
      </w:r>
      <w:r w:rsidR="00921CA8">
        <w:rPr>
          <w:bCs/>
          <w:color w:val="000000"/>
          <w:sz w:val="20"/>
          <w:szCs w:val="20"/>
        </w:rPr>
        <w:t>r</w:t>
      </w:r>
      <w:r w:rsidRPr="00921CA8">
        <w:rPr>
          <w:bCs/>
          <w:color w:val="000000"/>
          <w:sz w:val="20"/>
          <w:szCs w:val="20"/>
        </w:rPr>
        <w:t>otina:</w:t>
      </w:r>
      <w:r w:rsidRPr="00921CA8">
        <w:rPr>
          <w:bCs/>
          <w:sz w:val="20"/>
          <w:szCs w:val="20"/>
        </w:rPr>
        <w:t xml:space="preserve"> </w:t>
      </w:r>
      <w:r w:rsidR="00921CA8">
        <w:rPr>
          <w:bCs/>
          <w:sz w:val="20"/>
          <w:szCs w:val="20"/>
        </w:rPr>
        <w:t xml:space="preserve">Dr. </w:t>
      </w:r>
      <w:proofErr w:type="spellStart"/>
      <w:r>
        <w:rPr>
          <w:sz w:val="20"/>
          <w:szCs w:val="20"/>
        </w:rPr>
        <w:t>I</w:t>
      </w:r>
      <w:r w:rsidR="00D92962" w:rsidRPr="00F859FC">
        <w:rPr>
          <w:sz w:val="20"/>
          <w:szCs w:val="20"/>
        </w:rPr>
        <w:t>úri</w:t>
      </w:r>
      <w:proofErr w:type="spellEnd"/>
      <w:r w:rsidR="00D92962" w:rsidRPr="00F859FC">
        <w:rPr>
          <w:sz w:val="20"/>
          <w:szCs w:val="20"/>
        </w:rPr>
        <w:t xml:space="preserve"> Leão de Almeida e </w:t>
      </w:r>
      <w:r w:rsidR="00921CA8">
        <w:rPr>
          <w:sz w:val="20"/>
          <w:szCs w:val="20"/>
        </w:rPr>
        <w:t xml:space="preserve">Dr. </w:t>
      </w:r>
      <w:r w:rsidR="00D92962" w:rsidRPr="00F859FC">
        <w:rPr>
          <w:sz w:val="20"/>
          <w:szCs w:val="20"/>
        </w:rPr>
        <w:t xml:space="preserve">Marco </w:t>
      </w:r>
      <w:proofErr w:type="spellStart"/>
      <w:r w:rsidR="00D92962" w:rsidRPr="00F859FC">
        <w:rPr>
          <w:sz w:val="20"/>
          <w:szCs w:val="20"/>
        </w:rPr>
        <w:t>Antonio</w:t>
      </w:r>
      <w:proofErr w:type="spellEnd"/>
      <w:r w:rsidR="00D92962" w:rsidRPr="00F859FC">
        <w:rPr>
          <w:sz w:val="20"/>
          <w:szCs w:val="20"/>
        </w:rPr>
        <w:t xml:space="preserve"> Alves Cunha</w:t>
      </w:r>
    </w:p>
    <w:sectPr w:rsidR="00324D21" w:rsidRPr="00F859F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F07D2"/>
    <w:multiLevelType w:val="hybridMultilevel"/>
    <w:tmpl w:val="944ED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D3BFC"/>
    <w:multiLevelType w:val="multilevel"/>
    <w:tmpl w:val="C23298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4D21"/>
    <w:rsid w:val="00324D21"/>
    <w:rsid w:val="00921CA8"/>
    <w:rsid w:val="00D92962"/>
    <w:rsid w:val="00EC34FA"/>
    <w:rsid w:val="00F8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F62FB"/>
  <w15:docId w15:val="{D452B23B-B4FE-4597-BF0B-06CAE1D1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F85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850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</dc:creator>
  <cp:lastModifiedBy>RODOLFO ROCHANETO</cp:lastModifiedBy>
  <cp:revision>5</cp:revision>
  <dcterms:created xsi:type="dcterms:W3CDTF">2019-05-02T20:02:00Z</dcterms:created>
  <dcterms:modified xsi:type="dcterms:W3CDTF">2020-05-18T02:33:00Z</dcterms:modified>
</cp:coreProperties>
</file>